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21" w:rsidRDefault="00862A21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862A21" w:rsidRDefault="00862A21">
      <w:pPr>
        <w:ind w:right="38"/>
        <w:rPr>
          <w:lang w:val="en-US"/>
        </w:rPr>
      </w:pPr>
    </w:p>
    <w:p w:rsidR="00862A21" w:rsidRDefault="00862A21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</w:p>
    <w:p w:rsidR="00862A21" w:rsidRDefault="00862A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A21" w:rsidRDefault="00EB26D8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862A21" w:rsidRDefault="00EB26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</w:p>
    <w:p w:rsidR="00862A21" w:rsidRDefault="00EB26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муниципального управления» </w:t>
      </w:r>
    </w:p>
    <w:p w:rsidR="00862A21" w:rsidRDefault="00862A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A21" w:rsidRDefault="00EB26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1.Основные положения</w:t>
      </w:r>
    </w:p>
    <w:p w:rsidR="00862A21" w:rsidRDefault="00862A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862A21">
        <w:trPr>
          <w:trHeight w:val="602"/>
        </w:trPr>
        <w:tc>
          <w:tcPr>
            <w:tcW w:w="3119" w:type="dxa"/>
          </w:tcPr>
          <w:p w:rsidR="00862A21" w:rsidRDefault="00EB26D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7087" w:type="dxa"/>
          </w:tcPr>
          <w:p w:rsidR="00862A21" w:rsidRDefault="00EB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сферу экономики и финансов</w:t>
            </w:r>
          </w:p>
          <w:p w:rsidR="00862A21" w:rsidRDefault="00862A2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2A21">
        <w:trPr>
          <w:trHeight w:val="602"/>
        </w:trPr>
        <w:tc>
          <w:tcPr>
            <w:tcW w:w="3119" w:type="dxa"/>
          </w:tcPr>
          <w:p w:rsidR="00862A21" w:rsidRDefault="00EB26D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087" w:type="dxa"/>
          </w:tcPr>
          <w:p w:rsidR="00862A21" w:rsidRDefault="00EB26D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</w:tr>
      <w:tr w:rsidR="00862A21">
        <w:trPr>
          <w:trHeight w:val="583"/>
        </w:trPr>
        <w:tc>
          <w:tcPr>
            <w:tcW w:w="3119" w:type="dxa"/>
          </w:tcPr>
          <w:p w:rsidR="00862A21" w:rsidRDefault="00EB26D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087" w:type="dxa"/>
          </w:tcPr>
          <w:p w:rsidR="00862A21" w:rsidRDefault="00EB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 годы</w:t>
            </w:r>
          </w:p>
        </w:tc>
      </w:tr>
      <w:tr w:rsidR="00862A21">
        <w:trPr>
          <w:trHeight w:val="446"/>
        </w:trPr>
        <w:tc>
          <w:tcPr>
            <w:tcW w:w="3119" w:type="dxa"/>
          </w:tcPr>
          <w:p w:rsidR="00862A21" w:rsidRDefault="00EB26D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7087" w:type="dxa"/>
          </w:tcPr>
          <w:p w:rsidR="00862A21" w:rsidRDefault="00EB26D8">
            <w:pPr>
              <w:tabs>
                <w:tab w:val="left" w:pos="2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1.Повышение эффективности деятельности органов местного самоуправления</w:t>
            </w:r>
          </w:p>
          <w:p w:rsidR="00862A21" w:rsidRDefault="00EB2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2.Повышение качества муниципального управления</w:t>
            </w:r>
          </w:p>
        </w:tc>
      </w:tr>
      <w:tr w:rsidR="00862A21">
        <w:trPr>
          <w:trHeight w:val="438"/>
        </w:trPr>
        <w:tc>
          <w:tcPr>
            <w:tcW w:w="3119" w:type="dxa"/>
          </w:tcPr>
          <w:p w:rsidR="00862A21" w:rsidRDefault="00EB26D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7087" w:type="dxa"/>
          </w:tcPr>
          <w:p w:rsidR="00862A21" w:rsidRDefault="00EB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1.Осуществление функций должностных лиц и органов администрации города в рамках собственных и переданных государственных полномочий</w:t>
            </w:r>
          </w:p>
          <w:p w:rsidR="00862A21" w:rsidRDefault="00EB26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2.Обеспечение исполнения функций и полномочий органов местного самоуправления, совершенствование учета деятельности муниципальных учреждений</w:t>
            </w:r>
          </w:p>
        </w:tc>
      </w:tr>
      <w:tr w:rsidR="00862A21">
        <w:trPr>
          <w:trHeight w:val="438"/>
        </w:trPr>
        <w:tc>
          <w:tcPr>
            <w:tcW w:w="3119" w:type="dxa"/>
          </w:tcPr>
          <w:p w:rsidR="00862A21" w:rsidRDefault="00EB26D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7087" w:type="dxa"/>
          </w:tcPr>
          <w:p w:rsidR="00862A21" w:rsidRDefault="00EB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3 181 946,3 тыс. рублей</w:t>
            </w:r>
          </w:p>
        </w:tc>
      </w:tr>
    </w:tbl>
    <w:p w:rsidR="00862A21" w:rsidRDefault="00862A21">
      <w:pPr>
        <w:tabs>
          <w:tab w:val="left" w:pos="50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62A21" w:rsidRDefault="00862A21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</w:pPr>
    </w:p>
    <w:p w:rsidR="00862A21" w:rsidRDefault="00862A21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</w:pPr>
    </w:p>
    <w:p w:rsidR="00862A21" w:rsidRDefault="00862A21">
      <w:pPr>
        <w:tabs>
          <w:tab w:val="left" w:pos="5085"/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:rsidR="00862A21" w:rsidRDefault="00862A21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</w:pPr>
    </w:p>
    <w:p w:rsidR="00862A21" w:rsidRDefault="00862A21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</w:pPr>
    </w:p>
    <w:p w:rsidR="00862A21" w:rsidRDefault="00862A21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  <w:sectPr w:rsidR="00862A21">
          <w:headerReference w:type="default" r:id="rId8"/>
          <w:headerReference w:type="first" r:id="rId9"/>
          <w:pgSz w:w="11905" w:h="16838"/>
          <w:pgMar w:top="1134" w:right="567" w:bottom="1134" w:left="1701" w:header="425" w:footer="0" w:gutter="0"/>
          <w:cols w:space="720"/>
          <w:docGrid w:linePitch="360"/>
        </w:sectPr>
      </w:pPr>
    </w:p>
    <w:p w:rsidR="00862A21" w:rsidRDefault="00EB26D8">
      <w:pPr>
        <w:tabs>
          <w:tab w:val="left" w:pos="5085"/>
        </w:tabs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  <w:highlight w:val="white"/>
        </w:rPr>
        <w:t>2. Показатели муниципальной программы</w:t>
      </w:r>
    </w:p>
    <w:tbl>
      <w:tblPr>
        <w:tblStyle w:val="ad"/>
        <w:tblW w:w="148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2067"/>
        <w:gridCol w:w="708"/>
        <w:gridCol w:w="981"/>
        <w:gridCol w:w="851"/>
        <w:gridCol w:w="709"/>
        <w:gridCol w:w="1007"/>
        <w:gridCol w:w="850"/>
        <w:gridCol w:w="850"/>
        <w:gridCol w:w="888"/>
        <w:gridCol w:w="767"/>
        <w:gridCol w:w="851"/>
        <w:gridCol w:w="2597"/>
        <w:gridCol w:w="1231"/>
      </w:tblGrid>
      <w:tr w:rsidR="00862A21">
        <w:tc>
          <w:tcPr>
            <w:tcW w:w="486" w:type="dxa"/>
            <w:vMerge w:val="restart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067" w:type="dxa"/>
            <w:vMerge w:val="restart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Уровень показателя</w:t>
            </w:r>
          </w:p>
        </w:tc>
        <w:tc>
          <w:tcPr>
            <w:tcW w:w="981" w:type="dxa"/>
            <w:vMerge w:val="restart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Единица измерения (по ОКЕИ)</w:t>
            </w:r>
          </w:p>
        </w:tc>
        <w:tc>
          <w:tcPr>
            <w:tcW w:w="1560" w:type="dxa"/>
            <w:gridSpan w:val="2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Базовое значение</w:t>
            </w:r>
          </w:p>
        </w:tc>
        <w:tc>
          <w:tcPr>
            <w:tcW w:w="5213" w:type="dxa"/>
            <w:gridSpan w:val="6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Значение показателя по годам</w:t>
            </w:r>
          </w:p>
        </w:tc>
        <w:tc>
          <w:tcPr>
            <w:tcW w:w="2597" w:type="dxa"/>
            <w:vMerge w:val="restart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Документ</w:t>
            </w:r>
          </w:p>
        </w:tc>
        <w:tc>
          <w:tcPr>
            <w:tcW w:w="1231" w:type="dxa"/>
            <w:vMerge w:val="restart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Ответственный за достижение показателя</w:t>
            </w:r>
          </w:p>
        </w:tc>
      </w:tr>
      <w:tr w:rsidR="00862A21">
        <w:trPr>
          <w:trHeight w:val="1987"/>
        </w:trPr>
        <w:tc>
          <w:tcPr>
            <w:tcW w:w="486" w:type="dxa"/>
            <w:vMerge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значение</w:t>
            </w:r>
          </w:p>
        </w:tc>
        <w:tc>
          <w:tcPr>
            <w:tcW w:w="70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год</w:t>
            </w:r>
          </w:p>
        </w:tc>
        <w:tc>
          <w:tcPr>
            <w:tcW w:w="100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2025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2026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2027</w:t>
            </w:r>
          </w:p>
        </w:tc>
        <w:tc>
          <w:tcPr>
            <w:tcW w:w="88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2028</w:t>
            </w:r>
          </w:p>
        </w:tc>
        <w:tc>
          <w:tcPr>
            <w:tcW w:w="76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2029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2030</w:t>
            </w:r>
          </w:p>
        </w:tc>
        <w:tc>
          <w:tcPr>
            <w:tcW w:w="2597" w:type="dxa"/>
            <w:vMerge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21">
        <w:tc>
          <w:tcPr>
            <w:tcW w:w="48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06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98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85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0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0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8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9</w:t>
            </w:r>
          </w:p>
        </w:tc>
        <w:tc>
          <w:tcPr>
            <w:tcW w:w="88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76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259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23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14</w:t>
            </w:r>
          </w:p>
        </w:tc>
      </w:tr>
      <w:tr w:rsidR="00862A21">
        <w:tc>
          <w:tcPr>
            <w:tcW w:w="14843" w:type="dxa"/>
            <w:gridSpan w:val="14"/>
          </w:tcPr>
          <w:p w:rsidR="00862A21" w:rsidRDefault="00EB26D8">
            <w:pPr>
              <w:tabs>
                <w:tab w:val="left" w:pos="24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Цель 1 «Повышение эффективности деятельности органов местного самоуправления»</w:t>
            </w:r>
          </w:p>
        </w:tc>
      </w:tr>
      <w:tr w:rsidR="00862A21">
        <w:tc>
          <w:tcPr>
            <w:tcW w:w="48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067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Наличие актуализированной Стратегии 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</w:p>
        </w:tc>
        <w:tc>
          <w:tcPr>
            <w:tcW w:w="70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МП</w:t>
            </w:r>
          </w:p>
        </w:tc>
        <w:tc>
          <w:tcPr>
            <w:tcW w:w="98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Да/нет</w:t>
            </w:r>
          </w:p>
        </w:tc>
        <w:tc>
          <w:tcPr>
            <w:tcW w:w="85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70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2024</w:t>
            </w:r>
          </w:p>
        </w:tc>
        <w:tc>
          <w:tcPr>
            <w:tcW w:w="1007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850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850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888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767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850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2597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Решение 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15.12.2023 №349 «О Стратегии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 период до 2036 года»</w:t>
            </w:r>
          </w:p>
        </w:tc>
        <w:tc>
          <w:tcPr>
            <w:tcW w:w="123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Управление экономической политики</w:t>
            </w:r>
          </w:p>
        </w:tc>
      </w:tr>
      <w:tr w:rsidR="00862A21">
        <w:tc>
          <w:tcPr>
            <w:tcW w:w="48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067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Наличие Плана мероприятий по реализации Стратегии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</w:p>
        </w:tc>
        <w:tc>
          <w:tcPr>
            <w:tcW w:w="70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МП</w:t>
            </w:r>
          </w:p>
        </w:tc>
        <w:tc>
          <w:tcPr>
            <w:tcW w:w="98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Да/нет</w:t>
            </w:r>
          </w:p>
        </w:tc>
        <w:tc>
          <w:tcPr>
            <w:tcW w:w="85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70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2024</w:t>
            </w:r>
          </w:p>
        </w:tc>
        <w:tc>
          <w:tcPr>
            <w:tcW w:w="1007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850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850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888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767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850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2597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Постановление 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28.08.2024 №1741 «О плане мероприятий по реализации Стратегии социально-экономического развития 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 период до 2036 года» </w:t>
            </w:r>
          </w:p>
        </w:tc>
        <w:tc>
          <w:tcPr>
            <w:tcW w:w="123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Управление экономической политики</w:t>
            </w:r>
          </w:p>
        </w:tc>
      </w:tr>
      <w:tr w:rsidR="00862A21">
        <w:tc>
          <w:tcPr>
            <w:tcW w:w="14843" w:type="dxa"/>
            <w:gridSpan w:val="14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Цель 2 «Повышение качества муниципального управления»</w:t>
            </w:r>
          </w:p>
        </w:tc>
      </w:tr>
      <w:tr w:rsidR="00862A21">
        <w:tc>
          <w:tcPr>
            <w:tcW w:w="48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3</w:t>
            </w:r>
          </w:p>
        </w:tc>
        <w:tc>
          <w:tcPr>
            <w:tcW w:w="2067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Количество обоснованных жалоб от органов местного самоуправления на качество транспортного и материально-технического обеспечения муниципальным казенным учреждением «Служба обеспечения»</w:t>
            </w:r>
          </w:p>
        </w:tc>
        <w:tc>
          <w:tcPr>
            <w:tcW w:w="70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МП</w:t>
            </w:r>
          </w:p>
        </w:tc>
        <w:tc>
          <w:tcPr>
            <w:tcW w:w="98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ед</w:t>
            </w:r>
            <w:proofErr w:type="spellEnd"/>
          </w:p>
        </w:tc>
        <w:tc>
          <w:tcPr>
            <w:tcW w:w="85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0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2024</w:t>
            </w:r>
          </w:p>
        </w:tc>
        <w:tc>
          <w:tcPr>
            <w:tcW w:w="100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8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6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597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Федеральный закон от 06.10.2003 №131-ФЗ «Об общих принципах организации местного самоуправления в Российской Федерации», Устав  муниципального казенного учреждения «Служба обеспечения» (далее – МКУ «СО»)</w:t>
            </w:r>
          </w:p>
        </w:tc>
        <w:tc>
          <w:tcPr>
            <w:tcW w:w="123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МКУ «СО»</w:t>
            </w:r>
          </w:p>
        </w:tc>
      </w:tr>
      <w:tr w:rsidR="00862A21">
        <w:tc>
          <w:tcPr>
            <w:tcW w:w="48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067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Выполнение планов капитального строительства и ремонтных работ (по объектам, не включенным в Адресную инвестиционную программу Ханты-Мансийского автономного округа – Югры </w:t>
            </w:r>
          </w:p>
        </w:tc>
        <w:tc>
          <w:tcPr>
            <w:tcW w:w="70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МП</w:t>
            </w:r>
          </w:p>
        </w:tc>
        <w:tc>
          <w:tcPr>
            <w:tcW w:w="98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%</w:t>
            </w:r>
          </w:p>
        </w:tc>
        <w:tc>
          <w:tcPr>
            <w:tcW w:w="85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96,5</w:t>
            </w:r>
          </w:p>
        </w:tc>
        <w:tc>
          <w:tcPr>
            <w:tcW w:w="70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2024</w:t>
            </w:r>
          </w:p>
        </w:tc>
        <w:tc>
          <w:tcPr>
            <w:tcW w:w="100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97,7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98,0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98,2</w:t>
            </w:r>
          </w:p>
        </w:tc>
        <w:tc>
          <w:tcPr>
            <w:tcW w:w="88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98,5</w:t>
            </w:r>
          </w:p>
        </w:tc>
        <w:tc>
          <w:tcPr>
            <w:tcW w:w="76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98,7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99,0</w:t>
            </w:r>
          </w:p>
        </w:tc>
        <w:tc>
          <w:tcPr>
            <w:tcW w:w="2597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Федеральный закон от 06.10.2003 №131-ФЗ «Об общих принципах организации местного самоуправления в Российской Федерации», Устав муниципального казенного учреждения «Управление капитального строительства» (далее – МКУ «УКС»)</w:t>
            </w:r>
          </w:p>
        </w:tc>
        <w:tc>
          <w:tcPr>
            <w:tcW w:w="123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МКУ «УКС»</w:t>
            </w:r>
          </w:p>
        </w:tc>
      </w:tr>
      <w:tr w:rsidR="00862A21">
        <w:tc>
          <w:tcPr>
            <w:tcW w:w="48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067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Доля граждан, обеспеченных мерами социальной поддержки, 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числа граждан обратившихся за их получением</w:t>
            </w:r>
          </w:p>
        </w:tc>
        <w:tc>
          <w:tcPr>
            <w:tcW w:w="70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МП</w:t>
            </w:r>
          </w:p>
        </w:tc>
        <w:tc>
          <w:tcPr>
            <w:tcW w:w="98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%</w:t>
            </w:r>
          </w:p>
        </w:tc>
        <w:tc>
          <w:tcPr>
            <w:tcW w:w="85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70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2024</w:t>
            </w:r>
          </w:p>
        </w:tc>
        <w:tc>
          <w:tcPr>
            <w:tcW w:w="100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88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76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8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2597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Решение 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29.01.2016 №59 «О порядке назначения, перерасчета и выплаты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 решение 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20.04.2012 №256 «О порядке присвоения почетного звания городского округа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«Почетный житель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 постановление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25.12.2015 №3202 «Об утверждении положения о Почетной грамоте главы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23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Администрация города</w:t>
            </w:r>
          </w:p>
        </w:tc>
      </w:tr>
    </w:tbl>
    <w:p w:rsidR="00862A21" w:rsidRDefault="00862A21">
      <w:pPr>
        <w:tabs>
          <w:tab w:val="left" w:pos="508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62A21" w:rsidRDefault="00EB26D8">
      <w:pPr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3. План достижения показателей муниципальной программы</w:t>
      </w:r>
    </w:p>
    <w:p w:rsidR="00862A21" w:rsidRDefault="00EB26D8">
      <w:pPr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 2025 году</w:t>
      </w:r>
    </w:p>
    <w:p w:rsidR="00862A21" w:rsidRDefault="00862A21">
      <w:pPr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Style w:val="ad"/>
        <w:tblW w:w="14885" w:type="dxa"/>
        <w:tblInd w:w="-431" w:type="dxa"/>
        <w:tblLook w:val="04A0" w:firstRow="1" w:lastRow="0" w:firstColumn="1" w:lastColumn="0" w:noHBand="0" w:noVBand="1"/>
      </w:tblPr>
      <w:tblGrid>
        <w:gridCol w:w="576"/>
        <w:gridCol w:w="5053"/>
        <w:gridCol w:w="1331"/>
        <w:gridCol w:w="1402"/>
        <w:gridCol w:w="1211"/>
        <w:gridCol w:w="1343"/>
        <w:gridCol w:w="1417"/>
        <w:gridCol w:w="1418"/>
        <w:gridCol w:w="1134"/>
      </w:tblGrid>
      <w:tr w:rsidR="00862A21">
        <w:tc>
          <w:tcPr>
            <w:tcW w:w="576" w:type="dxa"/>
            <w:vMerge w:val="restart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053" w:type="dxa"/>
            <w:vMerge w:val="restart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Уровень показателя</w:t>
            </w:r>
          </w:p>
        </w:tc>
        <w:tc>
          <w:tcPr>
            <w:tcW w:w="1402" w:type="dxa"/>
            <w:vMerge w:val="restart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Единица измерения (по ОКЕЙ)</w:t>
            </w:r>
          </w:p>
        </w:tc>
        <w:tc>
          <w:tcPr>
            <w:tcW w:w="5389" w:type="dxa"/>
            <w:gridSpan w:val="4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Плановые значения по кварталам/месяцам</w:t>
            </w:r>
          </w:p>
        </w:tc>
        <w:tc>
          <w:tcPr>
            <w:tcW w:w="1134" w:type="dxa"/>
            <w:vMerge w:val="restart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конец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2025 года</w:t>
            </w:r>
          </w:p>
        </w:tc>
      </w:tr>
      <w:tr w:rsidR="00862A21">
        <w:tc>
          <w:tcPr>
            <w:tcW w:w="576" w:type="dxa"/>
            <w:vMerge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квартал</w:t>
            </w:r>
          </w:p>
        </w:tc>
        <w:tc>
          <w:tcPr>
            <w:tcW w:w="1343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квартал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квартал</w:t>
            </w:r>
          </w:p>
        </w:tc>
        <w:tc>
          <w:tcPr>
            <w:tcW w:w="141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квартал</w:t>
            </w:r>
          </w:p>
        </w:tc>
        <w:tc>
          <w:tcPr>
            <w:tcW w:w="1134" w:type="dxa"/>
            <w:vMerge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21">
        <w:tc>
          <w:tcPr>
            <w:tcW w:w="57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053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3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402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21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343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41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13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</w:tr>
      <w:tr w:rsidR="00862A21">
        <w:tc>
          <w:tcPr>
            <w:tcW w:w="57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4309" w:type="dxa"/>
            <w:gridSpan w:val="8"/>
          </w:tcPr>
          <w:p w:rsidR="00862A21" w:rsidRDefault="00EB26D8">
            <w:pPr>
              <w:tabs>
                <w:tab w:val="left" w:pos="24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Цель 1 «Повышение эффективности деятельности органов местного самоуправления»</w:t>
            </w: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62A21">
        <w:tc>
          <w:tcPr>
            <w:tcW w:w="57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5053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Наличие актуализированной Стратегии 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</w:p>
        </w:tc>
        <w:tc>
          <w:tcPr>
            <w:tcW w:w="133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МП</w:t>
            </w:r>
          </w:p>
        </w:tc>
        <w:tc>
          <w:tcPr>
            <w:tcW w:w="1402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Да/нет</w:t>
            </w:r>
          </w:p>
        </w:tc>
        <w:tc>
          <w:tcPr>
            <w:tcW w:w="121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1343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141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113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</w:tr>
      <w:tr w:rsidR="00862A21">
        <w:tc>
          <w:tcPr>
            <w:tcW w:w="57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1.2</w:t>
            </w:r>
          </w:p>
        </w:tc>
        <w:tc>
          <w:tcPr>
            <w:tcW w:w="5053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Наличие Плана мероприятий по реализации Стратегии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</w:p>
        </w:tc>
        <w:tc>
          <w:tcPr>
            <w:tcW w:w="133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МП</w:t>
            </w:r>
          </w:p>
        </w:tc>
        <w:tc>
          <w:tcPr>
            <w:tcW w:w="1402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Да/нет</w:t>
            </w:r>
          </w:p>
        </w:tc>
        <w:tc>
          <w:tcPr>
            <w:tcW w:w="1211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1343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1417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1418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  <w:tc>
          <w:tcPr>
            <w:tcW w:w="1134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</w:t>
            </w:r>
          </w:p>
        </w:tc>
      </w:tr>
      <w:tr w:rsidR="00862A21">
        <w:tc>
          <w:tcPr>
            <w:tcW w:w="57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4309" w:type="dxa"/>
            <w:gridSpan w:val="8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Цель 2 «Повышение качества муниципального управления»</w:t>
            </w:r>
          </w:p>
        </w:tc>
      </w:tr>
      <w:tr w:rsidR="00862A21">
        <w:tc>
          <w:tcPr>
            <w:tcW w:w="57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2.1</w:t>
            </w:r>
          </w:p>
        </w:tc>
        <w:tc>
          <w:tcPr>
            <w:tcW w:w="5053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Количество обоснованных жалоб от органов местного самоуправления на качество транспортного и материально-технического обеспечения муниципальным казенным учреждением «Служба обеспечения»</w:t>
            </w:r>
          </w:p>
        </w:tc>
        <w:tc>
          <w:tcPr>
            <w:tcW w:w="133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МП</w:t>
            </w:r>
          </w:p>
        </w:tc>
        <w:tc>
          <w:tcPr>
            <w:tcW w:w="1402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ед</w:t>
            </w:r>
            <w:proofErr w:type="spellEnd"/>
          </w:p>
        </w:tc>
        <w:tc>
          <w:tcPr>
            <w:tcW w:w="121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343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418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13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862A21">
        <w:tc>
          <w:tcPr>
            <w:tcW w:w="57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5053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Выполнение планов капитального строительства и ремонтных работ (по объектам, не включенным в Адресную инвестиционную программу Ханты-Мансийского автономного округа – Югры </w:t>
            </w:r>
          </w:p>
        </w:tc>
        <w:tc>
          <w:tcPr>
            <w:tcW w:w="133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МП</w:t>
            </w:r>
          </w:p>
        </w:tc>
        <w:tc>
          <w:tcPr>
            <w:tcW w:w="1402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%</w:t>
            </w:r>
          </w:p>
        </w:tc>
        <w:tc>
          <w:tcPr>
            <w:tcW w:w="121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20,0</w:t>
            </w:r>
          </w:p>
        </w:tc>
        <w:tc>
          <w:tcPr>
            <w:tcW w:w="1343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45,0</w:t>
            </w:r>
          </w:p>
        </w:tc>
        <w:tc>
          <w:tcPr>
            <w:tcW w:w="1417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70,0</w:t>
            </w:r>
          </w:p>
        </w:tc>
        <w:tc>
          <w:tcPr>
            <w:tcW w:w="1418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97,7</w:t>
            </w:r>
          </w:p>
        </w:tc>
        <w:tc>
          <w:tcPr>
            <w:tcW w:w="113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97,7</w:t>
            </w:r>
          </w:p>
        </w:tc>
      </w:tr>
      <w:tr w:rsidR="00862A21">
        <w:trPr>
          <w:trHeight w:val="1172"/>
        </w:trPr>
        <w:tc>
          <w:tcPr>
            <w:tcW w:w="57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2.3.</w:t>
            </w:r>
          </w:p>
        </w:tc>
        <w:tc>
          <w:tcPr>
            <w:tcW w:w="5053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Доля граждан, обеспеченных мерами социальной поддержки, от числа граждан обратившихся за их получением</w:t>
            </w:r>
          </w:p>
        </w:tc>
        <w:tc>
          <w:tcPr>
            <w:tcW w:w="1331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МП</w:t>
            </w:r>
          </w:p>
        </w:tc>
        <w:tc>
          <w:tcPr>
            <w:tcW w:w="1402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%</w:t>
            </w:r>
          </w:p>
        </w:tc>
        <w:tc>
          <w:tcPr>
            <w:tcW w:w="1211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1343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1417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1418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100,0</w:t>
            </w:r>
          </w:p>
        </w:tc>
        <w:tc>
          <w:tcPr>
            <w:tcW w:w="1134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100,0</w:t>
            </w:r>
          </w:p>
        </w:tc>
      </w:tr>
    </w:tbl>
    <w:p w:rsidR="00862A21" w:rsidRDefault="00862A21">
      <w:pPr>
        <w:tabs>
          <w:tab w:val="left" w:pos="5085"/>
        </w:tabs>
        <w:rPr>
          <w:rFonts w:ascii="Times New Roman" w:hAnsi="Times New Roman" w:cs="Times New Roman"/>
          <w:sz w:val="24"/>
          <w:szCs w:val="24"/>
          <w:highlight w:val="white"/>
        </w:rPr>
      </w:pPr>
    </w:p>
    <w:p w:rsidR="00862A21" w:rsidRDefault="00EB26D8">
      <w:pPr>
        <w:tabs>
          <w:tab w:val="left" w:pos="5085"/>
        </w:tabs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4.Структура муниципальной программы</w:t>
      </w:r>
    </w:p>
    <w:tbl>
      <w:tblPr>
        <w:tblStyle w:val="ad"/>
        <w:tblW w:w="14743" w:type="dxa"/>
        <w:tblInd w:w="-289" w:type="dxa"/>
        <w:tblLook w:val="04A0" w:firstRow="1" w:lastRow="0" w:firstColumn="1" w:lastColumn="0" w:noHBand="0" w:noVBand="1"/>
      </w:tblPr>
      <w:tblGrid>
        <w:gridCol w:w="696"/>
        <w:gridCol w:w="4650"/>
        <w:gridCol w:w="5690"/>
        <w:gridCol w:w="3707"/>
      </w:tblGrid>
      <w:tr w:rsidR="00862A21">
        <w:trPr>
          <w:tblHeader/>
        </w:trPr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№ п\п</w:t>
            </w:r>
          </w:p>
        </w:tc>
        <w:tc>
          <w:tcPr>
            <w:tcW w:w="46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Задачи структурного элемента</w:t>
            </w:r>
          </w:p>
        </w:tc>
        <w:tc>
          <w:tcPr>
            <w:tcW w:w="569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0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Связь с показателями  (характеристика, методика расчета или ссылка на форму федерального статистического наблюдения)</w:t>
            </w:r>
          </w:p>
        </w:tc>
      </w:tr>
      <w:tr w:rsidR="00862A21">
        <w:trPr>
          <w:tblHeader/>
        </w:trPr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65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69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370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862A21"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4047" w:type="dxa"/>
            <w:gridSpan w:val="3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Подпрограмма  «Осуществление функций должностных лиц и органов администрации города в рамках собственных и переданных государственных полномочий»</w:t>
            </w:r>
          </w:p>
        </w:tc>
      </w:tr>
      <w:tr w:rsidR="00862A21"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14047" w:type="dxa"/>
            <w:gridSpan w:val="3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Комплекс процессных мероприятий «Обеспечение деятельности органов местного самоуправления»</w:t>
            </w: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</w:tc>
      </w:tr>
      <w:tr w:rsidR="00862A21">
        <w:tc>
          <w:tcPr>
            <w:tcW w:w="696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5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Ответственный за реализацию: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города, МКУ «СО»</w:t>
            </w:r>
          </w:p>
        </w:tc>
        <w:tc>
          <w:tcPr>
            <w:tcW w:w="569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Срок реализации: 2025–2030 годы</w:t>
            </w:r>
          </w:p>
        </w:tc>
        <w:tc>
          <w:tcPr>
            <w:tcW w:w="370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</w:tc>
      </w:tr>
      <w:tr w:rsidR="00862A21"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1.1.1</w:t>
            </w:r>
          </w:p>
        </w:tc>
        <w:tc>
          <w:tcPr>
            <w:tcW w:w="465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Исполнение муниципальных функций в целях обеспечения реализации полномочий органов местного самоуправления</w:t>
            </w: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90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Своевременное финансовое обеспечение органов  администрации города на содержание служащих, оплату стоимости проезда к месту использования отпуска и обратно, оплату командировочных расходов и т.д.</w:t>
            </w:r>
          </w:p>
        </w:tc>
        <w:tc>
          <w:tcPr>
            <w:tcW w:w="3707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Показатель 1. Наличие актуализированной Стратегии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Наличие МНПА об утверждении актуализированной Стратегии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 период до 2036 года.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Показатель 2. Наличие плана мероприятий по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Стртегии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Наличие МНПА об утверждении Плана мероприятий по реализации Стратегии 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 период до 2036 года.</w:t>
            </w:r>
          </w:p>
        </w:tc>
      </w:tr>
      <w:tr w:rsidR="00862A21"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1.2</w:t>
            </w:r>
          </w:p>
        </w:tc>
        <w:tc>
          <w:tcPr>
            <w:tcW w:w="14047" w:type="dxa"/>
            <w:gridSpan w:val="3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Комплекс процессных мероприятий «Осуществление переданных государственных полномочий»</w:t>
            </w: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62A21">
        <w:tc>
          <w:tcPr>
            <w:tcW w:w="696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5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Ответственный за реализацию: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города</w:t>
            </w:r>
          </w:p>
        </w:tc>
        <w:tc>
          <w:tcPr>
            <w:tcW w:w="569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Срок реализации: 2025–2030 годы</w:t>
            </w:r>
          </w:p>
        </w:tc>
        <w:tc>
          <w:tcPr>
            <w:tcW w:w="370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</w:tc>
      </w:tr>
      <w:tr w:rsidR="00862A21">
        <w:trPr>
          <w:trHeight w:val="653"/>
        </w:trPr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1.2.1</w:t>
            </w:r>
          </w:p>
        </w:tc>
        <w:tc>
          <w:tcPr>
            <w:tcW w:w="465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Исполнение муниципальных функций в целях обеспечения реализации переданных полномочий органов местного самоуправления</w:t>
            </w:r>
          </w:p>
        </w:tc>
        <w:tc>
          <w:tcPr>
            <w:tcW w:w="5690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Своевременное финансовое обеспечение органов администрации города на содержание служащих, осуществляющих исполнение переданных полномочий, расходы на мероприятия по реализации полномочий.</w:t>
            </w:r>
          </w:p>
        </w:tc>
        <w:tc>
          <w:tcPr>
            <w:tcW w:w="3707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Показатель 1. Наличие актуализированной Стратегии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Наличие МНПА об утверждении актуализированной Стратегии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Показатель 2. Наличие плана мероприятий по реализации Стратегии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Наличие МНПА об утверждении Плана мероприятий по реализации Стратегии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 период до 2036 года.</w:t>
            </w:r>
          </w:p>
        </w:tc>
      </w:tr>
      <w:tr w:rsidR="00862A21"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14047" w:type="dxa"/>
            <w:gridSpan w:val="3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Комплекс процессных мероприятий «Исполнение иных функций и полномочий органов местного самоуправления»</w:t>
            </w: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62A21">
        <w:tc>
          <w:tcPr>
            <w:tcW w:w="696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5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Ответственный за реализацию: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города</w:t>
            </w:r>
          </w:p>
        </w:tc>
        <w:tc>
          <w:tcPr>
            <w:tcW w:w="569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Срок реализации: 2025–2030 годы</w:t>
            </w:r>
          </w:p>
        </w:tc>
        <w:tc>
          <w:tcPr>
            <w:tcW w:w="370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</w:tc>
      </w:tr>
      <w:tr w:rsidR="00862A21">
        <w:trPr>
          <w:trHeight w:val="1273"/>
        </w:trPr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1.3.1</w:t>
            </w:r>
          </w:p>
        </w:tc>
        <w:tc>
          <w:tcPr>
            <w:tcW w:w="4650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Назначение, перерасчет и выплата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награждение Почетной грамотой главы города, присвоение почетного звания «Почетный житель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:rsidR="00862A21" w:rsidRDefault="00862A21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9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Доплаты к пенсии муниципальным служащим; единовременные денежные выплаты – присвоение почетного звания «Почетный житель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»;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единовременные денежные вознаграждения к Почетной грамоте главы города</w:t>
            </w:r>
          </w:p>
        </w:tc>
        <w:tc>
          <w:tcPr>
            <w:tcW w:w="3707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Показатель 5. Доля граждан, обеспеченных мерами социальной поддержки, от числа граждан, обратившихся за их получением. 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Рассчитывается исходя из численности получателей социальной поддержки к количеству поступивших заявлений.</w:t>
            </w:r>
          </w:p>
        </w:tc>
      </w:tr>
      <w:tr w:rsidR="00862A21"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4047" w:type="dxa"/>
            <w:gridSpan w:val="3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Подпрограмма  «Обеспечение исполнения функций и полномочий органов местного самоуправления, совершенствование учета деятельности муниципальных учреждений»</w:t>
            </w:r>
          </w:p>
        </w:tc>
      </w:tr>
      <w:tr w:rsidR="00862A21"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2.1</w:t>
            </w:r>
          </w:p>
        </w:tc>
        <w:tc>
          <w:tcPr>
            <w:tcW w:w="14047" w:type="dxa"/>
            <w:gridSpan w:val="3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Комплекс процессных мероприятий «Обеспечение деятельности органов местного самоуправления, содержания и эксплуатации зданий и объектов»</w:t>
            </w: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62A21">
        <w:tc>
          <w:tcPr>
            <w:tcW w:w="696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5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Ответственный за реализацию: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МКУ «СО»</w:t>
            </w:r>
          </w:p>
        </w:tc>
        <w:tc>
          <w:tcPr>
            <w:tcW w:w="569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Срок реализации: 2025–2030 годы</w:t>
            </w:r>
          </w:p>
        </w:tc>
        <w:tc>
          <w:tcPr>
            <w:tcW w:w="370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</w:tc>
      </w:tr>
      <w:tr w:rsidR="00862A21"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2.1.1</w:t>
            </w:r>
          </w:p>
        </w:tc>
        <w:tc>
          <w:tcPr>
            <w:tcW w:w="465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Обеспечение исполнения функций и полномочий органов администрации, совершенствование учета деятельности муниципальных учреждений </w:t>
            </w: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90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Финансовое обеспечение МКУ «СО» для осуществления деятельности и исполнения функций органов администрации города; оплата услуг связи, почтовые расходы; расходы на выполнение работ, оказание услуг; приобретение офисной мебели и материальных запасов. </w:t>
            </w:r>
          </w:p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Содержание (эксплуатация) имущества, находящегося в муниципальной собственности, путем осуществления управленческих функций по обеспечению сохранности и надлежащего уровня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эксплуатации служебных зданий и имущества городского округа, закрепленного за учреждением на праве оперативного управления, аренды, безвозмездного пользования и находящегося на эксплуатационном обслуживании; организации работы по вопросам жилищно-коммунального хозяйства; организации текущего ремонта объектов, закрепленных на праве оперативного управления, находящихся на эксплуатационном обслуживании.</w:t>
            </w:r>
          </w:p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и осуществление транспортного обслуживания должностных лиц, органов местного самоуправления путем осуществления функций по обеспечению технической готовности автомобильного транспорта, предоставляемого должностным лицам и органам администрации города.</w:t>
            </w:r>
          </w:p>
        </w:tc>
        <w:tc>
          <w:tcPr>
            <w:tcW w:w="3707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Показатель 3. Количество обоснованных жалоб от органов местного самоуправления на качество транспортного и материально-технического обеспечения муниципальным казенным учреждением «Служба обеспечения»</w:t>
            </w:r>
          </w:p>
        </w:tc>
      </w:tr>
      <w:tr w:rsidR="00862A21"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14047" w:type="dxa"/>
            <w:gridSpan w:val="3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Комплекс процессных мероприятий «Реализация полномочий органов местного самоуправления в сфере строительства, реконструкции, ремонта технического обслуживания объектов жилищного, промышленного, гражданского строительства, объектов коммунального, социально-культурного назначения, а также реализация полномочий в сфере владения и пользования муниципальным имуществом»</w:t>
            </w:r>
          </w:p>
        </w:tc>
      </w:tr>
      <w:tr w:rsidR="00862A21">
        <w:tc>
          <w:tcPr>
            <w:tcW w:w="696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65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Ответственный за реализацию: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МКУ «УКС»</w:t>
            </w:r>
          </w:p>
        </w:tc>
        <w:tc>
          <w:tcPr>
            <w:tcW w:w="569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Срок реализации: 2025–2030 годы</w:t>
            </w:r>
          </w:p>
        </w:tc>
        <w:tc>
          <w:tcPr>
            <w:tcW w:w="370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</w:tc>
      </w:tr>
      <w:tr w:rsidR="00862A21">
        <w:tc>
          <w:tcPr>
            <w:tcW w:w="696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2.2.1</w:t>
            </w:r>
          </w:p>
        </w:tc>
        <w:tc>
          <w:tcPr>
            <w:tcW w:w="465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Обеспечение функций и полномочий в сфере строительства, реконструкции, ремонта, технического обслуживания объектов жилищного, промышленного, гражданского строительства, объектов коммунального, социально-культурного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назначения, реализация полномочий в сфере владения и пользования муниципальным имуществом</w:t>
            </w: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690" w:type="dxa"/>
          </w:tcPr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Реализация мероприятий по строительству объектов, включенных в Адресную инвестиционную программу автономного округа, и иных объектов, а также проведение капитального ремонта объектов недвижимого муниципального имущества.  </w:t>
            </w:r>
          </w:p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Выполнение строительно-монтажных (ремонтных) работ подрядным способом.</w:t>
            </w:r>
          </w:p>
          <w:p w:rsidR="00862A21" w:rsidRDefault="00EB26D8">
            <w:pPr>
              <w:tabs>
                <w:tab w:val="left" w:pos="50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Содержание (эксплуатация) имущества, находящегося в муниципальной собственности.</w:t>
            </w:r>
          </w:p>
        </w:tc>
        <w:tc>
          <w:tcPr>
            <w:tcW w:w="3707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Показатель 4. Выполнение планов капитального строительства и ремонтных работ (по объектам, не включенным в Адресную инвестиционную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программу Ханты-Мансийского автономного округа – Югры).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ВП=ФВ/П х 100, где 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ВП – объем выполнения плана работ, в %;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 – запланированный объем капитального строительства и ремонтных работ,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ФВ – выполненный объем капитального строительства и ремонтных работ,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тыс.рублей</w:t>
            </w:r>
            <w:proofErr w:type="spellEnd"/>
          </w:p>
        </w:tc>
      </w:tr>
    </w:tbl>
    <w:p w:rsidR="00862A21" w:rsidRDefault="00862A21">
      <w:pPr>
        <w:tabs>
          <w:tab w:val="left" w:pos="5085"/>
        </w:tabs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62A21" w:rsidRDefault="00EB26D8">
      <w:pPr>
        <w:tabs>
          <w:tab w:val="left" w:pos="5085"/>
        </w:tabs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highlight w:val="white"/>
        </w:rPr>
        <w:t>. Финансовое обеспечение муниципальной программы</w:t>
      </w:r>
    </w:p>
    <w:tbl>
      <w:tblPr>
        <w:tblStyle w:val="ad"/>
        <w:tblW w:w="148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2130"/>
        <w:gridCol w:w="1417"/>
        <w:gridCol w:w="1559"/>
        <w:gridCol w:w="1417"/>
        <w:gridCol w:w="1417"/>
        <w:gridCol w:w="1414"/>
        <w:gridCol w:w="1559"/>
        <w:gridCol w:w="11"/>
      </w:tblGrid>
      <w:tr w:rsidR="00862A21">
        <w:tc>
          <w:tcPr>
            <w:tcW w:w="3970" w:type="dxa"/>
            <w:vMerge w:val="restart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924" w:type="dxa"/>
            <w:gridSpan w:val="8"/>
          </w:tcPr>
          <w:p w:rsidR="00862A21" w:rsidRDefault="00EB26D8">
            <w:pPr>
              <w:tabs>
                <w:tab w:val="left" w:pos="5085"/>
                <w:tab w:val="left" w:pos="121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Объем финансового обеспечения по годам, тыс. рублей</w:t>
            </w:r>
          </w:p>
          <w:p w:rsidR="00862A21" w:rsidRDefault="00862A21">
            <w:pPr>
              <w:tabs>
                <w:tab w:val="left" w:pos="5085"/>
                <w:tab w:val="left" w:pos="121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  <w:vMerge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2025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2026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2027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2028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2029</w:t>
            </w:r>
          </w:p>
        </w:tc>
        <w:tc>
          <w:tcPr>
            <w:tcW w:w="141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2030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Всего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13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141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7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8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862A21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Муниципальная программа (всего), в том числе:</w:t>
            </w:r>
          </w:p>
          <w:p w:rsidR="00862A21" w:rsidRDefault="00862A21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30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558 005,6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528 919,2</w:t>
            </w:r>
          </w:p>
        </w:tc>
        <w:tc>
          <w:tcPr>
            <w:tcW w:w="1559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527 196,0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522 608,5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522 608,5</w:t>
            </w:r>
          </w:p>
        </w:tc>
        <w:tc>
          <w:tcPr>
            <w:tcW w:w="1414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522 608,5</w:t>
            </w:r>
          </w:p>
        </w:tc>
        <w:tc>
          <w:tcPr>
            <w:tcW w:w="1559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3 181 946,3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Федеральный бюджет</w:t>
            </w:r>
          </w:p>
        </w:tc>
        <w:tc>
          <w:tcPr>
            <w:tcW w:w="213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6 379,0</w:t>
            </w:r>
          </w:p>
        </w:tc>
        <w:tc>
          <w:tcPr>
            <w:tcW w:w="1417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6 561,9</w:t>
            </w:r>
          </w:p>
        </w:tc>
        <w:tc>
          <w:tcPr>
            <w:tcW w:w="1559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6 750,5</w:t>
            </w:r>
          </w:p>
        </w:tc>
        <w:tc>
          <w:tcPr>
            <w:tcW w:w="1417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6 970,3</w:t>
            </w:r>
          </w:p>
        </w:tc>
        <w:tc>
          <w:tcPr>
            <w:tcW w:w="1417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6 970,3</w:t>
            </w:r>
          </w:p>
        </w:tc>
        <w:tc>
          <w:tcPr>
            <w:tcW w:w="1414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6 970,3</w:t>
            </w:r>
          </w:p>
        </w:tc>
        <w:tc>
          <w:tcPr>
            <w:tcW w:w="1559" w:type="dxa"/>
          </w:tcPr>
          <w:p w:rsidR="00862A21" w:rsidRDefault="00EB26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40 602,3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Бюджет автономного округа</w:t>
            </w:r>
          </w:p>
        </w:tc>
        <w:tc>
          <w:tcPr>
            <w:tcW w:w="213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15 482,2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15 953,3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15 779,2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15 913,8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15 913,8</w:t>
            </w:r>
          </w:p>
        </w:tc>
        <w:tc>
          <w:tcPr>
            <w:tcW w:w="141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15 913,8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94 956,1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Местный бюджет</w:t>
            </w:r>
          </w:p>
        </w:tc>
        <w:tc>
          <w:tcPr>
            <w:tcW w:w="213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536 144,4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506 404,0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504 666,3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499 724,4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499 724,4</w:t>
            </w:r>
          </w:p>
        </w:tc>
        <w:tc>
          <w:tcPr>
            <w:tcW w:w="141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499 724,4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3 046 387,9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1.Комплекс процессных мероприятий «Обеспечение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деятельности органов местного самоуправления» (всего), в том числе:</w:t>
            </w:r>
          </w:p>
        </w:tc>
        <w:tc>
          <w:tcPr>
            <w:tcW w:w="2130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310 512,0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295 530,8</w:t>
            </w:r>
          </w:p>
        </w:tc>
        <w:tc>
          <w:tcPr>
            <w:tcW w:w="1559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295 364,9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310 359,3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310 359,3</w:t>
            </w:r>
          </w:p>
        </w:tc>
        <w:tc>
          <w:tcPr>
            <w:tcW w:w="1414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310 359,3</w:t>
            </w:r>
          </w:p>
        </w:tc>
        <w:tc>
          <w:tcPr>
            <w:tcW w:w="1559" w:type="dxa"/>
          </w:tcPr>
          <w:p w:rsidR="00862A21" w:rsidRDefault="00862A21">
            <w:pPr>
              <w:tabs>
                <w:tab w:val="left" w:pos="50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1 832 485,6</w:t>
            </w:r>
          </w:p>
        </w:tc>
      </w:tr>
      <w:tr w:rsidR="00862A21">
        <w:trPr>
          <w:gridAfter w:val="1"/>
          <w:wAfter w:w="10" w:type="dxa"/>
          <w:trHeight w:val="465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Местный бюджет</w:t>
            </w:r>
          </w:p>
        </w:tc>
        <w:tc>
          <w:tcPr>
            <w:tcW w:w="213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310 512,0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295 530,8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295 364,9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310 359,3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310 359,3</w:t>
            </w:r>
          </w:p>
        </w:tc>
        <w:tc>
          <w:tcPr>
            <w:tcW w:w="141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310 359,3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1 832 485,6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2.Комплекс процессных мероприятий «Осуществление переданных государственных полномочий» (всего), в том числе:</w:t>
            </w:r>
          </w:p>
        </w:tc>
        <w:tc>
          <w:tcPr>
            <w:tcW w:w="2130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21 861,2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22 515,2</w:t>
            </w:r>
          </w:p>
        </w:tc>
        <w:tc>
          <w:tcPr>
            <w:tcW w:w="1559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22 529,7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22 884,1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22 884,1</w:t>
            </w:r>
          </w:p>
        </w:tc>
        <w:tc>
          <w:tcPr>
            <w:tcW w:w="1414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22 884,1</w:t>
            </w:r>
          </w:p>
        </w:tc>
        <w:tc>
          <w:tcPr>
            <w:tcW w:w="1559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135 558,4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Федеральный бюджет</w:t>
            </w:r>
          </w:p>
        </w:tc>
        <w:tc>
          <w:tcPr>
            <w:tcW w:w="213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6 379,0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6 561,9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6 750,5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6 970,3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6 970,3</w:t>
            </w:r>
          </w:p>
        </w:tc>
        <w:tc>
          <w:tcPr>
            <w:tcW w:w="141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6 970,3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40 602,3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Бюджет автономного округа</w:t>
            </w:r>
          </w:p>
        </w:tc>
        <w:tc>
          <w:tcPr>
            <w:tcW w:w="213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15 482,2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15 953,3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15 779,2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15 913,8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15 913,8</w:t>
            </w:r>
          </w:p>
        </w:tc>
        <w:tc>
          <w:tcPr>
            <w:tcW w:w="141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15 913,8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94 956,1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3.Комплекс процессных мероприятий «Исполнение иных функций и полномочий органов местного самоуправления» (всего), в том числе:</w:t>
            </w:r>
          </w:p>
        </w:tc>
        <w:tc>
          <w:tcPr>
            <w:tcW w:w="2130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10 983,9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1559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1414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1559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10 983,9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Местный бюджет</w:t>
            </w:r>
          </w:p>
        </w:tc>
        <w:tc>
          <w:tcPr>
            <w:tcW w:w="213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10 983,9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141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0,0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10 983,9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4.Комплекс процессных мероприятий «Обеспечение деятельности органов местного самоуправления, содержания и эксплуатации зданий и объектов» (всего), в том числе:</w:t>
            </w:r>
          </w:p>
        </w:tc>
        <w:tc>
          <w:tcPr>
            <w:tcW w:w="2130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166 119,9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164 109,9</w:t>
            </w:r>
          </w:p>
        </w:tc>
        <w:tc>
          <w:tcPr>
            <w:tcW w:w="1559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162 629,9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139 552,1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139 552,1</w:t>
            </w:r>
          </w:p>
        </w:tc>
        <w:tc>
          <w:tcPr>
            <w:tcW w:w="1414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139 552,1</w:t>
            </w:r>
          </w:p>
        </w:tc>
        <w:tc>
          <w:tcPr>
            <w:tcW w:w="1559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911 516,0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Местный бюджет</w:t>
            </w:r>
          </w:p>
        </w:tc>
        <w:tc>
          <w:tcPr>
            <w:tcW w:w="213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166 119,9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164 109,9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162 629,9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139 552,1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139 552,1</w:t>
            </w:r>
          </w:p>
        </w:tc>
        <w:tc>
          <w:tcPr>
            <w:tcW w:w="141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139 552,1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911 516,0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5.Комплекс процессных мероприятий «Реализация полномочий органов местного самоуправления в сфере строительства, реконструкции, ремонта, технического обслуживания объектов жилищного, промышленного, гражданского строительства, объектов коммунального,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социально-культурного назначения, а также реализация полномочий в сфере владения и пользования муниципальным имуществом» (всего), в том числе:</w:t>
            </w:r>
          </w:p>
        </w:tc>
        <w:tc>
          <w:tcPr>
            <w:tcW w:w="2130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48 528,6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46 763,3</w:t>
            </w:r>
          </w:p>
        </w:tc>
        <w:tc>
          <w:tcPr>
            <w:tcW w:w="1559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46 671,5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49 813,0</w:t>
            </w:r>
          </w:p>
        </w:tc>
        <w:tc>
          <w:tcPr>
            <w:tcW w:w="1417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49 813,0</w:t>
            </w:r>
          </w:p>
        </w:tc>
        <w:tc>
          <w:tcPr>
            <w:tcW w:w="1414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49 813,0</w:t>
            </w:r>
          </w:p>
        </w:tc>
        <w:tc>
          <w:tcPr>
            <w:tcW w:w="1559" w:type="dxa"/>
          </w:tcPr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862A21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291 402,4</w:t>
            </w:r>
          </w:p>
        </w:tc>
      </w:tr>
      <w:tr w:rsidR="00862A21">
        <w:trPr>
          <w:gridAfter w:val="1"/>
          <w:wAfter w:w="10" w:type="dxa"/>
        </w:trPr>
        <w:tc>
          <w:tcPr>
            <w:tcW w:w="3970" w:type="dxa"/>
          </w:tcPr>
          <w:p w:rsidR="00862A21" w:rsidRDefault="00EB26D8">
            <w:pPr>
              <w:tabs>
                <w:tab w:val="left" w:pos="50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Местный бюджет</w:t>
            </w:r>
          </w:p>
        </w:tc>
        <w:tc>
          <w:tcPr>
            <w:tcW w:w="2130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48 528,6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46 763,3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46 671,5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49 813,0</w:t>
            </w:r>
          </w:p>
        </w:tc>
        <w:tc>
          <w:tcPr>
            <w:tcW w:w="1417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49 813,0</w:t>
            </w:r>
          </w:p>
        </w:tc>
        <w:tc>
          <w:tcPr>
            <w:tcW w:w="1414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49 813,0</w:t>
            </w:r>
          </w:p>
        </w:tc>
        <w:tc>
          <w:tcPr>
            <w:tcW w:w="1559" w:type="dxa"/>
          </w:tcPr>
          <w:p w:rsidR="00862A21" w:rsidRDefault="00EB26D8">
            <w:pPr>
              <w:tabs>
                <w:tab w:val="left" w:pos="50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291 402,4</w:t>
            </w:r>
          </w:p>
        </w:tc>
      </w:tr>
    </w:tbl>
    <w:p w:rsidR="00862A21" w:rsidRDefault="00862A21">
      <w:pPr>
        <w:tabs>
          <w:tab w:val="left" w:pos="5085"/>
        </w:tabs>
        <w:jc w:val="center"/>
        <w:rPr>
          <w:rFonts w:ascii="Times New Roman" w:hAnsi="Times New Roman" w:cs="Times New Roman"/>
          <w:color w:val="FF0000"/>
          <w:sz w:val="20"/>
          <w:szCs w:val="20"/>
          <w:highlight w:val="white"/>
        </w:rPr>
      </w:pPr>
    </w:p>
    <w:sectPr w:rsidR="00862A21">
      <w:pgSz w:w="16838" w:h="11905" w:orient="landscape"/>
      <w:pgMar w:top="1134" w:right="567" w:bottom="1134" w:left="1701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D8" w:rsidRDefault="00EB26D8">
      <w:pPr>
        <w:spacing w:after="0" w:line="240" w:lineRule="auto"/>
      </w:pPr>
      <w:r>
        <w:separator/>
      </w:r>
    </w:p>
  </w:endnote>
  <w:endnote w:type="continuationSeparator" w:id="0">
    <w:p w:rsidR="00EB26D8" w:rsidRDefault="00EB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D8" w:rsidRDefault="00EB26D8">
      <w:pPr>
        <w:spacing w:after="0" w:line="240" w:lineRule="auto"/>
      </w:pPr>
      <w:r>
        <w:separator/>
      </w:r>
    </w:p>
  </w:footnote>
  <w:footnote w:type="continuationSeparator" w:id="0">
    <w:p w:rsidR="00EB26D8" w:rsidRDefault="00EB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040767"/>
      <w:docPartObj>
        <w:docPartGallery w:val="Page Numbers (Top of Page)"/>
        <w:docPartUnique/>
      </w:docPartObj>
    </w:sdtPr>
    <w:sdtEndPr/>
    <w:sdtContent>
      <w:p w:rsidR="00862A21" w:rsidRDefault="00862A21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862A21" w:rsidRDefault="000A1F11">
        <w:pPr>
          <w:pStyle w:val="af1"/>
          <w:jc w:val="center"/>
        </w:pPr>
      </w:p>
    </w:sdtContent>
  </w:sdt>
  <w:p w:rsidR="00862A21" w:rsidRDefault="00862A2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21" w:rsidRDefault="00862A21">
    <w:pPr>
      <w:pStyle w:val="af1"/>
      <w:jc w:val="center"/>
    </w:pPr>
  </w:p>
  <w:p w:rsidR="00862A21" w:rsidRDefault="00862A2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BA6"/>
    <w:multiLevelType w:val="hybridMultilevel"/>
    <w:tmpl w:val="AB5A1DA6"/>
    <w:lvl w:ilvl="0" w:tplc="D0A836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BDE9E3E">
      <w:start w:val="1"/>
      <w:numFmt w:val="lowerLetter"/>
      <w:lvlText w:val="%2."/>
      <w:lvlJc w:val="left"/>
      <w:pPr>
        <w:ind w:left="1440" w:hanging="360"/>
      </w:pPr>
    </w:lvl>
    <w:lvl w:ilvl="2" w:tplc="37B22F30">
      <w:start w:val="1"/>
      <w:numFmt w:val="lowerRoman"/>
      <w:lvlText w:val="%3."/>
      <w:lvlJc w:val="right"/>
      <w:pPr>
        <w:ind w:left="2160" w:hanging="180"/>
      </w:pPr>
    </w:lvl>
    <w:lvl w:ilvl="3" w:tplc="A11C2C00">
      <w:start w:val="1"/>
      <w:numFmt w:val="decimal"/>
      <w:lvlText w:val="%4."/>
      <w:lvlJc w:val="left"/>
      <w:pPr>
        <w:ind w:left="2880" w:hanging="360"/>
      </w:pPr>
    </w:lvl>
    <w:lvl w:ilvl="4" w:tplc="77C078DC">
      <w:start w:val="1"/>
      <w:numFmt w:val="lowerLetter"/>
      <w:lvlText w:val="%5."/>
      <w:lvlJc w:val="left"/>
      <w:pPr>
        <w:ind w:left="3600" w:hanging="360"/>
      </w:pPr>
    </w:lvl>
    <w:lvl w:ilvl="5" w:tplc="FFEA53AC">
      <w:start w:val="1"/>
      <w:numFmt w:val="lowerRoman"/>
      <w:lvlText w:val="%6."/>
      <w:lvlJc w:val="right"/>
      <w:pPr>
        <w:ind w:left="4320" w:hanging="180"/>
      </w:pPr>
    </w:lvl>
    <w:lvl w:ilvl="6" w:tplc="828C9750">
      <w:start w:val="1"/>
      <w:numFmt w:val="decimal"/>
      <w:lvlText w:val="%7."/>
      <w:lvlJc w:val="left"/>
      <w:pPr>
        <w:ind w:left="5040" w:hanging="360"/>
      </w:pPr>
    </w:lvl>
    <w:lvl w:ilvl="7" w:tplc="78F48D8C">
      <w:start w:val="1"/>
      <w:numFmt w:val="lowerLetter"/>
      <w:lvlText w:val="%8."/>
      <w:lvlJc w:val="left"/>
      <w:pPr>
        <w:ind w:left="5760" w:hanging="360"/>
      </w:pPr>
    </w:lvl>
    <w:lvl w:ilvl="8" w:tplc="B14C42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3448"/>
    <w:multiLevelType w:val="hybridMultilevel"/>
    <w:tmpl w:val="C464DEFA"/>
    <w:lvl w:ilvl="0" w:tplc="9C7EF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88C90C">
      <w:start w:val="1"/>
      <w:numFmt w:val="lowerLetter"/>
      <w:lvlText w:val="%2."/>
      <w:lvlJc w:val="left"/>
      <w:pPr>
        <w:ind w:left="1440" w:hanging="360"/>
      </w:pPr>
    </w:lvl>
    <w:lvl w:ilvl="2" w:tplc="77207F92">
      <w:start w:val="1"/>
      <w:numFmt w:val="lowerRoman"/>
      <w:lvlText w:val="%3."/>
      <w:lvlJc w:val="right"/>
      <w:pPr>
        <w:ind w:left="2160" w:hanging="180"/>
      </w:pPr>
    </w:lvl>
    <w:lvl w:ilvl="3" w:tplc="8D3A6384">
      <w:start w:val="1"/>
      <w:numFmt w:val="decimal"/>
      <w:lvlText w:val="%4."/>
      <w:lvlJc w:val="left"/>
      <w:pPr>
        <w:ind w:left="2880" w:hanging="360"/>
      </w:pPr>
    </w:lvl>
    <w:lvl w:ilvl="4" w:tplc="1C6469CE">
      <w:start w:val="1"/>
      <w:numFmt w:val="lowerLetter"/>
      <w:lvlText w:val="%5."/>
      <w:lvlJc w:val="left"/>
      <w:pPr>
        <w:ind w:left="3600" w:hanging="360"/>
      </w:pPr>
    </w:lvl>
    <w:lvl w:ilvl="5" w:tplc="8DFA2CBE">
      <w:start w:val="1"/>
      <w:numFmt w:val="lowerRoman"/>
      <w:lvlText w:val="%6."/>
      <w:lvlJc w:val="right"/>
      <w:pPr>
        <w:ind w:left="4320" w:hanging="180"/>
      </w:pPr>
    </w:lvl>
    <w:lvl w:ilvl="6" w:tplc="C6FADB42">
      <w:start w:val="1"/>
      <w:numFmt w:val="decimal"/>
      <w:lvlText w:val="%7."/>
      <w:lvlJc w:val="left"/>
      <w:pPr>
        <w:ind w:left="5040" w:hanging="360"/>
      </w:pPr>
    </w:lvl>
    <w:lvl w:ilvl="7" w:tplc="252458F0">
      <w:start w:val="1"/>
      <w:numFmt w:val="lowerLetter"/>
      <w:lvlText w:val="%8."/>
      <w:lvlJc w:val="left"/>
      <w:pPr>
        <w:ind w:left="5760" w:hanging="360"/>
      </w:pPr>
    </w:lvl>
    <w:lvl w:ilvl="8" w:tplc="483C7C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098E"/>
    <w:multiLevelType w:val="hybridMultilevel"/>
    <w:tmpl w:val="8AF2E33E"/>
    <w:lvl w:ilvl="0" w:tplc="696A8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82D9E0">
      <w:start w:val="1"/>
      <w:numFmt w:val="lowerLetter"/>
      <w:lvlText w:val="%2."/>
      <w:lvlJc w:val="left"/>
      <w:pPr>
        <w:ind w:left="1440" w:hanging="360"/>
      </w:pPr>
    </w:lvl>
    <w:lvl w:ilvl="2" w:tplc="FFDC3EC2">
      <w:start w:val="1"/>
      <w:numFmt w:val="lowerRoman"/>
      <w:lvlText w:val="%3."/>
      <w:lvlJc w:val="right"/>
      <w:pPr>
        <w:ind w:left="2160" w:hanging="180"/>
      </w:pPr>
    </w:lvl>
    <w:lvl w:ilvl="3" w:tplc="FF200014">
      <w:start w:val="1"/>
      <w:numFmt w:val="decimal"/>
      <w:lvlText w:val="%4."/>
      <w:lvlJc w:val="left"/>
      <w:pPr>
        <w:ind w:left="2880" w:hanging="360"/>
      </w:pPr>
    </w:lvl>
    <w:lvl w:ilvl="4" w:tplc="6CD457EA">
      <w:start w:val="1"/>
      <w:numFmt w:val="lowerLetter"/>
      <w:lvlText w:val="%5."/>
      <w:lvlJc w:val="left"/>
      <w:pPr>
        <w:ind w:left="3600" w:hanging="360"/>
      </w:pPr>
    </w:lvl>
    <w:lvl w:ilvl="5" w:tplc="3174A0EA">
      <w:start w:val="1"/>
      <w:numFmt w:val="lowerRoman"/>
      <w:lvlText w:val="%6."/>
      <w:lvlJc w:val="right"/>
      <w:pPr>
        <w:ind w:left="4320" w:hanging="180"/>
      </w:pPr>
    </w:lvl>
    <w:lvl w:ilvl="6" w:tplc="B8949BFA">
      <w:start w:val="1"/>
      <w:numFmt w:val="decimal"/>
      <w:lvlText w:val="%7."/>
      <w:lvlJc w:val="left"/>
      <w:pPr>
        <w:ind w:left="5040" w:hanging="360"/>
      </w:pPr>
    </w:lvl>
    <w:lvl w:ilvl="7" w:tplc="70A61FFA">
      <w:start w:val="1"/>
      <w:numFmt w:val="lowerLetter"/>
      <w:lvlText w:val="%8."/>
      <w:lvlJc w:val="left"/>
      <w:pPr>
        <w:ind w:left="5760" w:hanging="360"/>
      </w:pPr>
    </w:lvl>
    <w:lvl w:ilvl="8" w:tplc="3CC81F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C518A"/>
    <w:multiLevelType w:val="hybridMultilevel"/>
    <w:tmpl w:val="BDB0A734"/>
    <w:lvl w:ilvl="0" w:tplc="E63E638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191CAD74">
      <w:start w:val="1"/>
      <w:numFmt w:val="lowerLetter"/>
      <w:lvlText w:val="%2."/>
      <w:lvlJc w:val="left"/>
      <w:pPr>
        <w:ind w:left="1788" w:hanging="360"/>
      </w:pPr>
    </w:lvl>
    <w:lvl w:ilvl="2" w:tplc="DC566E1A">
      <w:start w:val="1"/>
      <w:numFmt w:val="lowerRoman"/>
      <w:lvlText w:val="%3."/>
      <w:lvlJc w:val="right"/>
      <w:pPr>
        <w:ind w:left="2508" w:hanging="180"/>
      </w:pPr>
    </w:lvl>
    <w:lvl w:ilvl="3" w:tplc="4FE09E28">
      <w:start w:val="1"/>
      <w:numFmt w:val="decimal"/>
      <w:lvlText w:val="%4."/>
      <w:lvlJc w:val="left"/>
      <w:pPr>
        <w:ind w:left="3228" w:hanging="360"/>
      </w:pPr>
    </w:lvl>
    <w:lvl w:ilvl="4" w:tplc="D98095E2">
      <w:start w:val="1"/>
      <w:numFmt w:val="lowerLetter"/>
      <w:lvlText w:val="%5."/>
      <w:lvlJc w:val="left"/>
      <w:pPr>
        <w:ind w:left="3948" w:hanging="360"/>
      </w:pPr>
    </w:lvl>
    <w:lvl w:ilvl="5" w:tplc="9174B4EE">
      <w:start w:val="1"/>
      <w:numFmt w:val="lowerRoman"/>
      <w:lvlText w:val="%6."/>
      <w:lvlJc w:val="right"/>
      <w:pPr>
        <w:ind w:left="4668" w:hanging="180"/>
      </w:pPr>
    </w:lvl>
    <w:lvl w:ilvl="6" w:tplc="94EEF902">
      <w:start w:val="1"/>
      <w:numFmt w:val="decimal"/>
      <w:lvlText w:val="%7."/>
      <w:lvlJc w:val="left"/>
      <w:pPr>
        <w:ind w:left="5388" w:hanging="360"/>
      </w:pPr>
    </w:lvl>
    <w:lvl w:ilvl="7" w:tplc="765AF8FC">
      <w:start w:val="1"/>
      <w:numFmt w:val="lowerLetter"/>
      <w:lvlText w:val="%8."/>
      <w:lvlJc w:val="left"/>
      <w:pPr>
        <w:ind w:left="6108" w:hanging="360"/>
      </w:pPr>
    </w:lvl>
    <w:lvl w:ilvl="8" w:tplc="99D4EA50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B81A3C"/>
    <w:multiLevelType w:val="hybridMultilevel"/>
    <w:tmpl w:val="71CE8146"/>
    <w:lvl w:ilvl="0" w:tplc="D2606D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A7C7372">
      <w:start w:val="1"/>
      <w:numFmt w:val="lowerLetter"/>
      <w:lvlText w:val="%2."/>
      <w:lvlJc w:val="left"/>
      <w:pPr>
        <w:ind w:left="1440" w:hanging="360"/>
      </w:pPr>
    </w:lvl>
    <w:lvl w:ilvl="2" w:tplc="3C3E737E">
      <w:start w:val="1"/>
      <w:numFmt w:val="lowerRoman"/>
      <w:lvlText w:val="%3."/>
      <w:lvlJc w:val="right"/>
      <w:pPr>
        <w:ind w:left="2160" w:hanging="180"/>
      </w:pPr>
    </w:lvl>
    <w:lvl w:ilvl="3" w:tplc="4454BA72">
      <w:start w:val="1"/>
      <w:numFmt w:val="decimal"/>
      <w:lvlText w:val="%4."/>
      <w:lvlJc w:val="left"/>
      <w:pPr>
        <w:ind w:left="2880" w:hanging="360"/>
      </w:pPr>
    </w:lvl>
    <w:lvl w:ilvl="4" w:tplc="49D24EF0">
      <w:start w:val="1"/>
      <w:numFmt w:val="lowerLetter"/>
      <w:lvlText w:val="%5."/>
      <w:lvlJc w:val="left"/>
      <w:pPr>
        <w:ind w:left="3600" w:hanging="360"/>
      </w:pPr>
    </w:lvl>
    <w:lvl w:ilvl="5" w:tplc="DB2005E6">
      <w:start w:val="1"/>
      <w:numFmt w:val="lowerRoman"/>
      <w:lvlText w:val="%6."/>
      <w:lvlJc w:val="right"/>
      <w:pPr>
        <w:ind w:left="4320" w:hanging="180"/>
      </w:pPr>
    </w:lvl>
    <w:lvl w:ilvl="6" w:tplc="CA580FA0">
      <w:start w:val="1"/>
      <w:numFmt w:val="decimal"/>
      <w:lvlText w:val="%7."/>
      <w:lvlJc w:val="left"/>
      <w:pPr>
        <w:ind w:left="5040" w:hanging="360"/>
      </w:pPr>
    </w:lvl>
    <w:lvl w:ilvl="7" w:tplc="CE3A0788">
      <w:start w:val="1"/>
      <w:numFmt w:val="lowerLetter"/>
      <w:lvlText w:val="%8."/>
      <w:lvlJc w:val="left"/>
      <w:pPr>
        <w:ind w:left="5760" w:hanging="360"/>
      </w:pPr>
    </w:lvl>
    <w:lvl w:ilvl="8" w:tplc="4406EA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D0A9D"/>
    <w:multiLevelType w:val="hybridMultilevel"/>
    <w:tmpl w:val="AF34E22A"/>
    <w:lvl w:ilvl="0" w:tplc="EA80D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04D550">
      <w:start w:val="1"/>
      <w:numFmt w:val="lowerLetter"/>
      <w:lvlText w:val="%2."/>
      <w:lvlJc w:val="left"/>
      <w:pPr>
        <w:ind w:left="1440" w:hanging="360"/>
      </w:pPr>
    </w:lvl>
    <w:lvl w:ilvl="2" w:tplc="11229872">
      <w:start w:val="1"/>
      <w:numFmt w:val="lowerRoman"/>
      <w:lvlText w:val="%3."/>
      <w:lvlJc w:val="right"/>
      <w:pPr>
        <w:ind w:left="2160" w:hanging="180"/>
      </w:pPr>
    </w:lvl>
    <w:lvl w:ilvl="3" w:tplc="F1F25A40">
      <w:start w:val="1"/>
      <w:numFmt w:val="decimal"/>
      <w:lvlText w:val="%4."/>
      <w:lvlJc w:val="left"/>
      <w:pPr>
        <w:ind w:left="2880" w:hanging="360"/>
      </w:pPr>
    </w:lvl>
    <w:lvl w:ilvl="4" w:tplc="CFA443D6">
      <w:start w:val="1"/>
      <w:numFmt w:val="lowerLetter"/>
      <w:lvlText w:val="%5."/>
      <w:lvlJc w:val="left"/>
      <w:pPr>
        <w:ind w:left="3600" w:hanging="360"/>
      </w:pPr>
    </w:lvl>
    <w:lvl w:ilvl="5" w:tplc="E85A584E">
      <w:start w:val="1"/>
      <w:numFmt w:val="lowerRoman"/>
      <w:lvlText w:val="%6."/>
      <w:lvlJc w:val="right"/>
      <w:pPr>
        <w:ind w:left="4320" w:hanging="180"/>
      </w:pPr>
    </w:lvl>
    <w:lvl w:ilvl="6" w:tplc="FAC4FA06">
      <w:start w:val="1"/>
      <w:numFmt w:val="decimal"/>
      <w:lvlText w:val="%7."/>
      <w:lvlJc w:val="left"/>
      <w:pPr>
        <w:ind w:left="5040" w:hanging="360"/>
      </w:pPr>
    </w:lvl>
    <w:lvl w:ilvl="7" w:tplc="561869BA">
      <w:start w:val="1"/>
      <w:numFmt w:val="lowerLetter"/>
      <w:lvlText w:val="%8."/>
      <w:lvlJc w:val="left"/>
      <w:pPr>
        <w:ind w:left="5760" w:hanging="360"/>
      </w:pPr>
    </w:lvl>
    <w:lvl w:ilvl="8" w:tplc="60D412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B7DF3"/>
    <w:multiLevelType w:val="hybridMultilevel"/>
    <w:tmpl w:val="4E5C948E"/>
    <w:lvl w:ilvl="0" w:tplc="A622D7C0">
      <w:start w:val="1"/>
      <w:numFmt w:val="decimal"/>
      <w:pStyle w:val="1"/>
      <w:suff w:val="space"/>
      <w:lvlText w:val="Глава %1"/>
      <w:lvlJc w:val="left"/>
    </w:lvl>
    <w:lvl w:ilvl="1" w:tplc="8C621B08">
      <w:start w:val="1"/>
      <w:numFmt w:val="none"/>
      <w:pStyle w:val="2"/>
      <w:suff w:val="nothing"/>
      <w:lvlText w:val=""/>
      <w:lvlJc w:val="left"/>
    </w:lvl>
    <w:lvl w:ilvl="2" w:tplc="79A07A18">
      <w:start w:val="1"/>
      <w:numFmt w:val="none"/>
      <w:pStyle w:val="3"/>
      <w:suff w:val="nothing"/>
      <w:lvlText w:val=""/>
      <w:lvlJc w:val="left"/>
    </w:lvl>
    <w:lvl w:ilvl="3" w:tplc="56100DEE">
      <w:start w:val="1"/>
      <w:numFmt w:val="none"/>
      <w:pStyle w:val="4"/>
      <w:suff w:val="nothing"/>
      <w:lvlText w:val=""/>
      <w:lvlJc w:val="left"/>
    </w:lvl>
    <w:lvl w:ilvl="4" w:tplc="A5CE5EF8">
      <w:start w:val="1"/>
      <w:numFmt w:val="none"/>
      <w:pStyle w:val="5"/>
      <w:suff w:val="nothing"/>
      <w:lvlText w:val=""/>
      <w:lvlJc w:val="left"/>
    </w:lvl>
    <w:lvl w:ilvl="5" w:tplc="DA9AF0C2">
      <w:start w:val="1"/>
      <w:numFmt w:val="none"/>
      <w:pStyle w:val="6"/>
      <w:suff w:val="nothing"/>
      <w:lvlText w:val=""/>
      <w:lvlJc w:val="left"/>
    </w:lvl>
    <w:lvl w:ilvl="6" w:tplc="D552249E">
      <w:start w:val="1"/>
      <w:numFmt w:val="none"/>
      <w:pStyle w:val="7"/>
      <w:suff w:val="nothing"/>
      <w:lvlText w:val=""/>
      <w:lvlJc w:val="left"/>
    </w:lvl>
    <w:lvl w:ilvl="7" w:tplc="0E74D03A">
      <w:start w:val="1"/>
      <w:numFmt w:val="none"/>
      <w:pStyle w:val="8"/>
      <w:suff w:val="nothing"/>
      <w:lvlText w:val=""/>
      <w:lvlJc w:val="left"/>
    </w:lvl>
    <w:lvl w:ilvl="8" w:tplc="EA2A0580">
      <w:start w:val="1"/>
      <w:numFmt w:val="none"/>
      <w:pStyle w:val="9"/>
      <w:suff w:val="nothing"/>
      <w:lvlText w:val=""/>
      <w:lvlJc w:val="left"/>
    </w:lvl>
  </w:abstractNum>
  <w:abstractNum w:abstractNumId="7" w15:restartNumberingAfterBreak="0">
    <w:nsid w:val="5B772C35"/>
    <w:multiLevelType w:val="hybridMultilevel"/>
    <w:tmpl w:val="46D02D5C"/>
    <w:lvl w:ilvl="0" w:tplc="8C46C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46ABF6">
      <w:start w:val="1"/>
      <w:numFmt w:val="lowerLetter"/>
      <w:lvlText w:val="%2."/>
      <w:lvlJc w:val="left"/>
      <w:pPr>
        <w:ind w:left="1440" w:hanging="360"/>
      </w:pPr>
    </w:lvl>
    <w:lvl w:ilvl="2" w:tplc="78141E44">
      <w:start w:val="1"/>
      <w:numFmt w:val="lowerRoman"/>
      <w:lvlText w:val="%3."/>
      <w:lvlJc w:val="right"/>
      <w:pPr>
        <w:ind w:left="2160" w:hanging="180"/>
      </w:pPr>
    </w:lvl>
    <w:lvl w:ilvl="3" w:tplc="76FAAFF2">
      <w:start w:val="1"/>
      <w:numFmt w:val="decimal"/>
      <w:lvlText w:val="%4."/>
      <w:lvlJc w:val="left"/>
      <w:pPr>
        <w:ind w:left="2880" w:hanging="360"/>
      </w:pPr>
    </w:lvl>
    <w:lvl w:ilvl="4" w:tplc="585E781A">
      <w:start w:val="1"/>
      <w:numFmt w:val="lowerLetter"/>
      <w:lvlText w:val="%5."/>
      <w:lvlJc w:val="left"/>
      <w:pPr>
        <w:ind w:left="3600" w:hanging="360"/>
      </w:pPr>
    </w:lvl>
    <w:lvl w:ilvl="5" w:tplc="07AC9DCA">
      <w:start w:val="1"/>
      <w:numFmt w:val="lowerRoman"/>
      <w:lvlText w:val="%6."/>
      <w:lvlJc w:val="right"/>
      <w:pPr>
        <w:ind w:left="4320" w:hanging="180"/>
      </w:pPr>
    </w:lvl>
    <w:lvl w:ilvl="6" w:tplc="E222B370">
      <w:start w:val="1"/>
      <w:numFmt w:val="decimal"/>
      <w:lvlText w:val="%7."/>
      <w:lvlJc w:val="left"/>
      <w:pPr>
        <w:ind w:left="5040" w:hanging="360"/>
      </w:pPr>
    </w:lvl>
    <w:lvl w:ilvl="7" w:tplc="42CAA66A">
      <w:start w:val="1"/>
      <w:numFmt w:val="lowerLetter"/>
      <w:lvlText w:val="%8."/>
      <w:lvlJc w:val="left"/>
      <w:pPr>
        <w:ind w:left="5760" w:hanging="360"/>
      </w:pPr>
    </w:lvl>
    <w:lvl w:ilvl="8" w:tplc="AEC64E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2560C"/>
    <w:multiLevelType w:val="hybridMultilevel"/>
    <w:tmpl w:val="86C49744"/>
    <w:lvl w:ilvl="0" w:tplc="A4889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7CBEBE">
      <w:start w:val="1"/>
      <w:numFmt w:val="lowerLetter"/>
      <w:lvlText w:val="%2."/>
      <w:lvlJc w:val="left"/>
      <w:pPr>
        <w:ind w:left="1440" w:hanging="360"/>
      </w:pPr>
    </w:lvl>
    <w:lvl w:ilvl="2" w:tplc="1E38C720">
      <w:start w:val="1"/>
      <w:numFmt w:val="lowerRoman"/>
      <w:lvlText w:val="%3."/>
      <w:lvlJc w:val="right"/>
      <w:pPr>
        <w:ind w:left="2160" w:hanging="180"/>
      </w:pPr>
    </w:lvl>
    <w:lvl w:ilvl="3" w:tplc="B122D6DE">
      <w:start w:val="1"/>
      <w:numFmt w:val="decimal"/>
      <w:lvlText w:val="%4."/>
      <w:lvlJc w:val="left"/>
      <w:pPr>
        <w:ind w:left="2880" w:hanging="360"/>
      </w:pPr>
    </w:lvl>
    <w:lvl w:ilvl="4" w:tplc="7E84185E">
      <w:start w:val="1"/>
      <w:numFmt w:val="lowerLetter"/>
      <w:lvlText w:val="%5."/>
      <w:lvlJc w:val="left"/>
      <w:pPr>
        <w:ind w:left="3600" w:hanging="360"/>
      </w:pPr>
    </w:lvl>
    <w:lvl w:ilvl="5" w:tplc="2700A558">
      <w:start w:val="1"/>
      <w:numFmt w:val="lowerRoman"/>
      <w:lvlText w:val="%6."/>
      <w:lvlJc w:val="right"/>
      <w:pPr>
        <w:ind w:left="4320" w:hanging="180"/>
      </w:pPr>
    </w:lvl>
    <w:lvl w:ilvl="6" w:tplc="C84221C8">
      <w:start w:val="1"/>
      <w:numFmt w:val="decimal"/>
      <w:lvlText w:val="%7."/>
      <w:lvlJc w:val="left"/>
      <w:pPr>
        <w:ind w:left="5040" w:hanging="360"/>
      </w:pPr>
    </w:lvl>
    <w:lvl w:ilvl="7" w:tplc="5AEC7492">
      <w:start w:val="1"/>
      <w:numFmt w:val="lowerLetter"/>
      <w:lvlText w:val="%8."/>
      <w:lvlJc w:val="left"/>
      <w:pPr>
        <w:ind w:left="5760" w:hanging="360"/>
      </w:pPr>
    </w:lvl>
    <w:lvl w:ilvl="8" w:tplc="7C90FB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86D85"/>
    <w:multiLevelType w:val="hybridMultilevel"/>
    <w:tmpl w:val="B92EA1F6"/>
    <w:lvl w:ilvl="0" w:tplc="F4922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C63012">
      <w:start w:val="1"/>
      <w:numFmt w:val="lowerLetter"/>
      <w:lvlText w:val="%2."/>
      <w:lvlJc w:val="left"/>
      <w:pPr>
        <w:ind w:left="1440" w:hanging="360"/>
      </w:pPr>
    </w:lvl>
    <w:lvl w:ilvl="2" w:tplc="A9A2486A">
      <w:start w:val="1"/>
      <w:numFmt w:val="lowerRoman"/>
      <w:lvlText w:val="%3."/>
      <w:lvlJc w:val="right"/>
      <w:pPr>
        <w:ind w:left="2160" w:hanging="180"/>
      </w:pPr>
    </w:lvl>
    <w:lvl w:ilvl="3" w:tplc="86C25508">
      <w:start w:val="1"/>
      <w:numFmt w:val="decimal"/>
      <w:lvlText w:val="%4."/>
      <w:lvlJc w:val="left"/>
      <w:pPr>
        <w:ind w:left="2880" w:hanging="360"/>
      </w:pPr>
    </w:lvl>
    <w:lvl w:ilvl="4" w:tplc="725EF35A">
      <w:start w:val="1"/>
      <w:numFmt w:val="lowerLetter"/>
      <w:lvlText w:val="%5."/>
      <w:lvlJc w:val="left"/>
      <w:pPr>
        <w:ind w:left="3600" w:hanging="360"/>
      </w:pPr>
    </w:lvl>
    <w:lvl w:ilvl="5" w:tplc="596CE69E">
      <w:start w:val="1"/>
      <w:numFmt w:val="lowerRoman"/>
      <w:lvlText w:val="%6."/>
      <w:lvlJc w:val="right"/>
      <w:pPr>
        <w:ind w:left="4320" w:hanging="180"/>
      </w:pPr>
    </w:lvl>
    <w:lvl w:ilvl="6" w:tplc="F2B48DB4">
      <w:start w:val="1"/>
      <w:numFmt w:val="decimal"/>
      <w:lvlText w:val="%7."/>
      <w:lvlJc w:val="left"/>
      <w:pPr>
        <w:ind w:left="5040" w:hanging="360"/>
      </w:pPr>
    </w:lvl>
    <w:lvl w:ilvl="7" w:tplc="AAB21380">
      <w:start w:val="1"/>
      <w:numFmt w:val="lowerLetter"/>
      <w:lvlText w:val="%8."/>
      <w:lvlJc w:val="left"/>
      <w:pPr>
        <w:ind w:left="5760" w:hanging="360"/>
      </w:pPr>
    </w:lvl>
    <w:lvl w:ilvl="8" w:tplc="9B3011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21"/>
    <w:rsid w:val="000A1F11"/>
    <w:rsid w:val="001B1B5C"/>
    <w:rsid w:val="00724010"/>
    <w:rsid w:val="00862A21"/>
    <w:rsid w:val="00EB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2F17"/>
  <w15:docId w15:val="{095A26CE-AE4E-43C2-8E87-813B004E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Pr>
      <w:vertAlign w:val="superscript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endnote text"/>
    <w:basedOn w:val="a"/>
    <w:link w:val="af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paragraph" w:styleId="aff1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39E6-4DF4-4CEB-9A2C-2FEC3123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Ольга Викторовна</dc:creator>
  <cp:keywords/>
  <dc:description/>
  <cp:lastModifiedBy>Войцехович Таисия Станиславовна</cp:lastModifiedBy>
  <cp:revision>4</cp:revision>
  <dcterms:created xsi:type="dcterms:W3CDTF">2025-11-07T09:21:00Z</dcterms:created>
  <dcterms:modified xsi:type="dcterms:W3CDTF">2025-11-14T06:35:00Z</dcterms:modified>
</cp:coreProperties>
</file>