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B6AC5" w:rsidRDefault="00FB6AC5" w:rsidP="00FB6AC5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3910">
        <w:rPr>
          <w:rFonts w:ascii="Times New Roman" w:hAnsi="Times New Roman" w:cs="Times New Roman"/>
          <w:b/>
          <w:sz w:val="24"/>
          <w:szCs w:val="24"/>
        </w:rPr>
        <w:t xml:space="preserve">Прогноз социально-экономического развития </w:t>
      </w:r>
    </w:p>
    <w:p w:rsidR="00FB6AC5" w:rsidRDefault="00FB6AC5" w:rsidP="00FB6AC5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10">
        <w:rPr>
          <w:rFonts w:ascii="Times New Roman" w:hAnsi="Times New Roman" w:cs="Times New Roman"/>
          <w:b/>
          <w:sz w:val="24"/>
          <w:szCs w:val="24"/>
        </w:rPr>
        <w:t xml:space="preserve">городского округа город Мегион </w:t>
      </w:r>
    </w:p>
    <w:p w:rsidR="00FB6AC5" w:rsidRPr="00503910" w:rsidRDefault="00FB6AC5" w:rsidP="00FB6AC5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10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03910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до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0391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B6AC5" w:rsidRPr="00503910" w:rsidRDefault="00FB6AC5" w:rsidP="00FB6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6AC5" w:rsidRPr="00586547" w:rsidRDefault="00FB6AC5" w:rsidP="00FB6AC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5FFA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представляет собой комплекс вероятностных оценок возможных путей развития и должен охватывать важнейшие сферы экономики территории и жизнедеятельности ее населения, включая экономическую базу; социально-демографическую ситуацию; уровень жизни, занятость и социальную защиту населения; социальную инфраструктуру; инвестиционный комплекс и финансово-бюджетное </w:t>
      </w:r>
      <w:r w:rsidRPr="00586547">
        <w:rPr>
          <w:rFonts w:ascii="Times New Roman" w:hAnsi="Times New Roman" w:cs="Times New Roman"/>
          <w:sz w:val="24"/>
          <w:szCs w:val="24"/>
        </w:rPr>
        <w:t>обеспечение.</w:t>
      </w:r>
    </w:p>
    <w:p w:rsidR="00FB6AC5" w:rsidRPr="0079523B" w:rsidRDefault="00FB6AC5" w:rsidP="00FB6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547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городского округа город Мегион на 2016 год и параметры прогноза на плановый период до 2018 года сформирован </w:t>
      </w:r>
      <w:r w:rsidRPr="0079523B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</w:t>
      </w:r>
      <w:r w:rsidRPr="00172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22.07.2009 №596     «О порядке разработки прогноза социально-экономического развития Российской Федерации», </w:t>
      </w:r>
      <w:r w:rsidRPr="0079523B">
        <w:rPr>
          <w:rFonts w:ascii="Times New Roman" w:hAnsi="Times New Roman" w:cs="Times New Roman"/>
          <w:sz w:val="24"/>
          <w:szCs w:val="24"/>
        </w:rPr>
        <w:t>с учетом 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 до 201</w:t>
      </w:r>
      <w:r w:rsidR="00586547">
        <w:rPr>
          <w:rFonts w:ascii="Times New Roman" w:hAnsi="Times New Roman" w:cs="Times New Roman"/>
          <w:sz w:val="24"/>
          <w:szCs w:val="24"/>
        </w:rPr>
        <w:t>8</w:t>
      </w:r>
      <w:r w:rsidRPr="0079523B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115EF" w:rsidRPr="00586547">
        <w:rPr>
          <w:rFonts w:ascii="Times New Roman" w:hAnsi="Times New Roman" w:cs="Times New Roman"/>
          <w:sz w:val="24"/>
          <w:szCs w:val="24"/>
        </w:rPr>
        <w:t>основных приоритетов социально-экономического развития городского округа город Мегион, сформулированных в Стратегии социально-экономического развития городского округа город Мегион до 2035 года,</w:t>
      </w:r>
      <w:r w:rsidR="004115EF">
        <w:rPr>
          <w:rFonts w:ascii="Times New Roman" w:hAnsi="Times New Roman" w:cs="Times New Roman"/>
          <w:sz w:val="24"/>
          <w:szCs w:val="24"/>
        </w:rPr>
        <w:t xml:space="preserve"> </w:t>
      </w:r>
      <w:r w:rsidRPr="0079523B">
        <w:rPr>
          <w:rFonts w:ascii="Times New Roman" w:hAnsi="Times New Roman" w:cs="Times New Roman"/>
          <w:sz w:val="24"/>
          <w:szCs w:val="24"/>
        </w:rPr>
        <w:t>а также на основе анализа показателей социально-экономического развития территории за предшествующий период и текущий год с использованием прогнозных индексов-дефляторов по отраслям экономики, представленных Минэкономразвития РФ, прогнозных материалов предприятий, учреждений и организаций, находящихся на территории города, подразделений администрации города.</w:t>
      </w:r>
    </w:p>
    <w:p w:rsidR="00FB6AC5" w:rsidRPr="0079523B" w:rsidRDefault="00FB6AC5" w:rsidP="00FB6AC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9523B">
        <w:rPr>
          <w:rFonts w:ascii="Times New Roman" w:hAnsi="Times New Roman" w:cs="Times New Roman"/>
          <w:sz w:val="24"/>
          <w:szCs w:val="24"/>
        </w:rPr>
        <w:t>Показатели прогноза разработаны в двух вариантах: первый вариант – с учетом относительно менее благоприятного сочетания развития территории, второй вариант предусматривает возможности более высоких темпов роста в экономике за счет использования благоприятных факторов.</w:t>
      </w:r>
    </w:p>
    <w:p w:rsidR="00FB6AC5" w:rsidRPr="00B04AB4" w:rsidRDefault="00FB6AC5" w:rsidP="00FB6AC5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</w:rPr>
        <w:t>Экономическая ситуация в городском округе город Мегион характеризуется отдельными положительными тенденциями в динамике основных социально-экономических показателей</w:t>
      </w:r>
      <w:r w:rsidRPr="00B04AB4">
        <w:rPr>
          <w:rFonts w:ascii="Times New Roman" w:hAnsi="Times New Roman"/>
          <w:color w:val="000000" w:themeColor="text1"/>
          <w:sz w:val="24"/>
        </w:rPr>
        <w:t>.</w:t>
      </w:r>
      <w:r w:rsidRPr="00B0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</w:t>
      </w:r>
      <w:r w:rsidR="004115EF" w:rsidRPr="00B04AB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0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выросла инвестиционная активность, увеличились объемы строительства жилья. В городе сохраняется стабильная</w:t>
      </w:r>
      <w:r w:rsidR="0001308C" w:rsidRPr="00B0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ситуация на рынке труда</w:t>
      </w:r>
      <w:r w:rsidR="00B04AB4" w:rsidRPr="00B04A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1308C" w:rsidRPr="00B0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AB4" w:rsidRPr="00B04AB4">
        <w:rPr>
          <w:rFonts w:ascii="Times New Roman" w:hAnsi="Times New Roman" w:cs="Times New Roman"/>
          <w:color w:val="000000" w:themeColor="text1"/>
          <w:sz w:val="24"/>
          <w:szCs w:val="24"/>
        </w:rPr>
        <w:t>остается низкий</w:t>
      </w:r>
      <w:r w:rsidRPr="00B0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 безработицы. Отмечается рост потребительской активности населения, что свидетельствует об улучшении уровня жизни горожан. Кроме того, благоприятное воздействие на социальные показатели оказало повышение реальной заработной платы и денежных доходов населения.</w:t>
      </w:r>
    </w:p>
    <w:p w:rsidR="00FB6AC5" w:rsidRPr="00B04AB4" w:rsidRDefault="00FB6AC5" w:rsidP="00FB6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B4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приоритетами социально-экономического развития городского округа город Мегион в 201</w:t>
      </w:r>
      <w:r w:rsidR="00B04AB4" w:rsidRPr="00B04AB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04AB4">
        <w:rPr>
          <w:rFonts w:ascii="Times New Roman" w:hAnsi="Times New Roman" w:cs="Times New Roman"/>
          <w:color w:val="000000" w:themeColor="text1"/>
          <w:sz w:val="24"/>
          <w:szCs w:val="24"/>
        </w:rPr>
        <w:t>-201</w:t>
      </w:r>
      <w:r w:rsidR="00B04AB4" w:rsidRPr="00B04AB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0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 будут являться:</w:t>
      </w:r>
    </w:p>
    <w:p w:rsidR="00FB6AC5" w:rsidRPr="007D3545" w:rsidRDefault="00FB6AC5" w:rsidP="00FB6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545">
        <w:rPr>
          <w:rFonts w:ascii="Times New Roman" w:hAnsi="Times New Roman" w:cs="Times New Roman"/>
          <w:color w:val="000000" w:themeColor="text1"/>
          <w:sz w:val="24"/>
          <w:szCs w:val="24"/>
        </w:rPr>
        <w:t>сохранение и развитие промышленного потенциала;</w:t>
      </w:r>
    </w:p>
    <w:p w:rsidR="00FB6AC5" w:rsidRPr="00FF49CB" w:rsidRDefault="00FB6AC5" w:rsidP="00FF49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улучшение инвестиционного климата и увеличение объёмов жилищного </w:t>
      </w:r>
      <w:r w:rsidRPr="00FF49CB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строительства;</w:t>
      </w:r>
    </w:p>
    <w:p w:rsidR="00FF49CB" w:rsidRPr="00FF49CB" w:rsidRDefault="00FF49CB" w:rsidP="00FF4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F49CB">
        <w:rPr>
          <w:rFonts w:ascii="Times New Roman" w:hAnsi="Times New Roman" w:cs="Times New Roman"/>
        </w:rPr>
        <w:t xml:space="preserve">формирование благоприятного инвестиционного климата; </w:t>
      </w:r>
      <w:r w:rsidRPr="00FF49CB">
        <w:rPr>
          <w:rFonts w:ascii="Times New Roman" w:eastAsia="Calibri" w:hAnsi="Times New Roman" w:cs="Times New Roman"/>
        </w:rPr>
        <w:t>использование механизмов государственно-частного партнерства;</w:t>
      </w:r>
    </w:p>
    <w:p w:rsidR="00FB6AC5" w:rsidRPr="00FF49CB" w:rsidRDefault="00FB6AC5" w:rsidP="00FF49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9CB">
        <w:rPr>
          <w:rFonts w:ascii="Times New Roman" w:hAnsi="Times New Roman" w:cs="Times New Roman"/>
          <w:color w:val="000000" w:themeColor="text1"/>
          <w:sz w:val="24"/>
          <w:szCs w:val="24"/>
        </w:rPr>
        <w:t>улучшение жилищных условий населения;</w:t>
      </w:r>
    </w:p>
    <w:p w:rsidR="00FB6AC5" w:rsidRPr="00B04AB4" w:rsidRDefault="00FB6AC5" w:rsidP="00FF49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9CB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 модернизация системы жилищно-коммунального хозяйства, внедрение</w:t>
      </w:r>
      <w:r w:rsidRPr="00B0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энергосберегающих технологий;</w:t>
      </w:r>
    </w:p>
    <w:p w:rsidR="007D3545" w:rsidRPr="00B04AB4" w:rsidRDefault="00FF49CB" w:rsidP="007D35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D3545" w:rsidRPr="00B04AB4">
        <w:rPr>
          <w:rFonts w:ascii="Times New Roman" w:hAnsi="Times New Roman" w:cs="Times New Roman"/>
          <w:color w:val="000000" w:themeColor="text1"/>
          <w:sz w:val="24"/>
          <w:szCs w:val="24"/>
        </w:rPr>
        <w:t>овышение качества услуг жилищно-коммунального комплекса оптимизация затрат на жилищно-коммунальные услуги путем своевременного ремонта, строительства, проведения экономически обоснованной тарифной политики;</w:t>
      </w:r>
    </w:p>
    <w:p w:rsidR="00B04AB4" w:rsidRPr="00FF49CB" w:rsidRDefault="00FB6AC5" w:rsidP="00FB6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9CB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качества услуг в отраслях социальной сферы</w:t>
      </w:r>
      <w:r w:rsidR="00B04AB4" w:rsidRPr="00FF49C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B6AC5" w:rsidRPr="00FF49CB" w:rsidRDefault="00FB6AC5" w:rsidP="00FB6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9CB">
        <w:rPr>
          <w:rFonts w:ascii="Times New Roman" w:hAnsi="Times New Roman" w:cs="Times New Roman"/>
          <w:color w:val="000000" w:themeColor="text1"/>
          <w:sz w:val="24"/>
          <w:szCs w:val="24"/>
        </w:rPr>
        <w:t>улучшение и обновление качества образования, применение инновационных технологий в сфере образования;</w:t>
      </w:r>
    </w:p>
    <w:p w:rsidR="00FB6AC5" w:rsidRPr="00FF49CB" w:rsidRDefault="00FB6AC5" w:rsidP="00FB6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9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повышение доступности дошкольного образования;</w:t>
      </w:r>
    </w:p>
    <w:p w:rsidR="00FB6AC5" w:rsidRPr="00FF49CB" w:rsidRDefault="00B04AB4" w:rsidP="00FB6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охраны труда </w:t>
      </w:r>
      <w:r w:rsidR="00FB6AC5" w:rsidRPr="00FF49CB">
        <w:rPr>
          <w:rFonts w:ascii="Times New Roman" w:hAnsi="Times New Roman" w:cs="Times New Roman"/>
          <w:color w:val="000000" w:themeColor="text1"/>
          <w:sz w:val="24"/>
          <w:szCs w:val="24"/>
        </w:rPr>
        <w:t>и улучшение условий труда;</w:t>
      </w:r>
    </w:p>
    <w:p w:rsidR="00FB6AC5" w:rsidRPr="00FF49CB" w:rsidRDefault="00FB6AC5" w:rsidP="00FB6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9CB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материального уровня жизни населения;</w:t>
      </w:r>
    </w:p>
    <w:p w:rsidR="00FB6AC5" w:rsidRPr="00FF49CB" w:rsidRDefault="00FB6AC5" w:rsidP="00FB6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9CB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доступности среды жизнедеятельности для лиц с ограниченными возможностями;</w:t>
      </w:r>
    </w:p>
    <w:p w:rsidR="00FB6AC5" w:rsidRPr="00FF49CB" w:rsidRDefault="00FB6AC5" w:rsidP="00FB6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содействие сохранение стабильной ситуации на рынке труда;</w:t>
      </w:r>
    </w:p>
    <w:p w:rsidR="00FB6AC5" w:rsidRPr="00FF49CB" w:rsidRDefault="00FB6AC5" w:rsidP="00FB6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9CB">
        <w:rPr>
          <w:rFonts w:ascii="Times New Roman" w:hAnsi="Times New Roman" w:cs="Times New Roman"/>
          <w:color w:val="000000" w:themeColor="text1"/>
          <w:sz w:val="24"/>
          <w:szCs w:val="24"/>
        </w:rPr>
        <w:t>усовершенствование механизмов управления муниципальной собственностью и земельными ресурсами;</w:t>
      </w:r>
    </w:p>
    <w:p w:rsidR="00FB6AC5" w:rsidRPr="00FF49CB" w:rsidRDefault="00FB6AC5" w:rsidP="00FB6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9CB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поддержки развитию малого и среднего бизнеса.</w:t>
      </w:r>
    </w:p>
    <w:p w:rsidR="00FB6AC5" w:rsidRPr="00FF49CB" w:rsidRDefault="00FB6AC5" w:rsidP="00FF49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9CB">
        <w:rPr>
          <w:rFonts w:ascii="Times New Roman" w:hAnsi="Times New Roman" w:cs="Times New Roman"/>
          <w:color w:val="000000" w:themeColor="text1"/>
          <w:sz w:val="24"/>
          <w:szCs w:val="24"/>
        </w:rPr>
        <w:t>С учетом сложившихся показателей прогнозируются следующие тенденции социально-экономического развития города:</w:t>
      </w:r>
    </w:p>
    <w:p w:rsidR="00FF49CB" w:rsidRDefault="00FF49CB" w:rsidP="00FB6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329" w:rsidRPr="00BD5007" w:rsidRDefault="00BD5007" w:rsidP="001575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4C0">
        <w:rPr>
          <w:rFonts w:ascii="Times New Roman" w:hAnsi="Times New Roman" w:cs="Times New Roman"/>
          <w:b/>
          <w:sz w:val="24"/>
          <w:szCs w:val="24"/>
        </w:rPr>
        <w:t>ДЕМОГРАФИЧЕСКАЯ СИТУАЦИЯ</w:t>
      </w:r>
    </w:p>
    <w:p w:rsidR="00DF7329" w:rsidRPr="001E12EC" w:rsidRDefault="00DF7329" w:rsidP="00157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ab/>
      </w:r>
    </w:p>
    <w:p w:rsidR="00DF7329" w:rsidRPr="001E12EC" w:rsidRDefault="00DF7329" w:rsidP="001575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 xml:space="preserve">Демографическая ситуация городского округа город Мегион </w:t>
      </w:r>
      <w:r w:rsidR="0004365C" w:rsidRPr="001E12EC">
        <w:rPr>
          <w:rFonts w:ascii="Times New Roman" w:hAnsi="Times New Roman" w:cs="Times New Roman"/>
          <w:sz w:val="24"/>
          <w:szCs w:val="24"/>
        </w:rPr>
        <w:t>в 2014 году</w:t>
      </w:r>
      <w:r w:rsidRPr="001E12EC">
        <w:rPr>
          <w:rFonts w:ascii="Times New Roman" w:hAnsi="Times New Roman" w:cs="Times New Roman"/>
          <w:sz w:val="24"/>
          <w:szCs w:val="24"/>
        </w:rPr>
        <w:t xml:space="preserve"> приобрела позитивный оттенок в виде прироста численности </w:t>
      </w:r>
      <w:r w:rsidR="00837F50">
        <w:rPr>
          <w:rFonts w:ascii="Times New Roman" w:hAnsi="Times New Roman" w:cs="Times New Roman"/>
          <w:sz w:val="24"/>
          <w:szCs w:val="24"/>
        </w:rPr>
        <w:t>населения</w:t>
      </w:r>
      <w:r w:rsidRPr="001E12EC">
        <w:rPr>
          <w:rFonts w:ascii="Times New Roman" w:hAnsi="Times New Roman" w:cs="Times New Roman"/>
          <w:sz w:val="24"/>
          <w:szCs w:val="24"/>
        </w:rPr>
        <w:t xml:space="preserve"> благодаря </w:t>
      </w:r>
      <w:r w:rsidR="00730743" w:rsidRPr="001E12EC">
        <w:rPr>
          <w:rFonts w:ascii="Times New Roman" w:hAnsi="Times New Roman" w:cs="Times New Roman"/>
          <w:sz w:val="24"/>
          <w:szCs w:val="24"/>
        </w:rPr>
        <w:t>сальдо естественного движения</w:t>
      </w:r>
      <w:r w:rsidR="00B40585">
        <w:rPr>
          <w:rFonts w:ascii="Times New Roman" w:hAnsi="Times New Roman" w:cs="Times New Roman"/>
          <w:sz w:val="24"/>
          <w:szCs w:val="24"/>
        </w:rPr>
        <w:t xml:space="preserve">. Но, при этом практически в 3,8 раза ухудшилось миграционное сальдо. </w:t>
      </w:r>
      <w:r w:rsidR="00B95EFC" w:rsidRPr="001E12EC">
        <w:rPr>
          <w:rFonts w:ascii="Times New Roman" w:hAnsi="Times New Roman" w:cs="Times New Roman"/>
          <w:sz w:val="24"/>
          <w:szCs w:val="24"/>
        </w:rPr>
        <w:t>З</w:t>
      </w:r>
      <w:r w:rsidRPr="001E12EC">
        <w:rPr>
          <w:rFonts w:ascii="Times New Roman" w:hAnsi="Times New Roman" w:cs="Times New Roman"/>
          <w:sz w:val="24"/>
          <w:szCs w:val="24"/>
        </w:rPr>
        <w:t xml:space="preserve">а счёт сальдо рождений – смертей численность увеличилась на </w:t>
      </w:r>
      <w:r w:rsidR="00B95EFC" w:rsidRPr="001E12EC">
        <w:rPr>
          <w:rFonts w:ascii="Times New Roman" w:hAnsi="Times New Roman" w:cs="Times New Roman"/>
          <w:sz w:val="24"/>
          <w:szCs w:val="24"/>
        </w:rPr>
        <w:t>565</w:t>
      </w:r>
      <w:r w:rsidRPr="001E12EC">
        <w:rPr>
          <w:rFonts w:ascii="Times New Roman" w:hAnsi="Times New Roman" w:cs="Times New Roman"/>
          <w:sz w:val="24"/>
          <w:szCs w:val="24"/>
        </w:rPr>
        <w:t xml:space="preserve"> человек, за счёт миграционного </w:t>
      </w:r>
      <w:r w:rsidR="006019B2" w:rsidRPr="001E12EC">
        <w:rPr>
          <w:rFonts w:ascii="Times New Roman" w:hAnsi="Times New Roman" w:cs="Times New Roman"/>
          <w:sz w:val="24"/>
          <w:szCs w:val="24"/>
        </w:rPr>
        <w:t>сальдо</w:t>
      </w:r>
      <w:r w:rsidRPr="001E12EC">
        <w:rPr>
          <w:rFonts w:ascii="Times New Roman" w:hAnsi="Times New Roman" w:cs="Times New Roman"/>
          <w:sz w:val="24"/>
          <w:szCs w:val="24"/>
        </w:rPr>
        <w:t xml:space="preserve"> снизилась на </w:t>
      </w:r>
      <w:r w:rsidR="00B95EFC" w:rsidRPr="001E12EC">
        <w:rPr>
          <w:rFonts w:ascii="Times New Roman" w:hAnsi="Times New Roman" w:cs="Times New Roman"/>
          <w:sz w:val="24"/>
          <w:szCs w:val="24"/>
        </w:rPr>
        <w:t xml:space="preserve">-440 </w:t>
      </w:r>
      <w:r w:rsidRPr="001E12EC">
        <w:rPr>
          <w:rFonts w:ascii="Times New Roman" w:hAnsi="Times New Roman" w:cs="Times New Roman"/>
          <w:sz w:val="24"/>
          <w:szCs w:val="24"/>
        </w:rPr>
        <w:t>человек.</w:t>
      </w:r>
    </w:p>
    <w:p w:rsidR="009F48E6" w:rsidRPr="001E12EC" w:rsidRDefault="009F48E6" w:rsidP="0015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число рождений выше числа смертей в разы, з</w:t>
      </w:r>
      <w:r w:rsidR="00DF7329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A0630E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F7329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показатель составляет </w:t>
      </w:r>
      <w:r w:rsidR="00DF7329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2,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DF7329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раза, 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ниже аналогичного показателя на 2</w:t>
      </w:r>
      <w:r w:rsidR="00DF7329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013 год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6,0%.</w:t>
      </w:r>
    </w:p>
    <w:p w:rsidR="00DF7329" w:rsidRPr="001E12EC" w:rsidRDefault="00DF7329" w:rsidP="0015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Сальдированный результат естественных процессов</w:t>
      </w:r>
      <w:r w:rsidR="009F48E6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</w:t>
      </w:r>
      <w:r w:rsidR="009F48E6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2013 года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F48E6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0,4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37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</w:t>
      </w:r>
      <w:r w:rsidR="009F48E6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</w:t>
      </w:r>
      <w:r w:rsidR="00837F50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9F48E6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рождений на 32</w:t>
      </w:r>
      <w:r w:rsidR="00837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</w:t>
      </w:r>
      <w:r w:rsidR="009F48E6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при этом на 10,1% или 34 случая выросло число смертей.</w:t>
      </w:r>
    </w:p>
    <w:p w:rsidR="009D0FC9" w:rsidRPr="001E12EC" w:rsidRDefault="00CC08D1" w:rsidP="0015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смертности сохранились те же, что и за предыдущие годы, и в процентном  соотношении составляют:</w:t>
      </w:r>
      <w:r w:rsidR="009D0FC9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болезней системы кровообращения 45,9% (37,3% в 2013 году); от злокачественных опухолей 19,9% (23,5%);</w:t>
      </w:r>
      <w:r w:rsidR="009D0FC9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предотвратимых причин 18,3% (16,9%).</w:t>
      </w:r>
      <w:r w:rsidR="009D0FC9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смертность мужского населения значительно выше женской</w:t>
      </w:r>
      <w:r w:rsidR="00480C87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61,1%</w:t>
      </w:r>
      <w:r w:rsidR="00837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числа смертей</w:t>
      </w:r>
      <w:r w:rsidR="00480C87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женская смертность 38,9%. </w:t>
      </w:r>
      <w:r w:rsidR="009D0FC9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факт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ухудшает показатель соотношения численности полов с перевесом числа женщин. </w:t>
      </w:r>
    </w:p>
    <w:p w:rsidR="002417DF" w:rsidRPr="001E12EC" w:rsidRDefault="00434F5A" w:rsidP="0015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Повозрастная структура населения</w:t>
      </w:r>
      <w:r w:rsidR="00A6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изменяется и за 2014 год сложилас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 сторону </w:t>
      </w:r>
      <w:r w:rsidR="00A6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роста численности детского населения на 1,8%, </w:t>
      </w:r>
      <w:r w:rsidR="002A570B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в </w:t>
      </w:r>
      <w:r w:rsidR="00591CC3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</w:t>
      </w:r>
      <w:r w:rsidR="002A570B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91CC3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</w:t>
      </w:r>
      <w:r w:rsidR="002A570B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D0FC9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5,2% </w:t>
      </w:r>
      <w:r w:rsidR="00837F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0FC9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снижения численности</w:t>
      </w:r>
      <w:r w:rsidR="002A570B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</w:t>
      </w:r>
      <w:r w:rsidR="009D0FC9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трудоспособного возраста</w:t>
      </w:r>
      <w:r w:rsidR="00A6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1,5%</w:t>
      </w:r>
      <w:r w:rsidR="00FB4566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растёт нагрузка последних детьми и пенсионерами.</w:t>
      </w:r>
    </w:p>
    <w:p w:rsidR="00D6379A" w:rsidRPr="001E12EC" w:rsidRDefault="00A67B36" w:rsidP="0015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67913" w:rsidRPr="001E12EC">
        <w:rPr>
          <w:rFonts w:ascii="Times New Roman" w:hAnsi="Times New Roman" w:cs="Times New Roman"/>
          <w:sz w:val="24"/>
          <w:szCs w:val="24"/>
        </w:rPr>
        <w:t>играционные потоки не обладают устойчивой динамикой по годам</w:t>
      </w:r>
      <w:r w:rsidR="0093268D">
        <w:rPr>
          <w:rFonts w:ascii="Times New Roman" w:hAnsi="Times New Roman" w:cs="Times New Roman"/>
          <w:sz w:val="24"/>
          <w:szCs w:val="24"/>
        </w:rPr>
        <w:t xml:space="preserve"> и за </w:t>
      </w:r>
      <w:r w:rsidR="003D65C0" w:rsidRPr="001E12EC">
        <w:rPr>
          <w:rFonts w:ascii="Times New Roman" w:hAnsi="Times New Roman" w:cs="Times New Roman"/>
          <w:sz w:val="24"/>
          <w:szCs w:val="24"/>
        </w:rPr>
        <w:t xml:space="preserve">2014 год </w:t>
      </w:r>
      <w:r w:rsidR="0025410B" w:rsidRPr="001E12EC">
        <w:rPr>
          <w:rFonts w:ascii="Times New Roman" w:hAnsi="Times New Roman" w:cs="Times New Roman"/>
          <w:sz w:val="24"/>
          <w:szCs w:val="24"/>
        </w:rPr>
        <w:t>характеризуется отрицательным сальдо</w:t>
      </w:r>
      <w:r w:rsidR="00F66FEF" w:rsidRPr="001E12EC">
        <w:rPr>
          <w:rFonts w:ascii="Times New Roman" w:hAnsi="Times New Roman" w:cs="Times New Roman"/>
          <w:sz w:val="24"/>
          <w:szCs w:val="24"/>
        </w:rPr>
        <w:t>,</w:t>
      </w:r>
      <w:r w:rsidR="0025410B" w:rsidRPr="001E12EC">
        <w:rPr>
          <w:rFonts w:ascii="Times New Roman" w:hAnsi="Times New Roman" w:cs="Times New Roman"/>
          <w:sz w:val="24"/>
          <w:szCs w:val="24"/>
        </w:rPr>
        <w:t xml:space="preserve">  -440 человек</w:t>
      </w:r>
      <w:r w:rsidR="00403DE3" w:rsidRPr="001E12EC">
        <w:rPr>
          <w:rFonts w:ascii="Times New Roman" w:hAnsi="Times New Roman" w:cs="Times New Roman"/>
          <w:sz w:val="24"/>
          <w:szCs w:val="24"/>
        </w:rPr>
        <w:t>,</w:t>
      </w:r>
      <w:r w:rsidR="004238C6">
        <w:rPr>
          <w:rFonts w:ascii="Times New Roman" w:hAnsi="Times New Roman" w:cs="Times New Roman"/>
          <w:sz w:val="24"/>
          <w:szCs w:val="24"/>
        </w:rPr>
        <w:t xml:space="preserve"> что выше в 3,8 раза того же показателя 2013 года. Коэфф</w:t>
      </w:r>
      <w:r w:rsidR="00567913" w:rsidRPr="001E12EC">
        <w:rPr>
          <w:rFonts w:ascii="Times New Roman" w:hAnsi="Times New Roman" w:cs="Times New Roman"/>
          <w:sz w:val="24"/>
          <w:szCs w:val="24"/>
        </w:rPr>
        <w:t xml:space="preserve">ициент миграционного сальдо </w:t>
      </w:r>
      <w:r w:rsidR="004238C6">
        <w:rPr>
          <w:rFonts w:ascii="Times New Roman" w:hAnsi="Times New Roman" w:cs="Times New Roman"/>
          <w:sz w:val="24"/>
          <w:szCs w:val="24"/>
        </w:rPr>
        <w:t>2014 года равен</w:t>
      </w:r>
      <w:r w:rsidR="00824223" w:rsidRPr="001E12EC">
        <w:rPr>
          <w:rFonts w:ascii="Times New Roman" w:hAnsi="Times New Roman" w:cs="Times New Roman"/>
          <w:sz w:val="24"/>
          <w:szCs w:val="24"/>
        </w:rPr>
        <w:t xml:space="preserve">  -7,85</w:t>
      </w:r>
      <w:r w:rsidR="00567913" w:rsidRPr="001E12EC">
        <w:rPr>
          <w:rFonts w:ascii="Times New Roman" w:hAnsi="Times New Roman" w:cs="Times New Roman"/>
          <w:sz w:val="24"/>
          <w:szCs w:val="24"/>
        </w:rPr>
        <w:t xml:space="preserve"> промилле</w:t>
      </w:r>
      <w:r w:rsidR="00824223" w:rsidRPr="001E12EC">
        <w:rPr>
          <w:rFonts w:ascii="Times New Roman" w:hAnsi="Times New Roman" w:cs="Times New Roman"/>
          <w:sz w:val="24"/>
          <w:szCs w:val="24"/>
        </w:rPr>
        <w:t xml:space="preserve"> против </w:t>
      </w:r>
      <w:r w:rsidR="0093268D">
        <w:rPr>
          <w:rFonts w:ascii="Times New Roman" w:hAnsi="Times New Roman" w:cs="Times New Roman"/>
          <w:sz w:val="24"/>
          <w:szCs w:val="24"/>
        </w:rPr>
        <w:t xml:space="preserve"> -</w:t>
      </w:r>
      <w:r w:rsidR="00567913" w:rsidRPr="001E12EC">
        <w:rPr>
          <w:rFonts w:ascii="Times New Roman" w:hAnsi="Times New Roman" w:cs="Times New Roman"/>
          <w:sz w:val="24"/>
          <w:szCs w:val="24"/>
        </w:rPr>
        <w:t xml:space="preserve">2,06 </w:t>
      </w:r>
      <w:r w:rsidR="00824223" w:rsidRPr="001E12EC">
        <w:rPr>
          <w:rFonts w:ascii="Times New Roman" w:hAnsi="Times New Roman" w:cs="Times New Roman"/>
          <w:sz w:val="24"/>
          <w:szCs w:val="24"/>
        </w:rPr>
        <w:t>за 2013 год.</w:t>
      </w:r>
    </w:p>
    <w:p w:rsidR="00CC08D1" w:rsidRPr="001E12EC" w:rsidRDefault="00CC08D1" w:rsidP="0015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2014 год по сравнению с 2013 годом </w:t>
      </w:r>
      <w:r w:rsidR="00061D85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положительным является факт роста числа зарегистрированных браков на 0,9%. Но при этом </w:t>
      </w:r>
      <w:r w:rsidR="001A6162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отрицательный фактор 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7,4% </w:t>
      </w:r>
      <w:r w:rsidR="001A6162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выросло 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оформленных разводов</w:t>
      </w:r>
      <w:r w:rsidR="00D3485D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соответственно выросло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85D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6,8% 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разводов на 100 заключённых браков</w:t>
      </w:r>
      <w:r w:rsidR="00D3485D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EDD" w:rsidRDefault="00D11EDD" w:rsidP="0015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DD" w:rsidRPr="001E12EC" w:rsidRDefault="00D11EDD" w:rsidP="001575B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Прогнозируемые</w:t>
      </w:r>
      <w:r w:rsidR="00BB73D0" w:rsidRPr="001E12EC">
        <w:rPr>
          <w:rFonts w:ascii="Times New Roman" w:hAnsi="Times New Roman" w:cs="Times New Roman"/>
          <w:sz w:val="24"/>
          <w:szCs w:val="24"/>
        </w:rPr>
        <w:t xml:space="preserve"> показатели</w:t>
      </w:r>
      <w:r w:rsidRPr="001E12EC">
        <w:rPr>
          <w:rFonts w:ascii="Times New Roman" w:hAnsi="Times New Roman" w:cs="Times New Roman"/>
          <w:sz w:val="24"/>
          <w:szCs w:val="24"/>
        </w:rPr>
        <w:t xml:space="preserve"> численности городского округа город Мегион </w:t>
      </w:r>
    </w:p>
    <w:p w:rsidR="00BB73D0" w:rsidRPr="001E12EC" w:rsidRDefault="00D11EDD" w:rsidP="001575B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за 201</w:t>
      </w:r>
      <w:r w:rsidR="00E5465F">
        <w:rPr>
          <w:rFonts w:ascii="Times New Roman" w:hAnsi="Times New Roman" w:cs="Times New Roman"/>
          <w:sz w:val="24"/>
          <w:szCs w:val="24"/>
        </w:rPr>
        <w:t>6</w:t>
      </w:r>
      <w:r w:rsidRPr="001E12EC">
        <w:rPr>
          <w:rFonts w:ascii="Times New Roman" w:hAnsi="Times New Roman" w:cs="Times New Roman"/>
          <w:sz w:val="24"/>
          <w:szCs w:val="24"/>
        </w:rPr>
        <w:t>-2018 годы</w:t>
      </w:r>
    </w:p>
    <w:p w:rsidR="00BB73D0" w:rsidRPr="001E12EC" w:rsidRDefault="00BB73D0" w:rsidP="001575B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f3"/>
        <w:tblW w:w="9885" w:type="dxa"/>
        <w:tblLayout w:type="fixed"/>
        <w:tblLook w:val="04A0" w:firstRow="1" w:lastRow="0" w:firstColumn="1" w:lastColumn="0" w:noHBand="0" w:noVBand="1"/>
      </w:tblPr>
      <w:tblGrid>
        <w:gridCol w:w="2085"/>
        <w:gridCol w:w="1130"/>
        <w:gridCol w:w="57"/>
        <w:gridCol w:w="1188"/>
        <w:gridCol w:w="904"/>
        <w:gridCol w:w="904"/>
        <w:gridCol w:w="904"/>
        <w:gridCol w:w="904"/>
        <w:gridCol w:w="904"/>
        <w:gridCol w:w="905"/>
      </w:tblGrid>
      <w:tr w:rsidR="002A1073" w:rsidRPr="001E12EC" w:rsidTr="00E962BE">
        <w:trPr>
          <w:trHeight w:val="219"/>
          <w:tblHeader/>
        </w:trPr>
        <w:tc>
          <w:tcPr>
            <w:tcW w:w="2085" w:type="dxa"/>
            <w:vMerge w:val="restart"/>
            <w:vAlign w:val="center"/>
          </w:tcPr>
          <w:p w:rsidR="002A1073" w:rsidRPr="001E12EC" w:rsidRDefault="002A1073" w:rsidP="0015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87" w:type="dxa"/>
            <w:gridSpan w:val="2"/>
            <w:vAlign w:val="center"/>
          </w:tcPr>
          <w:p w:rsidR="002A1073" w:rsidRPr="001E12EC" w:rsidRDefault="00FF49CB" w:rsidP="0015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Отчёт</w:t>
            </w:r>
          </w:p>
        </w:tc>
        <w:tc>
          <w:tcPr>
            <w:tcW w:w="1188" w:type="dxa"/>
            <w:vAlign w:val="center"/>
          </w:tcPr>
          <w:p w:rsidR="002A1073" w:rsidRPr="001E12EC" w:rsidRDefault="00FF49CB" w:rsidP="0015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5423" w:type="dxa"/>
            <w:gridSpan w:val="6"/>
            <w:vAlign w:val="center"/>
          </w:tcPr>
          <w:p w:rsidR="002A1073" w:rsidRPr="001E12EC" w:rsidRDefault="00FF49CB" w:rsidP="0015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П р о г н о з</w:t>
            </w:r>
          </w:p>
        </w:tc>
      </w:tr>
      <w:tr w:rsidR="002A1073" w:rsidRPr="001E12EC" w:rsidTr="00E962BE">
        <w:trPr>
          <w:trHeight w:val="219"/>
          <w:tblHeader/>
        </w:trPr>
        <w:tc>
          <w:tcPr>
            <w:tcW w:w="2085" w:type="dxa"/>
            <w:vMerge/>
            <w:vAlign w:val="center"/>
          </w:tcPr>
          <w:p w:rsidR="002A1073" w:rsidRPr="001E12EC" w:rsidRDefault="002A1073" w:rsidP="00157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 w:val="restart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188" w:type="dxa"/>
            <w:vMerge w:val="restart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807" w:type="dxa"/>
            <w:gridSpan w:val="2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807" w:type="dxa"/>
            <w:gridSpan w:val="2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808" w:type="dxa"/>
            <w:gridSpan w:val="2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</w:tr>
      <w:tr w:rsidR="002A1073" w:rsidRPr="001E12EC" w:rsidTr="00E962BE">
        <w:trPr>
          <w:trHeight w:val="138"/>
          <w:tblHeader/>
        </w:trPr>
        <w:tc>
          <w:tcPr>
            <w:tcW w:w="2085" w:type="dxa"/>
            <w:vMerge/>
            <w:vAlign w:val="center"/>
          </w:tcPr>
          <w:p w:rsidR="002A1073" w:rsidRPr="001E12EC" w:rsidRDefault="002A1073" w:rsidP="0015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vMerge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 xml:space="preserve"> вариант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 xml:space="preserve"> вариант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905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 xml:space="preserve"> вариант</w:t>
            </w:r>
          </w:p>
        </w:tc>
      </w:tr>
      <w:tr w:rsidR="002A1073" w:rsidRPr="001E12EC" w:rsidTr="00E962BE">
        <w:trPr>
          <w:trHeight w:val="254"/>
        </w:trPr>
        <w:tc>
          <w:tcPr>
            <w:tcW w:w="9883" w:type="dxa"/>
            <w:gridSpan w:val="10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Естественное движение населения</w:t>
            </w:r>
          </w:p>
        </w:tc>
      </w:tr>
      <w:tr w:rsidR="002A1073" w:rsidRPr="001E12EC" w:rsidTr="00E962BE">
        <w:trPr>
          <w:trHeight w:val="254"/>
        </w:trPr>
        <w:tc>
          <w:tcPr>
            <w:tcW w:w="2085" w:type="dxa"/>
            <w:vAlign w:val="center"/>
          </w:tcPr>
          <w:p w:rsidR="002A1073" w:rsidRPr="001E12EC" w:rsidRDefault="002A1073" w:rsidP="0015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Число рождений, человек</w:t>
            </w:r>
          </w:p>
        </w:tc>
        <w:tc>
          <w:tcPr>
            <w:tcW w:w="1187" w:type="dxa"/>
            <w:gridSpan w:val="2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1188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905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</w:tr>
      <w:tr w:rsidR="002A1073" w:rsidRPr="001E12EC" w:rsidTr="00E962BE">
        <w:trPr>
          <w:trHeight w:val="265"/>
        </w:trPr>
        <w:tc>
          <w:tcPr>
            <w:tcW w:w="2085" w:type="dxa"/>
            <w:vAlign w:val="center"/>
          </w:tcPr>
          <w:p w:rsidR="002A1073" w:rsidRPr="001E12EC" w:rsidRDefault="002A1073" w:rsidP="00157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Коэффициент рождаемости, промилле</w:t>
            </w:r>
          </w:p>
        </w:tc>
        <w:tc>
          <w:tcPr>
            <w:tcW w:w="1187" w:type="dxa"/>
            <w:gridSpan w:val="2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16,67</w:t>
            </w:r>
          </w:p>
        </w:tc>
        <w:tc>
          <w:tcPr>
            <w:tcW w:w="1188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16,65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16,62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16,78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16,50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16,68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16,35</w:t>
            </w:r>
          </w:p>
        </w:tc>
        <w:tc>
          <w:tcPr>
            <w:tcW w:w="905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16,54</w:t>
            </w:r>
          </w:p>
        </w:tc>
      </w:tr>
      <w:tr w:rsidR="002A1073" w:rsidRPr="001E12EC" w:rsidTr="00E962BE">
        <w:trPr>
          <w:trHeight w:val="265"/>
        </w:trPr>
        <w:tc>
          <w:tcPr>
            <w:tcW w:w="2085" w:type="dxa"/>
            <w:vAlign w:val="center"/>
          </w:tcPr>
          <w:p w:rsidR="002A1073" w:rsidRPr="001E12EC" w:rsidRDefault="002A1073" w:rsidP="0015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Число смертей, случаев</w:t>
            </w:r>
          </w:p>
        </w:tc>
        <w:tc>
          <w:tcPr>
            <w:tcW w:w="1187" w:type="dxa"/>
            <w:gridSpan w:val="2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88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05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2A1073" w:rsidRPr="001E12EC" w:rsidTr="00E962BE">
        <w:trPr>
          <w:trHeight w:val="265"/>
        </w:trPr>
        <w:tc>
          <w:tcPr>
            <w:tcW w:w="2085" w:type="dxa"/>
            <w:vAlign w:val="center"/>
          </w:tcPr>
          <w:p w:rsidR="002A1073" w:rsidRPr="001E12EC" w:rsidRDefault="002A1073" w:rsidP="00157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Коэффициент смертности, промилле</w:t>
            </w:r>
          </w:p>
        </w:tc>
        <w:tc>
          <w:tcPr>
            <w:tcW w:w="1187" w:type="dxa"/>
            <w:gridSpan w:val="2"/>
            <w:vAlign w:val="center"/>
          </w:tcPr>
          <w:p w:rsidR="002A1073" w:rsidRPr="001E12EC" w:rsidRDefault="002A1073" w:rsidP="00105C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6,</w:t>
            </w:r>
            <w:r w:rsidR="00105C2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88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6,59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6,58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6,52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6,49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6,35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6,39</w:t>
            </w:r>
          </w:p>
        </w:tc>
        <w:tc>
          <w:tcPr>
            <w:tcW w:w="905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6,18</w:t>
            </w:r>
          </w:p>
        </w:tc>
      </w:tr>
      <w:tr w:rsidR="002A1073" w:rsidRPr="001E12EC" w:rsidTr="00E962BE">
        <w:trPr>
          <w:trHeight w:val="265"/>
        </w:trPr>
        <w:tc>
          <w:tcPr>
            <w:tcW w:w="2085" w:type="dxa"/>
            <w:vAlign w:val="center"/>
          </w:tcPr>
          <w:p w:rsidR="002A1073" w:rsidRPr="001E12EC" w:rsidRDefault="002A1073" w:rsidP="0015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Сальдо рождений-смертей</w:t>
            </w:r>
          </w:p>
        </w:tc>
        <w:tc>
          <w:tcPr>
            <w:tcW w:w="1187" w:type="dxa"/>
            <w:gridSpan w:val="2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188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905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</w:tr>
      <w:tr w:rsidR="002A1073" w:rsidRPr="001E12EC" w:rsidTr="00E962BE">
        <w:trPr>
          <w:trHeight w:val="265"/>
        </w:trPr>
        <w:tc>
          <w:tcPr>
            <w:tcW w:w="2085" w:type="dxa"/>
            <w:vAlign w:val="center"/>
          </w:tcPr>
          <w:p w:rsidR="002A1073" w:rsidRPr="001E12EC" w:rsidRDefault="002A1073" w:rsidP="00157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Коэффициент естественного движения населения, промилле</w:t>
            </w:r>
          </w:p>
        </w:tc>
        <w:tc>
          <w:tcPr>
            <w:tcW w:w="1187" w:type="dxa"/>
            <w:gridSpan w:val="2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10,06</w:t>
            </w:r>
          </w:p>
        </w:tc>
        <w:tc>
          <w:tcPr>
            <w:tcW w:w="1188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10,06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10,04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10,27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10,02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10,33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9,97</w:t>
            </w:r>
          </w:p>
        </w:tc>
        <w:tc>
          <w:tcPr>
            <w:tcW w:w="905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10,36</w:t>
            </w:r>
          </w:p>
        </w:tc>
      </w:tr>
      <w:tr w:rsidR="002A1073" w:rsidRPr="001E12EC" w:rsidTr="00E962BE">
        <w:trPr>
          <w:trHeight w:val="254"/>
        </w:trPr>
        <w:tc>
          <w:tcPr>
            <w:tcW w:w="9883" w:type="dxa"/>
            <w:gridSpan w:val="10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Миграционное движение населения</w:t>
            </w:r>
          </w:p>
        </w:tc>
      </w:tr>
      <w:tr w:rsidR="002A1073" w:rsidRPr="001E12EC" w:rsidTr="00E962BE">
        <w:trPr>
          <w:trHeight w:val="277"/>
        </w:trPr>
        <w:tc>
          <w:tcPr>
            <w:tcW w:w="2085" w:type="dxa"/>
            <w:vAlign w:val="center"/>
          </w:tcPr>
          <w:p w:rsidR="002A1073" w:rsidRPr="001E12EC" w:rsidRDefault="002A1073" w:rsidP="0015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Прибыло на территорию, человек</w:t>
            </w:r>
          </w:p>
        </w:tc>
        <w:tc>
          <w:tcPr>
            <w:tcW w:w="1130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</w:tc>
        <w:tc>
          <w:tcPr>
            <w:tcW w:w="1244" w:type="dxa"/>
            <w:gridSpan w:val="2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2713</w:t>
            </w:r>
          </w:p>
        </w:tc>
        <w:tc>
          <w:tcPr>
            <w:tcW w:w="905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</w:tr>
      <w:tr w:rsidR="002A1073" w:rsidRPr="001E12EC" w:rsidTr="00E962BE">
        <w:trPr>
          <w:trHeight w:val="277"/>
        </w:trPr>
        <w:tc>
          <w:tcPr>
            <w:tcW w:w="2085" w:type="dxa"/>
            <w:vAlign w:val="center"/>
          </w:tcPr>
          <w:p w:rsidR="002A1073" w:rsidRPr="001E12EC" w:rsidRDefault="002A1073" w:rsidP="0015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Выбыло из территории, человек</w:t>
            </w:r>
          </w:p>
        </w:tc>
        <w:tc>
          <w:tcPr>
            <w:tcW w:w="1130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3172</w:t>
            </w:r>
          </w:p>
        </w:tc>
        <w:tc>
          <w:tcPr>
            <w:tcW w:w="1244" w:type="dxa"/>
            <w:gridSpan w:val="2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3160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3156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3146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3154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3140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3151</w:t>
            </w:r>
          </w:p>
        </w:tc>
        <w:tc>
          <w:tcPr>
            <w:tcW w:w="905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3130</w:t>
            </w:r>
          </w:p>
        </w:tc>
      </w:tr>
      <w:tr w:rsidR="002A1073" w:rsidRPr="001E12EC" w:rsidTr="00E962BE">
        <w:trPr>
          <w:trHeight w:val="277"/>
        </w:trPr>
        <w:tc>
          <w:tcPr>
            <w:tcW w:w="2085" w:type="dxa"/>
            <w:vAlign w:val="center"/>
          </w:tcPr>
          <w:p w:rsidR="002A1073" w:rsidRPr="001E12EC" w:rsidRDefault="002A1073" w:rsidP="0015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Сальдо миграционных процессов, человек</w:t>
            </w:r>
          </w:p>
        </w:tc>
        <w:tc>
          <w:tcPr>
            <w:tcW w:w="1130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-440</w:t>
            </w:r>
          </w:p>
        </w:tc>
        <w:tc>
          <w:tcPr>
            <w:tcW w:w="1244" w:type="dxa"/>
            <w:gridSpan w:val="2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-460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-456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-246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-444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-140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-438</w:t>
            </w:r>
          </w:p>
        </w:tc>
        <w:tc>
          <w:tcPr>
            <w:tcW w:w="905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-80</w:t>
            </w:r>
          </w:p>
        </w:tc>
      </w:tr>
      <w:tr w:rsidR="002A1073" w:rsidRPr="001E12EC" w:rsidTr="00E962BE">
        <w:trPr>
          <w:trHeight w:val="277"/>
        </w:trPr>
        <w:tc>
          <w:tcPr>
            <w:tcW w:w="2085" w:type="dxa"/>
            <w:vAlign w:val="center"/>
          </w:tcPr>
          <w:p w:rsidR="002A1073" w:rsidRPr="001E12EC" w:rsidRDefault="002A1073" w:rsidP="00157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Коэффициент миграционного движения, промилле</w:t>
            </w:r>
          </w:p>
        </w:tc>
        <w:tc>
          <w:tcPr>
            <w:tcW w:w="1130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-7,85</w:t>
            </w:r>
          </w:p>
        </w:tc>
        <w:tc>
          <w:tcPr>
            <w:tcW w:w="1244" w:type="dxa"/>
            <w:gridSpan w:val="2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-8,19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-8,10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-4,36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-7,83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-2,46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-7,65</w:t>
            </w:r>
          </w:p>
        </w:tc>
        <w:tc>
          <w:tcPr>
            <w:tcW w:w="905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i/>
                <w:sz w:val="24"/>
                <w:szCs w:val="24"/>
              </w:rPr>
              <w:t>-1,39</w:t>
            </w:r>
          </w:p>
        </w:tc>
      </w:tr>
      <w:tr w:rsidR="002A1073" w:rsidRPr="001E12EC" w:rsidTr="00E962BE">
        <w:trPr>
          <w:trHeight w:val="277"/>
        </w:trPr>
        <w:tc>
          <w:tcPr>
            <w:tcW w:w="2085" w:type="dxa"/>
            <w:vAlign w:val="center"/>
          </w:tcPr>
          <w:p w:rsidR="002A1073" w:rsidRPr="001E12EC" w:rsidRDefault="002A1073" w:rsidP="0015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 конец года, человек</w:t>
            </w:r>
          </w:p>
        </w:tc>
        <w:tc>
          <w:tcPr>
            <w:tcW w:w="1130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56104</w:t>
            </w:r>
          </w:p>
        </w:tc>
        <w:tc>
          <w:tcPr>
            <w:tcW w:w="1244" w:type="dxa"/>
            <w:gridSpan w:val="2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56209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56318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56652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56776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57225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57358</w:t>
            </w:r>
          </w:p>
        </w:tc>
        <w:tc>
          <w:tcPr>
            <w:tcW w:w="905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57875</w:t>
            </w:r>
          </w:p>
        </w:tc>
      </w:tr>
      <w:tr w:rsidR="002A1073" w:rsidRPr="001E12EC" w:rsidTr="00E962BE">
        <w:trPr>
          <w:trHeight w:val="277"/>
        </w:trPr>
        <w:tc>
          <w:tcPr>
            <w:tcW w:w="2085" w:type="dxa"/>
            <w:vAlign w:val="center"/>
          </w:tcPr>
          <w:p w:rsidR="002A1073" w:rsidRPr="001E12EC" w:rsidRDefault="002A1073" w:rsidP="0015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среднегодовая, человек</w:t>
            </w:r>
          </w:p>
        </w:tc>
        <w:tc>
          <w:tcPr>
            <w:tcW w:w="1130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56042</w:t>
            </w:r>
          </w:p>
        </w:tc>
        <w:tc>
          <w:tcPr>
            <w:tcW w:w="1244" w:type="dxa"/>
            <w:gridSpan w:val="2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56157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56264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56485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56714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57001</w:t>
            </w:r>
          </w:p>
        </w:tc>
        <w:tc>
          <w:tcPr>
            <w:tcW w:w="904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57292</w:t>
            </w:r>
          </w:p>
        </w:tc>
        <w:tc>
          <w:tcPr>
            <w:tcW w:w="905" w:type="dxa"/>
            <w:vAlign w:val="center"/>
          </w:tcPr>
          <w:p w:rsidR="002A1073" w:rsidRPr="001E12EC" w:rsidRDefault="002A1073" w:rsidP="0015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57617</w:t>
            </w:r>
          </w:p>
        </w:tc>
      </w:tr>
    </w:tbl>
    <w:p w:rsidR="00C346EE" w:rsidRPr="001E12EC" w:rsidRDefault="00C346EE" w:rsidP="001575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3FE4" w:rsidRPr="001E12EC" w:rsidRDefault="00DF7329" w:rsidP="0015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hAnsi="Times New Roman" w:cs="Times New Roman"/>
          <w:sz w:val="24"/>
          <w:szCs w:val="24"/>
        </w:rPr>
        <w:t>Прогнозная численность населения</w:t>
      </w:r>
      <w:r w:rsidR="00403DE3" w:rsidRPr="001E12EC">
        <w:rPr>
          <w:rFonts w:ascii="Times New Roman" w:hAnsi="Times New Roman" w:cs="Times New Roman"/>
          <w:sz w:val="24"/>
          <w:szCs w:val="24"/>
        </w:rPr>
        <w:t>,</w:t>
      </w:r>
      <w:r w:rsidRPr="001E12EC">
        <w:rPr>
          <w:rFonts w:ascii="Times New Roman" w:hAnsi="Times New Roman" w:cs="Times New Roman"/>
          <w:sz w:val="24"/>
          <w:szCs w:val="24"/>
        </w:rPr>
        <w:t xml:space="preserve"> рассчитан</w:t>
      </w:r>
      <w:r w:rsidR="00403DE3" w:rsidRPr="001E12EC">
        <w:rPr>
          <w:rFonts w:ascii="Times New Roman" w:hAnsi="Times New Roman" w:cs="Times New Roman"/>
          <w:sz w:val="24"/>
          <w:szCs w:val="24"/>
        </w:rPr>
        <w:t>ная</w:t>
      </w:r>
      <w:r w:rsidRPr="001E12EC">
        <w:rPr>
          <w:rFonts w:ascii="Times New Roman" w:hAnsi="Times New Roman" w:cs="Times New Roman"/>
          <w:sz w:val="24"/>
          <w:szCs w:val="24"/>
        </w:rPr>
        <w:t xml:space="preserve"> с учётом сегодняшних тенденций демогра</w:t>
      </w:r>
      <w:r w:rsidR="00403DE3" w:rsidRPr="001E12EC">
        <w:rPr>
          <w:rFonts w:ascii="Times New Roman" w:hAnsi="Times New Roman" w:cs="Times New Roman"/>
          <w:sz w:val="24"/>
          <w:szCs w:val="24"/>
        </w:rPr>
        <w:t xml:space="preserve">фического развития территории, </w:t>
      </w:r>
      <w:r w:rsidRPr="001E12EC">
        <w:rPr>
          <w:rFonts w:ascii="Times New Roman" w:hAnsi="Times New Roman" w:cs="Times New Roman"/>
          <w:sz w:val="24"/>
          <w:szCs w:val="24"/>
        </w:rPr>
        <w:t>з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прогнозный период кардинально не изменится</w:t>
      </w:r>
      <w:r w:rsidR="00B83FE4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58A" w:rsidRPr="001E12EC" w:rsidRDefault="00BE558A" w:rsidP="001575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 xml:space="preserve">Относительно высокая рождаемость сохранится </w:t>
      </w:r>
      <w:r w:rsidR="00B3759F">
        <w:rPr>
          <w:rFonts w:ascii="Times New Roman" w:hAnsi="Times New Roman" w:cs="Times New Roman"/>
          <w:sz w:val="24"/>
          <w:szCs w:val="24"/>
        </w:rPr>
        <w:t>и в дальнейшем</w:t>
      </w:r>
      <w:r w:rsidR="00476E5D">
        <w:rPr>
          <w:rFonts w:ascii="Times New Roman" w:hAnsi="Times New Roman" w:cs="Times New Roman"/>
          <w:sz w:val="24"/>
          <w:szCs w:val="24"/>
        </w:rPr>
        <w:t>,</w:t>
      </w:r>
      <w:r w:rsidR="00B3759F">
        <w:rPr>
          <w:rFonts w:ascii="Times New Roman" w:hAnsi="Times New Roman" w:cs="Times New Roman"/>
          <w:sz w:val="24"/>
          <w:szCs w:val="24"/>
        </w:rPr>
        <w:t xml:space="preserve"> </w:t>
      </w:r>
      <w:r w:rsidRPr="001E12EC">
        <w:rPr>
          <w:rFonts w:ascii="Times New Roman" w:hAnsi="Times New Roman" w:cs="Times New Roman"/>
          <w:sz w:val="24"/>
          <w:szCs w:val="24"/>
        </w:rPr>
        <w:t>благодаря</w:t>
      </w:r>
      <w:r w:rsidR="00B3759F">
        <w:rPr>
          <w:rFonts w:ascii="Times New Roman" w:hAnsi="Times New Roman" w:cs="Times New Roman"/>
          <w:sz w:val="24"/>
          <w:szCs w:val="24"/>
        </w:rPr>
        <w:t xml:space="preserve"> относительно </w:t>
      </w:r>
      <w:r w:rsidR="00920DAD" w:rsidRPr="001E12EC">
        <w:rPr>
          <w:rFonts w:ascii="Times New Roman" w:hAnsi="Times New Roman" w:cs="Times New Roman"/>
          <w:sz w:val="24"/>
          <w:szCs w:val="24"/>
        </w:rPr>
        <w:t>молодому</w:t>
      </w:r>
      <w:r w:rsidRPr="001E12EC">
        <w:rPr>
          <w:rFonts w:ascii="Times New Roman" w:hAnsi="Times New Roman" w:cs="Times New Roman"/>
          <w:sz w:val="24"/>
          <w:szCs w:val="24"/>
        </w:rPr>
        <w:t xml:space="preserve"> возраст</w:t>
      </w:r>
      <w:r w:rsidR="00920DAD" w:rsidRPr="001E12EC">
        <w:rPr>
          <w:rFonts w:ascii="Times New Roman" w:hAnsi="Times New Roman" w:cs="Times New Roman"/>
          <w:sz w:val="24"/>
          <w:szCs w:val="24"/>
        </w:rPr>
        <w:t>у жителей</w:t>
      </w:r>
      <w:r w:rsidR="00E30023">
        <w:rPr>
          <w:rFonts w:ascii="Times New Roman" w:hAnsi="Times New Roman" w:cs="Times New Roman"/>
          <w:sz w:val="24"/>
          <w:szCs w:val="24"/>
        </w:rPr>
        <w:t xml:space="preserve"> (</w:t>
      </w:r>
      <w:r w:rsidR="00B3759F" w:rsidRPr="001E12EC">
        <w:rPr>
          <w:rFonts w:ascii="Times New Roman" w:hAnsi="Times New Roman" w:cs="Times New Roman"/>
          <w:sz w:val="24"/>
          <w:szCs w:val="24"/>
        </w:rPr>
        <w:t xml:space="preserve">33,41 года </w:t>
      </w:r>
      <w:r w:rsidRPr="001E12EC">
        <w:rPr>
          <w:rFonts w:ascii="Times New Roman" w:hAnsi="Times New Roman" w:cs="Times New Roman"/>
          <w:sz w:val="24"/>
          <w:szCs w:val="24"/>
        </w:rPr>
        <w:t xml:space="preserve">средний возраст мужчин, </w:t>
      </w:r>
      <w:r w:rsidR="00B3759F" w:rsidRPr="001E12EC">
        <w:rPr>
          <w:rFonts w:ascii="Times New Roman" w:hAnsi="Times New Roman" w:cs="Times New Roman"/>
          <w:sz w:val="24"/>
          <w:szCs w:val="24"/>
        </w:rPr>
        <w:t>35,24 лет</w:t>
      </w:r>
      <w:r w:rsidR="00B3759F">
        <w:rPr>
          <w:rFonts w:ascii="Times New Roman" w:hAnsi="Times New Roman" w:cs="Times New Roman"/>
          <w:sz w:val="24"/>
          <w:szCs w:val="24"/>
        </w:rPr>
        <w:t xml:space="preserve"> возраст</w:t>
      </w:r>
      <w:r w:rsidR="00B3759F" w:rsidRPr="001E12EC">
        <w:rPr>
          <w:rFonts w:ascii="Times New Roman" w:hAnsi="Times New Roman" w:cs="Times New Roman"/>
          <w:sz w:val="24"/>
          <w:szCs w:val="24"/>
        </w:rPr>
        <w:t xml:space="preserve"> </w:t>
      </w:r>
      <w:r w:rsidRPr="001E12EC">
        <w:rPr>
          <w:rFonts w:ascii="Times New Roman" w:hAnsi="Times New Roman" w:cs="Times New Roman"/>
          <w:sz w:val="24"/>
          <w:szCs w:val="24"/>
        </w:rPr>
        <w:t>женщин</w:t>
      </w:r>
      <w:r w:rsidR="00E30023">
        <w:rPr>
          <w:rFonts w:ascii="Times New Roman" w:hAnsi="Times New Roman" w:cs="Times New Roman"/>
          <w:sz w:val="24"/>
          <w:szCs w:val="24"/>
        </w:rPr>
        <w:t xml:space="preserve">) и достаточно </w:t>
      </w:r>
      <w:r w:rsidR="00476E5D">
        <w:rPr>
          <w:rFonts w:ascii="Times New Roman" w:hAnsi="Times New Roman" w:cs="Times New Roman"/>
          <w:sz w:val="24"/>
          <w:szCs w:val="24"/>
        </w:rPr>
        <w:t>высок</w:t>
      </w:r>
      <w:r w:rsidR="00E30023">
        <w:rPr>
          <w:rFonts w:ascii="Times New Roman" w:hAnsi="Times New Roman" w:cs="Times New Roman"/>
          <w:sz w:val="24"/>
          <w:szCs w:val="24"/>
        </w:rPr>
        <w:t>ой</w:t>
      </w:r>
      <w:r w:rsidR="00476E5D">
        <w:rPr>
          <w:rFonts w:ascii="Times New Roman" w:hAnsi="Times New Roman" w:cs="Times New Roman"/>
          <w:sz w:val="24"/>
          <w:szCs w:val="24"/>
        </w:rPr>
        <w:t xml:space="preserve"> дол</w:t>
      </w:r>
      <w:r w:rsidR="00E30023">
        <w:rPr>
          <w:rFonts w:ascii="Times New Roman" w:hAnsi="Times New Roman" w:cs="Times New Roman"/>
          <w:sz w:val="24"/>
          <w:szCs w:val="24"/>
        </w:rPr>
        <w:t>е</w:t>
      </w:r>
      <w:r w:rsidR="00476E5D">
        <w:rPr>
          <w:rFonts w:ascii="Times New Roman" w:hAnsi="Times New Roman" w:cs="Times New Roman"/>
          <w:sz w:val="24"/>
          <w:szCs w:val="24"/>
        </w:rPr>
        <w:t xml:space="preserve"> женщин в репродуктивном возрасте </w:t>
      </w:r>
      <w:r w:rsidR="00E30023">
        <w:rPr>
          <w:rFonts w:ascii="Times New Roman" w:hAnsi="Times New Roman" w:cs="Times New Roman"/>
          <w:sz w:val="24"/>
          <w:szCs w:val="24"/>
        </w:rPr>
        <w:t>(</w:t>
      </w:r>
      <w:r w:rsidRPr="001E12EC">
        <w:rPr>
          <w:rFonts w:ascii="Times New Roman" w:hAnsi="Times New Roman" w:cs="Times New Roman"/>
          <w:sz w:val="24"/>
          <w:szCs w:val="24"/>
        </w:rPr>
        <w:t>26% от численности всего населения в возрасте 15-49 лет и около 12% в наиболее оптимальном репродуктивном возрасте 20-35 лет</w:t>
      </w:r>
      <w:r w:rsidR="00E30023">
        <w:rPr>
          <w:rFonts w:ascii="Times New Roman" w:hAnsi="Times New Roman" w:cs="Times New Roman"/>
          <w:sz w:val="24"/>
          <w:szCs w:val="24"/>
        </w:rPr>
        <w:t>)</w:t>
      </w:r>
      <w:r w:rsidRPr="001E12EC">
        <w:rPr>
          <w:rFonts w:ascii="Times New Roman" w:hAnsi="Times New Roman" w:cs="Times New Roman"/>
          <w:sz w:val="24"/>
          <w:szCs w:val="24"/>
        </w:rPr>
        <w:t>.</w:t>
      </w:r>
    </w:p>
    <w:p w:rsidR="00F64BE2" w:rsidRPr="001E12EC" w:rsidRDefault="00F64BE2" w:rsidP="001575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lastRenderedPageBreak/>
        <w:t xml:space="preserve">Рост уровня рождаемости будет обеспечиваться </w:t>
      </w:r>
      <w:r w:rsidR="004B55ED" w:rsidRPr="001E12EC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E12EC">
        <w:rPr>
          <w:rFonts w:ascii="Times New Roman" w:hAnsi="Times New Roman" w:cs="Times New Roman"/>
          <w:sz w:val="24"/>
          <w:szCs w:val="24"/>
        </w:rPr>
        <w:t>за счёт реализации мер государственной поддержки семей с детьми: выплата семейного капитала при рождении второго ребёнка, ежегодная индексация пособий семьям с детьми и льготным категориям и расширение их перечня.</w:t>
      </w:r>
    </w:p>
    <w:p w:rsidR="004B55ED" w:rsidRPr="001E12EC" w:rsidRDefault="00F64BE2" w:rsidP="0015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12EC">
        <w:rPr>
          <w:rFonts w:ascii="Times New Roman" w:hAnsi="Times New Roman" w:cs="Times New Roman"/>
          <w:sz w:val="24"/>
          <w:szCs w:val="24"/>
        </w:rPr>
        <w:t xml:space="preserve">Своё положительное влияние будут иметь меры по сокращению уровня младенческой и материнской смертности, развитию перинатальной дородовой диагностики, профилактика </w:t>
      </w:r>
      <w:r w:rsidR="004B55ED" w:rsidRPr="001E12EC">
        <w:rPr>
          <w:rFonts w:ascii="Times New Roman" w:hAnsi="Times New Roman" w:cs="Times New Roman"/>
          <w:sz w:val="24"/>
          <w:szCs w:val="24"/>
        </w:rPr>
        <w:t xml:space="preserve"> и снижение числа абортов</w:t>
      </w:r>
      <w:r w:rsidR="00635133" w:rsidRPr="001E12EC">
        <w:rPr>
          <w:rFonts w:ascii="Times New Roman" w:hAnsi="Times New Roman" w:cs="Times New Roman"/>
          <w:sz w:val="24"/>
          <w:szCs w:val="24"/>
        </w:rPr>
        <w:t xml:space="preserve"> и  т.д</w:t>
      </w:r>
      <w:r w:rsidR="004B55ED" w:rsidRPr="001E12EC">
        <w:rPr>
          <w:rFonts w:ascii="Times New Roman" w:hAnsi="Times New Roman" w:cs="Times New Roman"/>
          <w:sz w:val="24"/>
          <w:szCs w:val="24"/>
        </w:rPr>
        <w:t>.</w:t>
      </w:r>
    </w:p>
    <w:p w:rsidR="00E0671F" w:rsidRPr="001E12EC" w:rsidRDefault="004178CE" w:rsidP="001575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 xml:space="preserve">В прогнозируемые периоды </w:t>
      </w:r>
      <w:r w:rsidR="00E0671F" w:rsidRPr="001E12EC">
        <w:rPr>
          <w:rFonts w:ascii="Times New Roman" w:hAnsi="Times New Roman" w:cs="Times New Roman"/>
          <w:sz w:val="24"/>
          <w:szCs w:val="24"/>
        </w:rPr>
        <w:t>сохранится тенденция:</w:t>
      </w:r>
    </w:p>
    <w:p w:rsidR="004178CE" w:rsidRPr="001E12EC" w:rsidRDefault="00E0671F" w:rsidP="001575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-снижения численности населения трудоспос</w:t>
      </w:r>
      <w:r w:rsidR="008C3C28">
        <w:rPr>
          <w:rFonts w:ascii="Times New Roman" w:hAnsi="Times New Roman" w:cs="Times New Roman"/>
          <w:sz w:val="24"/>
          <w:szCs w:val="24"/>
        </w:rPr>
        <w:t xml:space="preserve">обного возраста в пределах 0,5-1,5% </w:t>
      </w:r>
      <w:r w:rsidRPr="001E12EC">
        <w:rPr>
          <w:rFonts w:ascii="Times New Roman" w:hAnsi="Times New Roman" w:cs="Times New Roman"/>
          <w:sz w:val="24"/>
          <w:szCs w:val="24"/>
        </w:rPr>
        <w:t>ежегодно;</w:t>
      </w:r>
    </w:p>
    <w:p w:rsidR="00E0671F" w:rsidRPr="001E12EC" w:rsidRDefault="00E0671F" w:rsidP="001575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-прирост численности детского населения в пределах  2,4-1,3%;</w:t>
      </w:r>
    </w:p>
    <w:p w:rsidR="00E0671F" w:rsidRPr="001E12EC" w:rsidRDefault="00E0671F" w:rsidP="001575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-прогрессирующий прирост численности старшего поколения на 12,3-10,6%.</w:t>
      </w:r>
      <w:r w:rsidR="00E30023">
        <w:rPr>
          <w:rFonts w:ascii="Times New Roman" w:hAnsi="Times New Roman" w:cs="Times New Roman"/>
          <w:sz w:val="24"/>
          <w:szCs w:val="24"/>
        </w:rPr>
        <w:t xml:space="preserve"> Одним</w:t>
      </w:r>
      <w:r w:rsidR="00673F80" w:rsidRPr="001E12EC">
        <w:rPr>
          <w:rFonts w:ascii="Times New Roman" w:hAnsi="Times New Roman" w:cs="Times New Roman"/>
          <w:sz w:val="24"/>
          <w:szCs w:val="24"/>
        </w:rPr>
        <w:t xml:space="preserve"> из основных причин увеличения числа смертей как раз является рост численности населения пенсионного возраста.</w:t>
      </w:r>
    </w:p>
    <w:p w:rsidR="00A72CB3" w:rsidRPr="001E12EC" w:rsidRDefault="00A72CB3" w:rsidP="0015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позитивное развитие демографической ситуации городского округа город Мегион в прогнозируемые периоды будет </w:t>
      </w:r>
      <w:r w:rsidR="00E7606E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снижающийся показатель миграционного сальдо за счёт увеличения объёмо</w:t>
      </w:r>
      <w:r w:rsidR="0052513F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входящей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миграции и снижения исходящей. </w:t>
      </w:r>
    </w:p>
    <w:p w:rsidR="00280D87" w:rsidRPr="001E12EC" w:rsidRDefault="00280D87" w:rsidP="0015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объёма входящей миграции  в основном будет обеспечиваться за счёт трудовой привлекательности территории, уровня трудовых доходов, а также </w:t>
      </w:r>
      <w:r w:rsidR="00E7606E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высокой социальной защищенности</w:t>
      </w:r>
      <w:r w:rsidR="00C14EB2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работающего населения и населения льготной категории</w:t>
      </w:r>
      <w:r w:rsidR="00E7606E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5007" w:rsidRDefault="00A72CB3" w:rsidP="00BD5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Выбывающая </w:t>
      </w:r>
      <w:r w:rsidR="0052513F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миграция за отчётные годы только увеличится, являя свой отрицательный факт на итоги формирования численности населения</w:t>
      </w:r>
      <w:r w:rsidR="0052513F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прогнозируемые годы </w:t>
      </w:r>
      <w:proofErr w:type="gramStart"/>
      <w:r w:rsidR="0052513F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тенденция  сохранится</w:t>
      </w:r>
      <w:proofErr w:type="gramEnd"/>
      <w:r w:rsidR="006D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3156-3130 </w:t>
      </w:r>
      <w:r w:rsidR="007F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 w:rsidR="006D2E0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 w:rsidR="00A5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уровне входящей </w:t>
      </w:r>
      <w:r w:rsidR="007F36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миграции в количестве 2700-3050 человек.</w:t>
      </w:r>
    </w:p>
    <w:p w:rsidR="00BD5007" w:rsidRDefault="00BD5007" w:rsidP="00BD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13B" w:rsidRDefault="0013413B" w:rsidP="00BD5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007" w:rsidRPr="00BD5007" w:rsidRDefault="00BD5007" w:rsidP="00BD5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ПРОМЫШЛЕННОСТЬ</w:t>
      </w:r>
    </w:p>
    <w:p w:rsidR="00BD5007" w:rsidRPr="00220337" w:rsidRDefault="00BD5007" w:rsidP="00220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37" w:rsidRPr="00220337" w:rsidRDefault="00220337" w:rsidP="00220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0337">
        <w:rPr>
          <w:rFonts w:ascii="Times New Roman" w:hAnsi="Times New Roman" w:cs="Times New Roman"/>
          <w:sz w:val="24"/>
          <w:szCs w:val="24"/>
        </w:rPr>
        <w:t>Промышленное производство городского округа город Мегион включает в себя следующие разделы (отрасли):</w:t>
      </w:r>
    </w:p>
    <w:p w:rsidR="00220337" w:rsidRPr="00220337" w:rsidRDefault="00220337" w:rsidP="00220337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 w:rsidRPr="00220337">
        <w:rPr>
          <w:rFonts w:ascii="Times New Roman" w:hAnsi="Times New Roman"/>
          <w:sz w:val="24"/>
          <w:szCs w:val="24"/>
        </w:rPr>
        <w:t>- добыча полезных ископаемых;</w:t>
      </w:r>
    </w:p>
    <w:p w:rsidR="00220337" w:rsidRPr="00220337" w:rsidRDefault="00220337" w:rsidP="00220337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 w:rsidRPr="00220337">
        <w:rPr>
          <w:rFonts w:ascii="Times New Roman" w:hAnsi="Times New Roman"/>
          <w:sz w:val="24"/>
          <w:szCs w:val="24"/>
        </w:rPr>
        <w:t>- обрабатывающие отрасли;</w:t>
      </w:r>
    </w:p>
    <w:p w:rsidR="00220337" w:rsidRPr="00220337" w:rsidRDefault="00220337" w:rsidP="00220337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 w:rsidRPr="00220337">
        <w:rPr>
          <w:rFonts w:ascii="Times New Roman" w:hAnsi="Times New Roman"/>
          <w:sz w:val="24"/>
          <w:szCs w:val="24"/>
        </w:rPr>
        <w:t>- производство и распределение электроэнергии, газа и воды.</w:t>
      </w:r>
    </w:p>
    <w:p w:rsidR="00220337" w:rsidRPr="00220337" w:rsidRDefault="00220337" w:rsidP="00220337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 w:rsidRPr="00220337">
        <w:rPr>
          <w:rFonts w:ascii="Times New Roman" w:hAnsi="Times New Roman"/>
          <w:sz w:val="24"/>
          <w:szCs w:val="24"/>
        </w:rPr>
        <w:t xml:space="preserve">Объём отгруженной промышленной продукции по полному кругу предприятий городского округа город Мегион за 2014 год составил 28554,0 </w:t>
      </w:r>
      <w:proofErr w:type="spellStart"/>
      <w:r w:rsidRPr="00220337">
        <w:rPr>
          <w:rFonts w:ascii="Times New Roman" w:hAnsi="Times New Roman"/>
          <w:sz w:val="24"/>
          <w:szCs w:val="24"/>
        </w:rPr>
        <w:t>млн.рублей</w:t>
      </w:r>
      <w:proofErr w:type="spellEnd"/>
      <w:r w:rsidRPr="00220337">
        <w:rPr>
          <w:rFonts w:ascii="Times New Roman" w:hAnsi="Times New Roman"/>
          <w:sz w:val="24"/>
          <w:szCs w:val="24"/>
        </w:rPr>
        <w:t xml:space="preserve">, что в сопоставимых ценах составляет 82,5% к уровню 2013 года. По оценке 2015 года объем отгруженной промышленной продукции составит 32629,5 </w:t>
      </w:r>
      <w:proofErr w:type="spellStart"/>
      <w:r w:rsidRPr="00220337">
        <w:rPr>
          <w:rFonts w:ascii="Times New Roman" w:hAnsi="Times New Roman"/>
          <w:sz w:val="24"/>
          <w:szCs w:val="24"/>
        </w:rPr>
        <w:t>млн.рублей</w:t>
      </w:r>
      <w:proofErr w:type="spellEnd"/>
      <w:r w:rsidRPr="00220337">
        <w:rPr>
          <w:rFonts w:ascii="Times New Roman" w:hAnsi="Times New Roman"/>
          <w:sz w:val="24"/>
          <w:szCs w:val="24"/>
        </w:rPr>
        <w:t>, или 99,8% в сопоставимых ценах к уровню 2014 года.</w:t>
      </w:r>
    </w:p>
    <w:p w:rsidR="00220337" w:rsidRPr="00220337" w:rsidRDefault="00220337" w:rsidP="00220337">
      <w:pPr>
        <w:pStyle w:val="a8"/>
        <w:ind w:firstLine="720"/>
        <w:rPr>
          <w:sz w:val="24"/>
          <w:szCs w:val="24"/>
        </w:rPr>
      </w:pPr>
      <w:r w:rsidRPr="00220337">
        <w:rPr>
          <w:sz w:val="24"/>
          <w:szCs w:val="24"/>
        </w:rPr>
        <w:t xml:space="preserve">В прогнозные годы по первому и второму варианту сохранится тенденция опережающего роста обрабатывающих производств и предприятий по производству топливно-энергетических ресурсов. </w:t>
      </w:r>
    </w:p>
    <w:p w:rsidR="00220337" w:rsidRPr="00220337" w:rsidRDefault="00220337" w:rsidP="00220337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 w:rsidRPr="00220337">
        <w:rPr>
          <w:rFonts w:ascii="Times New Roman" w:hAnsi="Times New Roman"/>
          <w:sz w:val="24"/>
          <w:szCs w:val="24"/>
        </w:rPr>
        <w:t xml:space="preserve">В 2016-2018 годах прогнозируется </w:t>
      </w:r>
      <w:r w:rsidR="00FF49CB">
        <w:rPr>
          <w:rFonts w:ascii="Times New Roman" w:hAnsi="Times New Roman"/>
          <w:sz w:val="24"/>
          <w:szCs w:val="24"/>
        </w:rPr>
        <w:t xml:space="preserve">незначительное </w:t>
      </w:r>
      <w:r w:rsidRPr="00220337">
        <w:rPr>
          <w:rFonts w:ascii="Times New Roman" w:hAnsi="Times New Roman"/>
          <w:sz w:val="24"/>
          <w:szCs w:val="24"/>
        </w:rPr>
        <w:t>увеличение объема отгруженной промышленной продукции в сопоставимых ценах по первому варианту составит 100,3%, по второму варианту объем отгруженных товаров прогнозируется на уровне 100,5-100,7%.</w:t>
      </w:r>
    </w:p>
    <w:p w:rsidR="00220337" w:rsidRPr="00220337" w:rsidRDefault="00220337" w:rsidP="00220337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0337" w:rsidRPr="00220337" w:rsidRDefault="00220337" w:rsidP="00220337">
      <w:pPr>
        <w:pStyle w:val="aa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220337">
        <w:rPr>
          <w:rFonts w:ascii="Times New Roman" w:hAnsi="Times New Roman"/>
          <w:i/>
          <w:sz w:val="24"/>
          <w:szCs w:val="24"/>
        </w:rPr>
        <w:t>Добыча полезных ископаемых.</w:t>
      </w:r>
    </w:p>
    <w:p w:rsidR="00220337" w:rsidRPr="00220337" w:rsidRDefault="00220337" w:rsidP="00220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0337">
        <w:rPr>
          <w:rFonts w:ascii="Times New Roman" w:hAnsi="Times New Roman" w:cs="Times New Roman"/>
          <w:sz w:val="24"/>
          <w:szCs w:val="24"/>
        </w:rPr>
        <w:t xml:space="preserve">Основную долю промышленного производства составляют предприятия по добыче полезных ископаемых и предприятия по предоставлению услуг по добыче нефти и газа, на долю которых приходится 83,28% от общего объема отгруженных товаров. </w:t>
      </w:r>
    </w:p>
    <w:p w:rsidR="00220337" w:rsidRPr="00220337" w:rsidRDefault="00220337" w:rsidP="00220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0337">
        <w:rPr>
          <w:rFonts w:ascii="Times New Roman" w:hAnsi="Times New Roman" w:cs="Times New Roman"/>
          <w:sz w:val="24"/>
          <w:szCs w:val="24"/>
        </w:rPr>
        <w:t xml:space="preserve">Предприятиями по виду деятельности «Добыча полезных ископаемых» за 2014 год отгружено товаров собственного производства, выполнено работ и услуг собственными </w:t>
      </w:r>
      <w:r w:rsidRPr="00220337">
        <w:rPr>
          <w:rFonts w:ascii="Times New Roman" w:hAnsi="Times New Roman" w:cs="Times New Roman"/>
          <w:sz w:val="24"/>
          <w:szCs w:val="24"/>
        </w:rPr>
        <w:lastRenderedPageBreak/>
        <w:t xml:space="preserve">силами на сумму 23780,9 </w:t>
      </w:r>
      <w:proofErr w:type="spellStart"/>
      <w:r w:rsidRPr="00220337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220337">
        <w:rPr>
          <w:rFonts w:ascii="Times New Roman" w:hAnsi="Times New Roman" w:cs="Times New Roman"/>
          <w:sz w:val="24"/>
          <w:szCs w:val="24"/>
        </w:rPr>
        <w:t>, что к аналогичному периоду 2013 года в сопоставимых ценах составляет 79,3%.</w:t>
      </w:r>
    </w:p>
    <w:p w:rsidR="00220337" w:rsidRPr="00220337" w:rsidRDefault="00220337" w:rsidP="00220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0337">
        <w:rPr>
          <w:rFonts w:ascii="Times New Roman" w:hAnsi="Times New Roman" w:cs="Times New Roman"/>
          <w:sz w:val="24"/>
          <w:szCs w:val="24"/>
        </w:rPr>
        <w:t xml:space="preserve">По оценке в 2015 году объем отгруженных товаров собственного производства, выполненных работ и услуг собственными </w:t>
      </w:r>
      <w:proofErr w:type="gramStart"/>
      <w:r w:rsidRPr="00220337">
        <w:rPr>
          <w:rFonts w:ascii="Times New Roman" w:hAnsi="Times New Roman" w:cs="Times New Roman"/>
          <w:sz w:val="24"/>
          <w:szCs w:val="24"/>
        </w:rPr>
        <w:t>силами  составит</w:t>
      </w:r>
      <w:proofErr w:type="gramEnd"/>
      <w:r w:rsidRPr="00220337">
        <w:rPr>
          <w:rFonts w:ascii="Times New Roman" w:hAnsi="Times New Roman" w:cs="Times New Roman"/>
          <w:sz w:val="24"/>
          <w:szCs w:val="24"/>
        </w:rPr>
        <w:t xml:space="preserve"> в действующих ценах 27358,5 </w:t>
      </w:r>
      <w:proofErr w:type="spellStart"/>
      <w:r w:rsidRPr="00220337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220337">
        <w:rPr>
          <w:rFonts w:ascii="Times New Roman" w:hAnsi="Times New Roman" w:cs="Times New Roman"/>
          <w:sz w:val="24"/>
          <w:szCs w:val="24"/>
        </w:rPr>
        <w:t>, или в сопоставимых ценах к 2014 году 100,3%.</w:t>
      </w:r>
    </w:p>
    <w:p w:rsidR="00220337" w:rsidRPr="00220337" w:rsidRDefault="00220337" w:rsidP="00220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0337">
        <w:rPr>
          <w:rFonts w:ascii="Times New Roman" w:hAnsi="Times New Roman" w:cs="Times New Roman"/>
          <w:sz w:val="24"/>
          <w:szCs w:val="24"/>
        </w:rPr>
        <w:t>В 2016-2018 годы прогнозируются следующие темпы промышленного производства к уровню предыдущего года: по первому варианту 100,</w:t>
      </w:r>
      <w:r w:rsidR="00D84CBB">
        <w:rPr>
          <w:rFonts w:ascii="Times New Roman" w:hAnsi="Times New Roman" w:cs="Times New Roman"/>
          <w:sz w:val="24"/>
          <w:szCs w:val="24"/>
        </w:rPr>
        <w:t>1-100,0</w:t>
      </w:r>
      <w:r w:rsidRPr="00220337">
        <w:rPr>
          <w:rFonts w:ascii="Times New Roman" w:hAnsi="Times New Roman" w:cs="Times New Roman"/>
          <w:sz w:val="24"/>
          <w:szCs w:val="24"/>
        </w:rPr>
        <w:t xml:space="preserve">%, по второму варианту – 100,2-100,3%. </w:t>
      </w:r>
    </w:p>
    <w:p w:rsidR="00220337" w:rsidRPr="00220337" w:rsidRDefault="00220337" w:rsidP="002203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введенными изменениями в статистической отчетности по учету производственных показателей предприятий на территориях фактического производства работ, в 2014 году объемы добычи нефти и газа не прогнозировались, так как </w:t>
      </w:r>
      <w:r w:rsidRPr="0022033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открытое акционерное общество «</w:t>
      </w:r>
      <w:proofErr w:type="spellStart"/>
      <w:r w:rsidRPr="0022033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Славнефть</w:t>
      </w:r>
      <w:proofErr w:type="spellEnd"/>
      <w:r w:rsidRPr="0022033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-Мегионнефтегаз» </w:t>
      </w:r>
      <w:r w:rsidRPr="002203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осуществляет процесс нефтедобычи на территории </w:t>
      </w:r>
      <w:proofErr w:type="spellStart"/>
      <w:r w:rsidRPr="002203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Нижневартовского</w:t>
      </w:r>
      <w:proofErr w:type="spellEnd"/>
      <w:r w:rsidRPr="002203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2203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Сургутского</w:t>
      </w:r>
      <w:proofErr w:type="spellEnd"/>
      <w:r w:rsidRPr="002203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районов Ханты-Мансийского автономного округа – Югры и </w:t>
      </w:r>
      <w:r w:rsidRPr="0022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виды работ на территории городского округа не производятся. </w:t>
      </w:r>
    </w:p>
    <w:p w:rsidR="00220337" w:rsidRPr="00220337" w:rsidRDefault="00220337" w:rsidP="00220337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0337" w:rsidRPr="00220337" w:rsidRDefault="00220337" w:rsidP="00220337">
      <w:pPr>
        <w:pStyle w:val="a8"/>
        <w:ind w:firstLine="720"/>
        <w:rPr>
          <w:i/>
          <w:sz w:val="24"/>
          <w:szCs w:val="24"/>
        </w:rPr>
      </w:pPr>
      <w:r w:rsidRPr="00220337">
        <w:rPr>
          <w:i/>
          <w:sz w:val="24"/>
          <w:szCs w:val="24"/>
        </w:rPr>
        <w:t>Обрабатывающие производства</w:t>
      </w:r>
    </w:p>
    <w:p w:rsidR="00220337" w:rsidRPr="00220337" w:rsidRDefault="00220337" w:rsidP="00220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0337">
        <w:rPr>
          <w:rFonts w:ascii="Times New Roman" w:hAnsi="Times New Roman" w:cs="Times New Roman"/>
          <w:sz w:val="24"/>
          <w:szCs w:val="24"/>
        </w:rPr>
        <w:t xml:space="preserve">Основными видами экономической деятельности «Обрабатывающие производства» в городе являются производство пищевых продуктов, производство машин и оборудования, производство электрооборудования, электронного и оптического оборудования. Объём продукции обрабатывающих производств за отчётный период составил 1723,65 </w:t>
      </w:r>
      <w:proofErr w:type="spellStart"/>
      <w:r w:rsidRPr="00220337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220337">
        <w:rPr>
          <w:rFonts w:ascii="Times New Roman" w:hAnsi="Times New Roman" w:cs="Times New Roman"/>
          <w:sz w:val="24"/>
          <w:szCs w:val="24"/>
        </w:rPr>
        <w:t>, или 104,5 % в сопоставимых ценах к уровню 2013 года.</w:t>
      </w:r>
    </w:p>
    <w:p w:rsidR="00220337" w:rsidRPr="00220337" w:rsidRDefault="00220337" w:rsidP="002203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220337">
        <w:rPr>
          <w:rFonts w:ascii="Times New Roman" w:hAnsi="Times New Roman" w:cs="Times New Roman"/>
          <w:sz w:val="24"/>
          <w:szCs w:val="24"/>
        </w:rPr>
        <w:t xml:space="preserve">Наибольшая доля всей отгруженной продукции обрабатывающих производств (60%) приходится на подраздел «Производство машин и оборудования». </w:t>
      </w:r>
      <w:r w:rsidRPr="0022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Предприятиями города в 2014 году предоставлено услуг по монтажу, ремонту и техническому обслуживанию насосов и компрессоров, промышленного холодильного и вентиляционного и прочего оборудования на сумму 1034,6 </w:t>
      </w:r>
      <w:proofErr w:type="spellStart"/>
      <w:r w:rsidRPr="00220337">
        <w:rPr>
          <w:rFonts w:ascii="Times New Roman" w:hAnsi="Times New Roman" w:cs="Times New Roman"/>
          <w:color w:val="000000" w:themeColor="text1"/>
          <w:sz w:val="24"/>
          <w:szCs w:val="24"/>
        </w:rPr>
        <w:t>млн.рублей</w:t>
      </w:r>
      <w:proofErr w:type="spellEnd"/>
      <w:r w:rsidRPr="00220337">
        <w:rPr>
          <w:rFonts w:ascii="Times New Roman" w:hAnsi="Times New Roman" w:cs="Times New Roman"/>
          <w:color w:val="000000" w:themeColor="text1"/>
          <w:sz w:val="24"/>
          <w:szCs w:val="24"/>
        </w:rPr>
        <w:t>, что составляет 110,1% в сопоставимых ценах к уровню 2013 года. Общий объем сервисных услуг выполняется в соответствии с производственной необходимостью предприятий нефтегазодобывающего комплекса, являющихся основными потребителями.</w:t>
      </w:r>
    </w:p>
    <w:p w:rsidR="00220337" w:rsidRPr="00220337" w:rsidRDefault="00220337" w:rsidP="00220337">
      <w:pPr>
        <w:pStyle w:val="a8"/>
        <w:ind w:firstLine="720"/>
        <w:rPr>
          <w:color w:val="000000" w:themeColor="text1"/>
          <w:sz w:val="24"/>
          <w:szCs w:val="24"/>
        </w:rPr>
      </w:pPr>
      <w:r w:rsidRPr="00220337">
        <w:rPr>
          <w:color w:val="000000" w:themeColor="text1"/>
          <w:sz w:val="24"/>
          <w:szCs w:val="24"/>
        </w:rPr>
        <w:t>По оценке в 2015 году объём отгруженных товаров собственного производства, выполненных работ и услуг собственными силами по виду деятельности «Производство машин и оборудования без производств оружия и боеприпасов» составит 1159,8 млн. рублей или 92,5 % в сопоставимых ценах к уровню 2014 года.</w:t>
      </w:r>
    </w:p>
    <w:p w:rsidR="00220337" w:rsidRPr="00220337" w:rsidRDefault="00220337" w:rsidP="00220337">
      <w:pPr>
        <w:pStyle w:val="a8"/>
        <w:ind w:firstLine="720"/>
        <w:rPr>
          <w:color w:val="000000" w:themeColor="text1"/>
          <w:sz w:val="24"/>
          <w:szCs w:val="24"/>
        </w:rPr>
      </w:pPr>
      <w:r w:rsidRPr="00220337">
        <w:rPr>
          <w:color w:val="000000" w:themeColor="text1"/>
          <w:sz w:val="24"/>
          <w:szCs w:val="24"/>
        </w:rPr>
        <w:t>В 2016-2018 годах индекс производства по данному виду деятельности составит: п</w:t>
      </w:r>
      <w:r w:rsidR="00D84CBB">
        <w:rPr>
          <w:color w:val="000000" w:themeColor="text1"/>
          <w:sz w:val="24"/>
          <w:szCs w:val="24"/>
        </w:rPr>
        <w:t>о первому варианту – 102,7-103,0</w:t>
      </w:r>
      <w:r w:rsidRPr="00220337">
        <w:rPr>
          <w:color w:val="000000" w:themeColor="text1"/>
          <w:sz w:val="24"/>
          <w:szCs w:val="24"/>
        </w:rPr>
        <w:t>%, по второму варианту – 104,1-104,</w:t>
      </w:r>
      <w:r w:rsidR="00D84CBB">
        <w:rPr>
          <w:color w:val="000000" w:themeColor="text1"/>
          <w:sz w:val="24"/>
          <w:szCs w:val="24"/>
        </w:rPr>
        <w:t>4</w:t>
      </w:r>
      <w:r w:rsidRPr="00220337">
        <w:rPr>
          <w:color w:val="000000" w:themeColor="text1"/>
          <w:sz w:val="24"/>
          <w:szCs w:val="24"/>
        </w:rPr>
        <w:t>%.</w:t>
      </w:r>
    </w:p>
    <w:p w:rsidR="00220337" w:rsidRPr="00220337" w:rsidRDefault="00220337" w:rsidP="00220337">
      <w:pPr>
        <w:pStyle w:val="a8"/>
        <w:ind w:firstLine="720"/>
        <w:rPr>
          <w:color w:val="000000" w:themeColor="text1"/>
          <w:sz w:val="24"/>
          <w:szCs w:val="24"/>
        </w:rPr>
      </w:pPr>
      <w:r w:rsidRPr="00220337">
        <w:rPr>
          <w:color w:val="000000" w:themeColor="text1"/>
          <w:sz w:val="24"/>
          <w:szCs w:val="24"/>
        </w:rPr>
        <w:t xml:space="preserve">Объём продукции и услуг промышленного характера по «Производству электрооборудования, электронного и оптического оборудования» включает в себя объёмы предоставленных услуг по монтажу, ремонту и техническому обслуживанию телекоммуникационных и вычислительных сетей. Выпуск товаров и услуг за январь-декабрь 2014 года по данному виду деятельности составил 550,23 </w:t>
      </w:r>
      <w:proofErr w:type="spellStart"/>
      <w:r w:rsidRPr="00220337">
        <w:rPr>
          <w:color w:val="000000" w:themeColor="text1"/>
          <w:sz w:val="24"/>
          <w:szCs w:val="24"/>
        </w:rPr>
        <w:t>млн.рублей</w:t>
      </w:r>
      <w:proofErr w:type="spellEnd"/>
      <w:r w:rsidRPr="00220337">
        <w:rPr>
          <w:color w:val="000000" w:themeColor="text1"/>
          <w:sz w:val="24"/>
          <w:szCs w:val="24"/>
        </w:rPr>
        <w:t>, или 99,2% в сопоставимых ценах к уровню 2013 года. В 2015 году выпуск товаров и услуг по данному виду деятельности оценивается в размере 618,9 млн. рублей, или 92,8% в сопоставимых ценах к 2014 году. На прогнозируемый период объём отгруженных товаров собственного производства, выполненных работ и услуг собственными силами по виду деятельности «Производство электрооборудования, электронного и оптического оборудования» составит: по первому варианту – 102,9-103,6 %, по второму варианту – 104,1-104,7%.</w:t>
      </w:r>
    </w:p>
    <w:p w:rsidR="00220337" w:rsidRPr="00220337" w:rsidRDefault="00220337" w:rsidP="00220337">
      <w:pPr>
        <w:pStyle w:val="a8"/>
        <w:ind w:firstLine="720"/>
        <w:rPr>
          <w:sz w:val="24"/>
          <w:szCs w:val="24"/>
        </w:rPr>
      </w:pPr>
      <w:r w:rsidRPr="00220337">
        <w:rPr>
          <w:sz w:val="24"/>
          <w:szCs w:val="24"/>
        </w:rPr>
        <w:t>В 2014 году производство пищевых продуктов, включая напитки, в сопоставимых ценах составило 80,83 тыс. рублей,</w:t>
      </w:r>
      <w:r w:rsidRPr="00220337">
        <w:rPr>
          <w:color w:val="000000" w:themeColor="text1"/>
          <w:sz w:val="24"/>
          <w:szCs w:val="24"/>
        </w:rPr>
        <w:t xml:space="preserve"> что составляет 90,2% в сопоставимых ценах к уровню 2013 года.</w:t>
      </w:r>
      <w:r w:rsidRPr="00220337">
        <w:rPr>
          <w:sz w:val="24"/>
          <w:szCs w:val="24"/>
        </w:rPr>
        <w:t xml:space="preserve"> </w:t>
      </w:r>
    </w:p>
    <w:p w:rsidR="00220337" w:rsidRPr="00220337" w:rsidRDefault="00220337" w:rsidP="00220337">
      <w:pPr>
        <w:pStyle w:val="1"/>
        <w:spacing w:before="0" w:after="0"/>
        <w:ind w:firstLine="720"/>
        <w:jc w:val="both"/>
        <w:rPr>
          <w:szCs w:val="24"/>
        </w:rPr>
      </w:pPr>
      <w:r w:rsidRPr="00220337">
        <w:rPr>
          <w:szCs w:val="24"/>
        </w:rPr>
        <w:t>Основными и наиболее динамично развивающимися предприятиями отрасли являются: общество с ограниченной ответственностью «</w:t>
      </w:r>
      <w:proofErr w:type="spellStart"/>
      <w:r w:rsidRPr="00220337">
        <w:rPr>
          <w:szCs w:val="24"/>
        </w:rPr>
        <w:t>Союзсервис</w:t>
      </w:r>
      <w:proofErr w:type="spellEnd"/>
      <w:r w:rsidRPr="00220337">
        <w:rPr>
          <w:szCs w:val="24"/>
        </w:rPr>
        <w:t xml:space="preserve">», общество с </w:t>
      </w:r>
      <w:r w:rsidRPr="00220337">
        <w:rPr>
          <w:szCs w:val="24"/>
        </w:rPr>
        <w:lastRenderedPageBreak/>
        <w:t>ограниченной ответственностью «</w:t>
      </w:r>
      <w:proofErr w:type="spellStart"/>
      <w:r w:rsidRPr="00220337">
        <w:rPr>
          <w:szCs w:val="24"/>
        </w:rPr>
        <w:t>Славнефть</w:t>
      </w:r>
      <w:proofErr w:type="spellEnd"/>
      <w:r w:rsidRPr="00220337">
        <w:rPr>
          <w:szCs w:val="24"/>
        </w:rPr>
        <w:t>-торг», закрытое акционерное общество «Производственное предприятие «Система».</w:t>
      </w:r>
    </w:p>
    <w:p w:rsidR="00220337" w:rsidRPr="00220337" w:rsidRDefault="00220337" w:rsidP="00220337">
      <w:pPr>
        <w:pStyle w:val="1"/>
        <w:spacing w:before="0" w:after="0"/>
        <w:ind w:firstLine="720"/>
        <w:jc w:val="both"/>
        <w:rPr>
          <w:szCs w:val="24"/>
        </w:rPr>
      </w:pPr>
      <w:r w:rsidRPr="00220337">
        <w:rPr>
          <w:szCs w:val="24"/>
        </w:rPr>
        <w:t xml:space="preserve">В 2015 году объём пищевой продукции по оценке составит 98,3 </w:t>
      </w:r>
      <w:proofErr w:type="spellStart"/>
      <w:r w:rsidRPr="00220337">
        <w:rPr>
          <w:szCs w:val="24"/>
        </w:rPr>
        <w:t>млн.рублей</w:t>
      </w:r>
      <w:proofErr w:type="spellEnd"/>
      <w:r w:rsidRPr="00220337">
        <w:rPr>
          <w:szCs w:val="24"/>
        </w:rPr>
        <w:t xml:space="preserve"> или 101,9% в сопоставимых ценах к уровню 2014 года.</w:t>
      </w:r>
    </w:p>
    <w:p w:rsidR="00220337" w:rsidRPr="00220337" w:rsidRDefault="00220337" w:rsidP="00220337">
      <w:pPr>
        <w:pStyle w:val="21"/>
        <w:overflowPunct/>
        <w:autoSpaceDE/>
        <w:adjustRightInd/>
        <w:spacing w:line="240" w:lineRule="auto"/>
        <w:rPr>
          <w:rFonts w:ascii="Times New Roman" w:hAnsi="Times New Roman"/>
          <w:sz w:val="24"/>
          <w:szCs w:val="24"/>
        </w:rPr>
      </w:pPr>
      <w:r w:rsidRPr="00220337">
        <w:rPr>
          <w:rFonts w:ascii="Times New Roman" w:hAnsi="Times New Roman"/>
          <w:sz w:val="24"/>
          <w:szCs w:val="24"/>
        </w:rPr>
        <w:t>На 2016-2018 годы прогнозируется умеренный рост выпуска пищевой продукции – по первому варианту- 102,0-102,9%, по второму варианту – 102,8-103,5%.</w:t>
      </w:r>
    </w:p>
    <w:p w:rsidR="00220337" w:rsidRPr="00220337" w:rsidRDefault="00220337" w:rsidP="00220337">
      <w:pPr>
        <w:pStyle w:val="1"/>
        <w:spacing w:before="0" w:after="0"/>
        <w:ind w:firstLine="720"/>
        <w:jc w:val="both"/>
        <w:rPr>
          <w:szCs w:val="24"/>
        </w:rPr>
      </w:pPr>
      <w:r w:rsidRPr="00220337">
        <w:rPr>
          <w:szCs w:val="24"/>
        </w:rPr>
        <w:t xml:space="preserve">Обработка древесины и производство изделий из дерева в стоимостном выражении за отчётный период составила 1,0 </w:t>
      </w:r>
      <w:proofErr w:type="spellStart"/>
      <w:r w:rsidRPr="00220337">
        <w:rPr>
          <w:szCs w:val="24"/>
        </w:rPr>
        <w:t>млн.рублей</w:t>
      </w:r>
      <w:proofErr w:type="spellEnd"/>
      <w:r w:rsidRPr="00220337">
        <w:rPr>
          <w:szCs w:val="24"/>
        </w:rPr>
        <w:t xml:space="preserve"> или 100,1% в сопоставимых ценах к уровню 2013 года. На прогнозный период темп роста по производству изделий из дерева в сопоставимых ценах по обоим вариантам предполагается на уровне 101,8-103,</w:t>
      </w:r>
      <w:r w:rsidR="00D84CBB">
        <w:rPr>
          <w:szCs w:val="24"/>
        </w:rPr>
        <w:t>2</w:t>
      </w:r>
      <w:r w:rsidRPr="00220337">
        <w:rPr>
          <w:szCs w:val="24"/>
        </w:rPr>
        <w:t>%.</w:t>
      </w:r>
    </w:p>
    <w:p w:rsidR="00220337" w:rsidRPr="00220337" w:rsidRDefault="00220337" w:rsidP="00220337">
      <w:pPr>
        <w:pStyle w:val="1"/>
        <w:spacing w:before="0" w:after="0"/>
        <w:ind w:firstLine="720"/>
        <w:jc w:val="both"/>
        <w:rPr>
          <w:szCs w:val="24"/>
        </w:rPr>
      </w:pPr>
      <w:r w:rsidRPr="00220337">
        <w:rPr>
          <w:szCs w:val="24"/>
        </w:rPr>
        <w:t xml:space="preserve">Целлюлозно-бумажное производство, включая издательскую и полиграфическую деятельность на территории городского округа город Мегион, представляют предприятия малого и среднего бизнеса. За отчётный 2014 год объем производства по данному виду деятельности составило 44,12 млн. рублей. По оценке в 2015 году рост объема целлюлозно-бумажного производства в стоимостном выражении составит 63,8 </w:t>
      </w:r>
      <w:proofErr w:type="spellStart"/>
      <w:r w:rsidRPr="00220337">
        <w:rPr>
          <w:szCs w:val="24"/>
        </w:rPr>
        <w:t>млн.рублей</w:t>
      </w:r>
      <w:proofErr w:type="spellEnd"/>
      <w:r w:rsidRPr="00220337">
        <w:rPr>
          <w:szCs w:val="24"/>
        </w:rPr>
        <w:t>. Темпы роста целлюлозно-бумажного производства в 2016-2018 годы о</w:t>
      </w:r>
      <w:r w:rsidR="00D84CBB">
        <w:rPr>
          <w:szCs w:val="24"/>
        </w:rPr>
        <w:t>цениваются на уровне 101,0-101,6</w:t>
      </w:r>
      <w:r w:rsidRPr="00220337">
        <w:rPr>
          <w:szCs w:val="24"/>
        </w:rPr>
        <w:t>%.</w:t>
      </w:r>
    </w:p>
    <w:p w:rsidR="00220337" w:rsidRPr="00220337" w:rsidRDefault="00220337" w:rsidP="00220337">
      <w:pPr>
        <w:pStyle w:val="a8"/>
        <w:ind w:firstLine="720"/>
        <w:rPr>
          <w:sz w:val="24"/>
          <w:szCs w:val="24"/>
        </w:rPr>
      </w:pPr>
    </w:p>
    <w:p w:rsidR="00220337" w:rsidRPr="00220337" w:rsidRDefault="00220337" w:rsidP="00220337">
      <w:pPr>
        <w:pStyle w:val="a8"/>
        <w:ind w:firstLine="720"/>
        <w:rPr>
          <w:i/>
          <w:sz w:val="24"/>
          <w:szCs w:val="24"/>
        </w:rPr>
      </w:pPr>
      <w:r w:rsidRPr="00220337">
        <w:rPr>
          <w:i/>
          <w:sz w:val="24"/>
          <w:szCs w:val="24"/>
        </w:rPr>
        <w:t>Распределение электроэнергии, газа, пара и воды</w:t>
      </w:r>
    </w:p>
    <w:p w:rsidR="00220337" w:rsidRPr="00220337" w:rsidRDefault="00220337" w:rsidP="00220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0337">
        <w:rPr>
          <w:rFonts w:ascii="Times New Roman" w:hAnsi="Times New Roman" w:cs="Times New Roman"/>
          <w:sz w:val="24"/>
          <w:szCs w:val="24"/>
        </w:rPr>
        <w:t xml:space="preserve">Объём отгруженной продукции собственного производства, выполненных работ и услуг собственными силами по виду деятельности «Распределение электроэнергии, газа и воды» за 2014 год составил 3049,41 </w:t>
      </w:r>
      <w:proofErr w:type="spellStart"/>
      <w:r w:rsidRPr="00220337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220337">
        <w:rPr>
          <w:rFonts w:ascii="Times New Roman" w:hAnsi="Times New Roman" w:cs="Times New Roman"/>
          <w:sz w:val="24"/>
          <w:szCs w:val="24"/>
        </w:rPr>
        <w:t xml:space="preserve">, или 102,0% к соответствующему периоду 2013 года в сопоставимых ценах. </w:t>
      </w:r>
    </w:p>
    <w:p w:rsidR="00220337" w:rsidRPr="00220337" w:rsidRDefault="00220337" w:rsidP="00220337">
      <w:pPr>
        <w:pStyle w:val="a8"/>
        <w:ind w:firstLine="720"/>
        <w:rPr>
          <w:sz w:val="24"/>
          <w:szCs w:val="24"/>
        </w:rPr>
      </w:pPr>
      <w:r w:rsidRPr="00220337">
        <w:rPr>
          <w:sz w:val="24"/>
          <w:szCs w:val="24"/>
        </w:rPr>
        <w:t xml:space="preserve">В структуре объёма отгруженных товаров собственного производства по виду деятельности «Распределение электроэнергии, газа и воды» за отчетный 2014 год наибольший удельный вес занимают предприятия, занимающиеся передачей и распределением электроэнергии – </w:t>
      </w:r>
      <w:r w:rsidRPr="00220337">
        <w:rPr>
          <w:color w:val="000000" w:themeColor="text1"/>
          <w:sz w:val="24"/>
          <w:szCs w:val="24"/>
        </w:rPr>
        <w:t xml:space="preserve">67,3%, предприятия по производству, передаче и распределению пара и горячей воды - 26,2%. </w:t>
      </w:r>
    </w:p>
    <w:p w:rsidR="00220337" w:rsidRPr="00220337" w:rsidRDefault="00220337" w:rsidP="00220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0337">
        <w:rPr>
          <w:rFonts w:ascii="Times New Roman" w:hAnsi="Times New Roman" w:cs="Times New Roman"/>
          <w:sz w:val="24"/>
          <w:szCs w:val="24"/>
        </w:rPr>
        <w:t xml:space="preserve">Основными представителями по отрасли «Производство и распределение электроэнергии, газа и воды» являются предприятия: общество с ограниченной ответственностью «Городские электрические сети», закрытое акционерное общество «Тюменская </w:t>
      </w:r>
      <w:proofErr w:type="spellStart"/>
      <w:r w:rsidRPr="00220337"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 w:rsidRPr="00220337">
        <w:rPr>
          <w:rFonts w:ascii="Times New Roman" w:hAnsi="Times New Roman" w:cs="Times New Roman"/>
          <w:sz w:val="24"/>
          <w:szCs w:val="24"/>
        </w:rPr>
        <w:t xml:space="preserve"> компания», муниципальное унитарное предприятие «</w:t>
      </w:r>
      <w:proofErr w:type="spellStart"/>
      <w:r w:rsidRPr="00220337"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 w:rsidRPr="00220337">
        <w:rPr>
          <w:rFonts w:ascii="Times New Roman" w:hAnsi="Times New Roman" w:cs="Times New Roman"/>
          <w:sz w:val="24"/>
          <w:szCs w:val="24"/>
        </w:rPr>
        <w:t>».</w:t>
      </w:r>
    </w:p>
    <w:p w:rsidR="00220337" w:rsidRPr="00220337" w:rsidRDefault="00220337" w:rsidP="00220337">
      <w:pPr>
        <w:pStyle w:val="a6"/>
        <w:ind w:firstLine="720"/>
        <w:jc w:val="both"/>
        <w:rPr>
          <w:sz w:val="24"/>
          <w:szCs w:val="24"/>
        </w:rPr>
      </w:pPr>
      <w:r w:rsidRPr="00220337">
        <w:rPr>
          <w:sz w:val="24"/>
          <w:szCs w:val="24"/>
        </w:rPr>
        <w:t>В прогнозном периоде по данному разделу сохраняется положительная динамика развития. Умеренный рост объёмов производства планируется за счёт увеличения жилищного фонда.</w:t>
      </w:r>
    </w:p>
    <w:p w:rsidR="00BD5007" w:rsidRPr="00220337" w:rsidRDefault="00BD5007" w:rsidP="00220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37" w:rsidRPr="00220337" w:rsidRDefault="00220337" w:rsidP="00220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337">
        <w:rPr>
          <w:rFonts w:ascii="Times New Roman" w:eastAsia="Calibri" w:hAnsi="Times New Roman" w:cs="Times New Roman"/>
          <w:sz w:val="24"/>
          <w:szCs w:val="24"/>
        </w:rPr>
        <w:t>В соответствии  с положениями о функционировании розничных рынков электрической энергии, на территориях субъектов Российской Федерации, объединенных в ценовые зоны оптового рынка  электрическая энергия (мощность) продается по нерегулируемым ценам, за исключением продажи электрической энергии (мощности) населению и приравненным к нему категориям потребителей.</w:t>
      </w:r>
    </w:p>
    <w:p w:rsidR="00220337" w:rsidRPr="00220337" w:rsidRDefault="00220337" w:rsidP="00220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337">
        <w:rPr>
          <w:rFonts w:ascii="Times New Roman" w:hAnsi="Times New Roman" w:cs="Times New Roman"/>
          <w:sz w:val="24"/>
        </w:rPr>
        <w:t>Тарифы на электрическую энергию для населения и приравненным к нему категориям потребителей  на территории Ханты-Мансийского автономного округа - Югры устанавливаются решениями Региональной энергетической комиссии  Тюменской области, Ханты-Мансийского автономного округа – Югры, Ямало-Ненецкого автономного округа.</w:t>
      </w:r>
    </w:p>
    <w:p w:rsidR="00220337" w:rsidRPr="00220337" w:rsidRDefault="00220337" w:rsidP="00220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337">
        <w:rPr>
          <w:rFonts w:ascii="Times New Roman" w:hAnsi="Times New Roman" w:cs="Times New Roman"/>
          <w:sz w:val="24"/>
        </w:rPr>
        <w:t xml:space="preserve">Реализацию электрической энергии на территории городского округа город Мегион осуществляет открытое акционерное общество «Тюменская </w:t>
      </w:r>
      <w:proofErr w:type="spellStart"/>
      <w:r w:rsidRPr="00220337">
        <w:rPr>
          <w:rFonts w:ascii="Times New Roman" w:hAnsi="Times New Roman" w:cs="Times New Roman"/>
          <w:sz w:val="24"/>
        </w:rPr>
        <w:t>энергосбытовая</w:t>
      </w:r>
      <w:proofErr w:type="spellEnd"/>
      <w:r w:rsidRPr="00220337">
        <w:rPr>
          <w:rFonts w:ascii="Times New Roman" w:hAnsi="Times New Roman" w:cs="Times New Roman"/>
          <w:sz w:val="24"/>
        </w:rPr>
        <w:t xml:space="preserve"> компания».</w:t>
      </w:r>
    </w:p>
    <w:p w:rsidR="00BD5007" w:rsidRDefault="00BD5007" w:rsidP="00220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42" w:rsidRDefault="00D61842" w:rsidP="00220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42" w:rsidRDefault="00D61842" w:rsidP="00220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Pr="00220337" w:rsidRDefault="00DF7329" w:rsidP="0022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007" w:rsidRDefault="00BD5007" w:rsidP="00BD5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СЕЛЬСКОЕ ХОЗЯЙСТВО</w:t>
      </w:r>
    </w:p>
    <w:p w:rsidR="00BD5007" w:rsidRPr="00BD5007" w:rsidRDefault="00BD5007" w:rsidP="00BD5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90A" w:rsidRPr="001E12EC" w:rsidRDefault="0013413B" w:rsidP="0015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4690A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4690A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городского округа город Мегион в качестве крестьянско-фермерских хозяй</w:t>
      </w:r>
      <w:r w:rsidR="00D618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зарегистрированы 8 хозяйств</w:t>
      </w:r>
      <w:r w:rsidR="0094690A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21 личное подсобное хозяйство, из которых 13 х</w:t>
      </w:r>
      <w:r w:rsidR="00D6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озяйств предоставляют сведения </w:t>
      </w:r>
      <w:r w:rsidR="0094690A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своей </w:t>
      </w:r>
      <w:r w:rsidR="00D6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в целях получения </w:t>
      </w:r>
      <w:r w:rsidR="0094690A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субсидии.</w:t>
      </w:r>
    </w:p>
    <w:p w:rsidR="00631FB8" w:rsidRPr="00220337" w:rsidRDefault="005D7381" w:rsidP="00631FB8">
      <w:pPr>
        <w:pStyle w:val="a8"/>
        <w:ind w:firstLine="709"/>
        <w:rPr>
          <w:color w:val="000000"/>
          <w:sz w:val="24"/>
          <w:szCs w:val="24"/>
        </w:rPr>
      </w:pPr>
      <w:r w:rsidRPr="001E12EC">
        <w:rPr>
          <w:sz w:val="24"/>
          <w:szCs w:val="24"/>
        </w:rPr>
        <w:t>Хозяйствующие субъекты</w:t>
      </w:r>
      <w:r w:rsidR="00631FB8">
        <w:rPr>
          <w:sz w:val="24"/>
          <w:szCs w:val="24"/>
        </w:rPr>
        <w:t xml:space="preserve"> отрасли нацелены, в основном, </w:t>
      </w:r>
      <w:r w:rsidRPr="001E12EC">
        <w:rPr>
          <w:sz w:val="24"/>
          <w:szCs w:val="24"/>
        </w:rPr>
        <w:t>на производство продукции животноводства.</w:t>
      </w:r>
      <w:r w:rsidR="00631FB8">
        <w:rPr>
          <w:sz w:val="24"/>
          <w:szCs w:val="24"/>
        </w:rPr>
        <w:t xml:space="preserve"> </w:t>
      </w:r>
      <w:r w:rsidR="00631FB8" w:rsidRPr="00220337">
        <w:rPr>
          <w:color w:val="000000"/>
          <w:sz w:val="24"/>
          <w:szCs w:val="24"/>
          <w:shd w:val="clear" w:color="auto" w:fill="FFFFFF"/>
        </w:rPr>
        <w:t xml:space="preserve">В 2014 году предоставлены субсидии 6 крестьянским фермерским хозяйствам и 11 личным подсобным хозяйствам на сумму 10,5 </w:t>
      </w:r>
      <w:proofErr w:type="spellStart"/>
      <w:r w:rsidR="00631FB8" w:rsidRPr="00220337">
        <w:rPr>
          <w:color w:val="000000"/>
          <w:sz w:val="24"/>
          <w:szCs w:val="24"/>
          <w:shd w:val="clear" w:color="auto" w:fill="FFFFFF"/>
        </w:rPr>
        <w:t>млн.рублей</w:t>
      </w:r>
      <w:proofErr w:type="spellEnd"/>
      <w:r w:rsidR="00631FB8" w:rsidRPr="00220337">
        <w:rPr>
          <w:color w:val="000000"/>
          <w:sz w:val="24"/>
          <w:szCs w:val="24"/>
          <w:shd w:val="clear" w:color="auto" w:fill="FFFFFF"/>
        </w:rPr>
        <w:t>. В течение отчетного периода местными фермерами произведено 112,7 тонн мяса и 357,9 тонн молока.</w:t>
      </w:r>
    </w:p>
    <w:p w:rsidR="0013413B" w:rsidRDefault="0094690A" w:rsidP="0015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4690A" w:rsidRPr="00220337" w:rsidRDefault="0094690A" w:rsidP="0015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03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Крестьянско-фермерские хозяйства</w:t>
      </w:r>
    </w:p>
    <w:p w:rsidR="0094690A" w:rsidRPr="001E12EC" w:rsidRDefault="00470621" w:rsidP="0015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21">
        <w:rPr>
          <w:rFonts w:ascii="Times New Roman" w:hAnsi="Times New Roman" w:cs="Times New Roman"/>
          <w:sz w:val="24"/>
          <w:szCs w:val="24"/>
        </w:rPr>
        <w:t xml:space="preserve">Основными производителями мяса и молока являются крестьянские (фермерские) хозяйства. </w:t>
      </w:r>
      <w:r w:rsidR="0094690A" w:rsidRPr="0047062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объёмы продукции и поголовье скота в крестьянско-фермерских хозяйствах за</w:t>
      </w:r>
      <w:r w:rsidR="0094690A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год, в сравнении с соответствующими показателями 2013 года, имеют тенденцию к улучшению по основным позициям:</w:t>
      </w:r>
    </w:p>
    <w:p w:rsidR="0094690A" w:rsidRPr="001E12EC" w:rsidRDefault="0094690A" w:rsidP="0015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27,8% вырос объём надоенного молока;</w:t>
      </w:r>
    </w:p>
    <w:p w:rsidR="0094690A" w:rsidRPr="001E12EC" w:rsidRDefault="0094690A" w:rsidP="0015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20,1% выросло производство мяса</w:t>
      </w:r>
      <w:r w:rsidR="00456885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E39" w:rsidRPr="001E12EC" w:rsidRDefault="00456885" w:rsidP="0015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="00C63E39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сократилось поголовье животных: </w:t>
      </w:r>
      <w:r w:rsidR="0094690A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21</w:t>
      </w:r>
      <w:r w:rsidR="00C63E39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94690A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сократилось поголовье свиней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63E39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4690A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52,2% овец и коз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63E39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2,3% поголовье коров.</w:t>
      </w:r>
    </w:p>
    <w:p w:rsidR="0094690A" w:rsidRPr="001E12EC" w:rsidRDefault="0094690A" w:rsidP="0015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Крестьянско-фермерскими хозяйствами преимущественно производится мясо свиней. За 2014 год объём производимого мяса на убой в живом весе</w:t>
      </w:r>
      <w:r w:rsidRPr="001E12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на 20,1</w:t>
      </w:r>
      <w:r w:rsidR="00603A4E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% несмотря на снижение их поголовья.</w:t>
      </w:r>
    </w:p>
    <w:p w:rsidR="0094690A" w:rsidRPr="001E12EC" w:rsidRDefault="0094690A" w:rsidP="0015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90A" w:rsidRPr="00220337" w:rsidRDefault="0094690A" w:rsidP="0015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03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Личные подсобные хозяйства</w:t>
      </w:r>
    </w:p>
    <w:p w:rsidR="0094690A" w:rsidRPr="001E12EC" w:rsidRDefault="0094690A" w:rsidP="00D61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подсобные хозяйства производят продукцию для удовлетворения собственных нужд в продуктах питания.</w:t>
      </w:r>
      <w:r w:rsidR="00603A4E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году поголовье крупного рогатого скота </w:t>
      </w:r>
      <w:r w:rsidR="00D618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личных подсобных хозяйствах снизилось на 18,3%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22,2% маточное поголовье</w:t>
      </w:r>
      <w:r w:rsidR="00D6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скота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снизилось поголовье свиней на 9,6%.  Снизилось поголовье мелкого рогатого скота более, чем в 4 раза. При этом на 6,2% выросло число птиц. Сохранилось на уровне 2013 года число лошадей.</w:t>
      </w:r>
    </w:p>
    <w:p w:rsidR="0094690A" w:rsidRPr="001E12EC" w:rsidRDefault="00470621" w:rsidP="001575B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4690A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родукция растениеводства выращивается населением для собственного потребления. Для этих целей в виде дачно-огородных участков закреплено 164 гектара земли, из них 58 гектаров находятся в официальных границах городского округа город Мегион, 106 гектаров на земельных наделах </w:t>
      </w:r>
      <w:proofErr w:type="spellStart"/>
      <w:r w:rsidR="0094690A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</w:t>
      </w:r>
      <w:proofErr w:type="spellEnd"/>
      <w:r w:rsidR="0094690A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470621" w:rsidRPr="00470621" w:rsidRDefault="00470621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621">
        <w:rPr>
          <w:rFonts w:ascii="Times New Roman" w:hAnsi="Times New Roman" w:cs="Times New Roman"/>
          <w:color w:val="000000" w:themeColor="text1"/>
          <w:sz w:val="24"/>
          <w:szCs w:val="24"/>
        </w:rPr>
        <w:t>По оценке в 2015 году объем производства продукции сельского хозяйства всех категорий составит 25,07 млн. рублей. К 2018 году объем сельскохозяйственной продукции увеличится до 29,28 млн.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02D1" w:rsidRPr="001E12EC" w:rsidRDefault="00812CDB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продукции в </w:t>
      </w:r>
      <w:r w:rsidR="003902D1" w:rsidRPr="001E12EC">
        <w:rPr>
          <w:rFonts w:ascii="Times New Roman" w:hAnsi="Times New Roman" w:cs="Times New Roman"/>
          <w:sz w:val="24"/>
          <w:szCs w:val="24"/>
        </w:rPr>
        <w:t>стоимостном выражении в п</w:t>
      </w:r>
      <w:r w:rsidR="00DF7329" w:rsidRPr="001E12EC">
        <w:rPr>
          <w:rFonts w:ascii="Times New Roman" w:hAnsi="Times New Roman" w:cs="Times New Roman"/>
          <w:sz w:val="24"/>
          <w:szCs w:val="24"/>
        </w:rPr>
        <w:t xml:space="preserve">рогнозируемый </w:t>
      </w:r>
      <w:r w:rsidR="003902D1" w:rsidRPr="001E12EC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DF7329" w:rsidRPr="001E12EC">
        <w:rPr>
          <w:rFonts w:ascii="Times New Roman" w:hAnsi="Times New Roman" w:cs="Times New Roman"/>
          <w:sz w:val="24"/>
          <w:szCs w:val="24"/>
        </w:rPr>
        <w:t>будет варьировать в пределах</w:t>
      </w:r>
      <w:r w:rsidR="003902D1" w:rsidRPr="001E12EC">
        <w:rPr>
          <w:rFonts w:ascii="Times New Roman" w:hAnsi="Times New Roman" w:cs="Times New Roman"/>
          <w:sz w:val="24"/>
          <w:szCs w:val="24"/>
        </w:rPr>
        <w:t>:</w:t>
      </w:r>
    </w:p>
    <w:p w:rsidR="003902D1" w:rsidRPr="001E12EC" w:rsidRDefault="003902D1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По первому варианту:</w:t>
      </w:r>
    </w:p>
    <w:p w:rsidR="003902D1" w:rsidRPr="001E12EC" w:rsidRDefault="003902D1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-25,5 млн. рублей в 2016 году;</w:t>
      </w:r>
    </w:p>
    <w:p w:rsidR="003902D1" w:rsidRPr="001E12EC" w:rsidRDefault="003902D1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-26,</w:t>
      </w:r>
      <w:r w:rsidR="009B4343">
        <w:rPr>
          <w:rFonts w:ascii="Times New Roman" w:hAnsi="Times New Roman" w:cs="Times New Roman"/>
          <w:sz w:val="24"/>
          <w:szCs w:val="24"/>
        </w:rPr>
        <w:t>0</w:t>
      </w:r>
      <w:r w:rsidRPr="001E12EC">
        <w:rPr>
          <w:rFonts w:ascii="Times New Roman" w:hAnsi="Times New Roman" w:cs="Times New Roman"/>
          <w:sz w:val="24"/>
          <w:szCs w:val="24"/>
        </w:rPr>
        <w:t xml:space="preserve"> млн. рублей в 2017 году;</w:t>
      </w:r>
    </w:p>
    <w:p w:rsidR="003902D1" w:rsidRPr="001E12EC" w:rsidRDefault="003902D1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-26,58 млн. рублей в 2018 году.</w:t>
      </w:r>
    </w:p>
    <w:p w:rsidR="003902D1" w:rsidRPr="001E12EC" w:rsidRDefault="003902D1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По второму варианту:</w:t>
      </w:r>
    </w:p>
    <w:p w:rsidR="003902D1" w:rsidRPr="001E12EC" w:rsidRDefault="003902D1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-26,2 млн. рублей в 2016 году;</w:t>
      </w:r>
    </w:p>
    <w:p w:rsidR="003902D1" w:rsidRPr="001E12EC" w:rsidRDefault="003902D1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-27,58 млн. рублей в 2017 году;</w:t>
      </w:r>
    </w:p>
    <w:p w:rsidR="003902D1" w:rsidRPr="001E12EC" w:rsidRDefault="003902D1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-29,28 млн. рублей в 2018 году.</w:t>
      </w:r>
    </w:p>
    <w:p w:rsidR="00714A68" w:rsidRPr="001E12EC" w:rsidRDefault="00714A68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 xml:space="preserve">Прирост физического объёма производимой продукции </w:t>
      </w:r>
      <w:r w:rsidR="00055336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Pr="001E12EC">
        <w:rPr>
          <w:rFonts w:ascii="Times New Roman" w:hAnsi="Times New Roman" w:cs="Times New Roman"/>
          <w:sz w:val="24"/>
          <w:szCs w:val="24"/>
        </w:rPr>
        <w:t>в следующих п</w:t>
      </w:r>
      <w:r w:rsidR="00055336">
        <w:rPr>
          <w:rFonts w:ascii="Times New Roman" w:hAnsi="Times New Roman" w:cs="Times New Roman"/>
          <w:sz w:val="24"/>
          <w:szCs w:val="24"/>
        </w:rPr>
        <w:t>араметр</w:t>
      </w:r>
      <w:r w:rsidRPr="001E12EC">
        <w:rPr>
          <w:rFonts w:ascii="Times New Roman" w:hAnsi="Times New Roman" w:cs="Times New Roman"/>
          <w:sz w:val="24"/>
          <w:szCs w:val="24"/>
        </w:rPr>
        <w:t>ах:</w:t>
      </w:r>
    </w:p>
    <w:p w:rsidR="00E37874" w:rsidRPr="001E12EC" w:rsidRDefault="00E37874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Производство мяса:</w:t>
      </w:r>
    </w:p>
    <w:p w:rsidR="00714A68" w:rsidRPr="001E12EC" w:rsidRDefault="00E37874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-на</w:t>
      </w:r>
      <w:r w:rsidR="00E5698C" w:rsidRPr="001E12EC">
        <w:rPr>
          <w:rFonts w:ascii="Times New Roman" w:hAnsi="Times New Roman" w:cs="Times New Roman"/>
          <w:sz w:val="24"/>
          <w:szCs w:val="24"/>
        </w:rPr>
        <w:t xml:space="preserve"> </w:t>
      </w:r>
      <w:r w:rsidRPr="001E12EC">
        <w:rPr>
          <w:rFonts w:ascii="Times New Roman" w:hAnsi="Times New Roman" w:cs="Times New Roman"/>
          <w:sz w:val="24"/>
          <w:szCs w:val="24"/>
        </w:rPr>
        <w:t>0,13% в 2016 году по первому варианту и на 0,84% по второму варианту;</w:t>
      </w:r>
    </w:p>
    <w:p w:rsidR="00E37874" w:rsidRPr="001E12EC" w:rsidRDefault="00E37874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lastRenderedPageBreak/>
        <w:t>-на 0,3</w:t>
      </w:r>
      <w:r w:rsidR="006634D6" w:rsidRPr="001E12EC">
        <w:rPr>
          <w:rFonts w:ascii="Times New Roman" w:hAnsi="Times New Roman" w:cs="Times New Roman"/>
          <w:sz w:val="24"/>
          <w:szCs w:val="24"/>
        </w:rPr>
        <w:t>0</w:t>
      </w:r>
      <w:r w:rsidRPr="001E12EC">
        <w:rPr>
          <w:rFonts w:ascii="Times New Roman" w:hAnsi="Times New Roman" w:cs="Times New Roman"/>
          <w:sz w:val="24"/>
          <w:szCs w:val="24"/>
        </w:rPr>
        <w:t>% в 2017 году по первому варианту, 1,49% по второму варианту;</w:t>
      </w:r>
    </w:p>
    <w:p w:rsidR="00E37874" w:rsidRPr="001E12EC" w:rsidRDefault="00E37874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-на 0,39% и 2,29 соответственно в 2018 году.</w:t>
      </w:r>
    </w:p>
    <w:p w:rsidR="00E37874" w:rsidRPr="001E12EC" w:rsidRDefault="00E37874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874" w:rsidRPr="001E12EC" w:rsidRDefault="00E37874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Производство молока:</w:t>
      </w:r>
    </w:p>
    <w:p w:rsidR="00D93D6D" w:rsidRPr="001E12EC" w:rsidRDefault="00D93D6D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-на 0,20% в 2016 году по первому варианту и на 0,8</w:t>
      </w:r>
      <w:r w:rsidR="006634D6" w:rsidRPr="001E12EC">
        <w:rPr>
          <w:rFonts w:ascii="Times New Roman" w:hAnsi="Times New Roman" w:cs="Times New Roman"/>
          <w:sz w:val="24"/>
          <w:szCs w:val="24"/>
        </w:rPr>
        <w:t>9</w:t>
      </w:r>
      <w:r w:rsidRPr="001E12EC">
        <w:rPr>
          <w:rFonts w:ascii="Times New Roman" w:hAnsi="Times New Roman" w:cs="Times New Roman"/>
          <w:sz w:val="24"/>
          <w:szCs w:val="24"/>
        </w:rPr>
        <w:t>% по второму варианту;</w:t>
      </w:r>
    </w:p>
    <w:p w:rsidR="00D93D6D" w:rsidRPr="001E12EC" w:rsidRDefault="00D93D6D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-на 0,3</w:t>
      </w:r>
      <w:r w:rsidR="006634D6" w:rsidRPr="001E12EC">
        <w:rPr>
          <w:rFonts w:ascii="Times New Roman" w:hAnsi="Times New Roman" w:cs="Times New Roman"/>
          <w:sz w:val="24"/>
          <w:szCs w:val="24"/>
        </w:rPr>
        <w:t>0</w:t>
      </w:r>
      <w:r w:rsidRPr="001E12EC">
        <w:rPr>
          <w:rFonts w:ascii="Times New Roman" w:hAnsi="Times New Roman" w:cs="Times New Roman"/>
          <w:sz w:val="24"/>
          <w:szCs w:val="24"/>
        </w:rPr>
        <w:t>% в 2017 году по первому варианту, 1,49% по второму варианту;</w:t>
      </w:r>
    </w:p>
    <w:p w:rsidR="00D93D6D" w:rsidRPr="001E12EC" w:rsidRDefault="00D93D6D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-на 0,39% и 2,29 соответственно в 2018 году.</w:t>
      </w:r>
    </w:p>
    <w:p w:rsidR="003C2D0C" w:rsidRPr="001E12EC" w:rsidRDefault="003C2D0C" w:rsidP="001575B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Улучшению показателей производства продукции животноводства окажет реализация мероприятий программы «Развитие агропромышленного комплекса и рынков сельскохозяйственной продукции, сырья и продовольствия в Ханты-Мансийском автономном округе - Югре в 2014-2020 годах». </w:t>
      </w:r>
    </w:p>
    <w:p w:rsidR="00631FB8" w:rsidRPr="00220337" w:rsidRDefault="00631FB8" w:rsidP="00631FB8">
      <w:pPr>
        <w:pStyle w:val="a8"/>
        <w:ind w:firstLine="709"/>
        <w:rPr>
          <w:color w:val="000000"/>
          <w:sz w:val="24"/>
          <w:szCs w:val="24"/>
        </w:rPr>
      </w:pPr>
      <w:r w:rsidRPr="00220337">
        <w:rPr>
          <w:color w:val="000000"/>
          <w:sz w:val="24"/>
          <w:szCs w:val="24"/>
          <w:shd w:val="clear" w:color="auto" w:fill="FFFFFF"/>
        </w:rPr>
        <w:t xml:space="preserve">Для поддержки </w:t>
      </w:r>
      <w:proofErr w:type="spellStart"/>
      <w:r w:rsidRPr="00220337">
        <w:rPr>
          <w:color w:val="000000"/>
          <w:sz w:val="24"/>
          <w:szCs w:val="24"/>
          <w:shd w:val="clear" w:color="auto" w:fill="FFFFFF"/>
        </w:rPr>
        <w:t>мегионских</w:t>
      </w:r>
      <w:proofErr w:type="spellEnd"/>
      <w:r w:rsidRPr="00220337">
        <w:rPr>
          <w:color w:val="000000"/>
          <w:sz w:val="24"/>
          <w:szCs w:val="24"/>
          <w:shd w:val="clear" w:color="auto" w:fill="FFFFFF"/>
        </w:rPr>
        <w:t xml:space="preserve"> сельхозпроизводителей, в рамках государственной программы «Развитие агропромышленного комплекса и рынков сельскохозяйственной продукции, сырья и продовольствия в Ханты - Мансийском автономном округе – Югре на 2014 – 2020 годы» предусмотрено предоставление субсидий крестьянским фермерским хозяйствам и личным подсобным хозяйствам. </w:t>
      </w:r>
    </w:p>
    <w:p w:rsidR="00BD5007" w:rsidRDefault="00BD5007" w:rsidP="00BD5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007" w:rsidRDefault="00BD5007" w:rsidP="00BD5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007" w:rsidRDefault="00BD5007" w:rsidP="00BD5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ПОТРЕБИТЕЛЬСКИЙ РЫНОК</w:t>
      </w:r>
    </w:p>
    <w:p w:rsidR="00BD5007" w:rsidRDefault="00BD5007" w:rsidP="00BD5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88F" w:rsidRPr="0093488F" w:rsidRDefault="0093488F" w:rsidP="009348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4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потребительского рынка товаров и услуг является важнейшим фактором обеспечения экономической стабильности города, улучшения условий и качества жизни </w:t>
      </w:r>
      <w:proofErr w:type="spellStart"/>
      <w:r w:rsidRPr="00934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мегионцев</w:t>
      </w:r>
      <w:proofErr w:type="spellEnd"/>
      <w:r w:rsidRPr="00934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3488F" w:rsidRPr="0093488F" w:rsidRDefault="0093488F" w:rsidP="009348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488F">
        <w:rPr>
          <w:rFonts w:ascii="Times New Roman" w:hAnsi="Times New Roman" w:cs="Times New Roman"/>
          <w:color w:val="000000"/>
          <w:sz w:val="24"/>
          <w:szCs w:val="24"/>
        </w:rPr>
        <w:t xml:space="preserve">Сегодня на потребительском рынке городского округа город Мегион преобладающей формой является частная форма собственности. </w:t>
      </w:r>
      <w:r w:rsidRPr="00934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Свыше 700 предпринимателей занимаются деятельностью в сфере торговли, общественного питания и бытового обслуживания. </w:t>
      </w:r>
    </w:p>
    <w:p w:rsidR="0093488F" w:rsidRPr="0093488F" w:rsidRDefault="0093488F" w:rsidP="0093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сфере потребительских услуг розничная торговля занимает главное место, и является одной из наиболее динамично развивающихся отраслей в городе. </w:t>
      </w:r>
      <w:r w:rsidRPr="0093488F">
        <w:rPr>
          <w:rFonts w:ascii="Times New Roman" w:hAnsi="Times New Roman" w:cs="Times New Roman"/>
          <w:sz w:val="24"/>
          <w:szCs w:val="24"/>
        </w:rPr>
        <w:t>Розничная торговля быстро реагирует на изменения уровня жизни населения и требования, предъявляемые потребителем.</w:t>
      </w:r>
    </w:p>
    <w:p w:rsidR="0093488F" w:rsidRPr="0093488F" w:rsidRDefault="0093488F" w:rsidP="009348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88F">
        <w:rPr>
          <w:rFonts w:ascii="Times New Roman" w:hAnsi="Times New Roman" w:cs="Times New Roman"/>
          <w:sz w:val="24"/>
          <w:szCs w:val="24"/>
        </w:rPr>
        <w:t xml:space="preserve">По состоянию на 01.01.2015 года на территории городского округа город Мегион </w:t>
      </w:r>
      <w:r w:rsidRPr="0093488F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расположено 245 объектов розничной торговли (магазины – 204 ед., киоски – 3 ед., павильоны - 38 ед.), торговой площадью 35708,18 м². </w:t>
      </w:r>
    </w:p>
    <w:p w:rsidR="0093488F" w:rsidRPr="0093488F" w:rsidRDefault="0093488F" w:rsidP="009348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88F">
        <w:rPr>
          <w:rFonts w:ascii="Times New Roman" w:hAnsi="Times New Roman" w:cs="Times New Roman"/>
          <w:sz w:val="24"/>
          <w:szCs w:val="24"/>
        </w:rPr>
        <w:t xml:space="preserve">Вновь открываемые объекты торговли характеризуются современными формами торговли и формами обслуживания населения. Основным нормативным критерием оценки состояния потребительского рынка является уровень обеспеченности населения торговыми площадями. Обеспеченность населения торговыми площадями по состоянию на 01.01.2015 </w:t>
      </w:r>
      <w:r w:rsidRPr="0093488F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143,7%, или 636,5 </w:t>
      </w:r>
      <w:proofErr w:type="spellStart"/>
      <w:r w:rsidRPr="0093488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93488F">
        <w:rPr>
          <w:rFonts w:ascii="Times New Roman" w:hAnsi="Times New Roman" w:cs="Times New Roman"/>
          <w:color w:val="000000"/>
          <w:sz w:val="24"/>
          <w:szCs w:val="24"/>
        </w:rPr>
        <w:t>. на 1,0 тыс. жителей.</w:t>
      </w:r>
    </w:p>
    <w:p w:rsidR="0093488F" w:rsidRPr="0093488F" w:rsidRDefault="0093488F" w:rsidP="009348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88F">
        <w:rPr>
          <w:rFonts w:ascii="Times New Roman" w:hAnsi="Times New Roman" w:cs="Times New Roman"/>
          <w:sz w:val="24"/>
          <w:szCs w:val="24"/>
        </w:rPr>
        <w:t xml:space="preserve">Оборот розничной торговли, полученный через все каналы реализации, за 2014 год </w:t>
      </w:r>
      <w:r w:rsidRPr="0093488F">
        <w:rPr>
          <w:rFonts w:ascii="Times New Roman" w:hAnsi="Times New Roman" w:cs="Times New Roman"/>
          <w:color w:val="000000"/>
          <w:sz w:val="24"/>
          <w:szCs w:val="24"/>
        </w:rPr>
        <w:t xml:space="preserve">составил 8825,40 </w:t>
      </w:r>
      <w:proofErr w:type="spellStart"/>
      <w:r w:rsidRPr="0093488F">
        <w:rPr>
          <w:rFonts w:ascii="Times New Roman" w:hAnsi="Times New Roman" w:cs="Times New Roman"/>
          <w:color w:val="000000"/>
          <w:sz w:val="24"/>
          <w:szCs w:val="24"/>
        </w:rPr>
        <w:t>млн.рублей</w:t>
      </w:r>
      <w:proofErr w:type="spellEnd"/>
      <w:r w:rsidRPr="0093488F">
        <w:rPr>
          <w:rFonts w:ascii="Times New Roman" w:hAnsi="Times New Roman" w:cs="Times New Roman"/>
          <w:color w:val="000000"/>
          <w:sz w:val="24"/>
          <w:szCs w:val="24"/>
        </w:rPr>
        <w:t xml:space="preserve">, что в сопоставимых ценах на 5,4% выше объёма аналогичного периода 2013 года. </w:t>
      </w:r>
    </w:p>
    <w:p w:rsidR="0093488F" w:rsidRPr="0093488F" w:rsidRDefault="0093488F" w:rsidP="009348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88F">
        <w:rPr>
          <w:rFonts w:ascii="Times New Roman" w:hAnsi="Times New Roman" w:cs="Times New Roman"/>
          <w:sz w:val="24"/>
          <w:szCs w:val="24"/>
        </w:rPr>
        <w:t xml:space="preserve">В оценочный 2015 год ожидается снижение объёма розничного товарооборота на 8,2% в сопоставимых ценах к уровню 2014 года, который составит 9430,4 млн. рублей. </w:t>
      </w:r>
    </w:p>
    <w:p w:rsidR="0093488F" w:rsidRPr="0093488F" w:rsidRDefault="0093488F" w:rsidP="009348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88F">
        <w:rPr>
          <w:rFonts w:ascii="Times New Roman" w:hAnsi="Times New Roman" w:cs="Times New Roman"/>
          <w:sz w:val="24"/>
          <w:szCs w:val="24"/>
        </w:rPr>
        <w:t>На период 2016-2018 годы прогнозируется рост товарооборота на уровне 101,5-103,7% по первому варианту, 102,5-105,2% по второму варианту. Такая ситуация в прогнозируемом периоде объясняется повышением реальных доходов населения, развитием потребительского кредитования, а также достаточным обеспечением населения торговыми площадями.</w:t>
      </w:r>
    </w:p>
    <w:p w:rsidR="0093488F" w:rsidRPr="0093488F" w:rsidRDefault="0093488F" w:rsidP="0093488F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</w:p>
    <w:p w:rsidR="0093488F" w:rsidRPr="0093488F" w:rsidRDefault="0093488F" w:rsidP="0093488F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93488F">
        <w:rPr>
          <w:sz w:val="24"/>
          <w:szCs w:val="24"/>
        </w:rPr>
        <w:t xml:space="preserve">Общественное питание, как и торговля, сектор услуг для населения, который кардинально меняется в последние годы. </w:t>
      </w:r>
    </w:p>
    <w:p w:rsidR="0093488F" w:rsidRPr="0093488F" w:rsidRDefault="0093488F" w:rsidP="00934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88F">
        <w:rPr>
          <w:rFonts w:ascii="Times New Roman" w:hAnsi="Times New Roman" w:cs="Times New Roman"/>
          <w:sz w:val="24"/>
          <w:szCs w:val="24"/>
        </w:rPr>
        <w:lastRenderedPageBreak/>
        <w:t xml:space="preserve">Сеть организаций общественного питания представлена в городе такими формами как кафе, столовые, рестораны. </w:t>
      </w:r>
    </w:p>
    <w:p w:rsidR="0093488F" w:rsidRPr="0093488F" w:rsidRDefault="0093488F" w:rsidP="009348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88F">
        <w:rPr>
          <w:rFonts w:ascii="Times New Roman" w:hAnsi="Times New Roman" w:cs="Times New Roman"/>
          <w:color w:val="000000"/>
          <w:sz w:val="24"/>
          <w:szCs w:val="24"/>
        </w:rPr>
        <w:t>По состоянию на 01.01.2015 в городе работает 98 предприятий общественного питания на 4779 посадочных мест, в том числе по видам:</w:t>
      </w:r>
    </w:p>
    <w:p w:rsidR="0093488F" w:rsidRPr="0093488F" w:rsidRDefault="0093488F" w:rsidP="009348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88F">
        <w:rPr>
          <w:rFonts w:ascii="Times New Roman" w:hAnsi="Times New Roman" w:cs="Times New Roman"/>
          <w:color w:val="000000"/>
          <w:sz w:val="24"/>
          <w:szCs w:val="24"/>
        </w:rPr>
        <w:t xml:space="preserve">- рестораны – 1 ед., 60 </w:t>
      </w:r>
      <w:proofErr w:type="spellStart"/>
      <w:r w:rsidRPr="0093488F">
        <w:rPr>
          <w:rFonts w:ascii="Times New Roman" w:hAnsi="Times New Roman" w:cs="Times New Roman"/>
          <w:color w:val="000000"/>
          <w:sz w:val="24"/>
          <w:szCs w:val="24"/>
        </w:rPr>
        <w:t>пос.мест</w:t>
      </w:r>
      <w:proofErr w:type="spellEnd"/>
      <w:r w:rsidRPr="009348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88F" w:rsidRPr="0093488F" w:rsidRDefault="0093488F" w:rsidP="009348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88F">
        <w:rPr>
          <w:rFonts w:ascii="Times New Roman" w:hAnsi="Times New Roman" w:cs="Times New Roman"/>
          <w:color w:val="000000"/>
          <w:sz w:val="24"/>
          <w:szCs w:val="24"/>
        </w:rPr>
        <w:t xml:space="preserve">- кафе – 27 ед., 1403 </w:t>
      </w:r>
      <w:proofErr w:type="spellStart"/>
      <w:r w:rsidRPr="0093488F">
        <w:rPr>
          <w:rFonts w:ascii="Times New Roman" w:hAnsi="Times New Roman" w:cs="Times New Roman"/>
          <w:color w:val="000000"/>
          <w:sz w:val="24"/>
          <w:szCs w:val="24"/>
        </w:rPr>
        <w:t>пос.мест</w:t>
      </w:r>
      <w:proofErr w:type="spellEnd"/>
      <w:r w:rsidRPr="009348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88F" w:rsidRPr="0093488F" w:rsidRDefault="0093488F" w:rsidP="009348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88F">
        <w:rPr>
          <w:rFonts w:ascii="Times New Roman" w:hAnsi="Times New Roman" w:cs="Times New Roman"/>
          <w:color w:val="000000"/>
          <w:sz w:val="24"/>
          <w:szCs w:val="24"/>
        </w:rPr>
        <w:t xml:space="preserve">- бары – 32 ед., 706 </w:t>
      </w:r>
      <w:proofErr w:type="spellStart"/>
      <w:r w:rsidRPr="0093488F">
        <w:rPr>
          <w:rFonts w:ascii="Times New Roman" w:hAnsi="Times New Roman" w:cs="Times New Roman"/>
          <w:color w:val="000000"/>
          <w:sz w:val="24"/>
          <w:szCs w:val="24"/>
        </w:rPr>
        <w:t>пос.мест</w:t>
      </w:r>
      <w:proofErr w:type="spellEnd"/>
      <w:r w:rsidRPr="009348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88F" w:rsidRPr="0093488F" w:rsidRDefault="0093488F" w:rsidP="009348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88F">
        <w:rPr>
          <w:rFonts w:ascii="Times New Roman" w:hAnsi="Times New Roman" w:cs="Times New Roman"/>
          <w:color w:val="000000"/>
          <w:sz w:val="24"/>
          <w:szCs w:val="24"/>
        </w:rPr>
        <w:t xml:space="preserve">- иные (буфеты, закусочные, магазины-кулинарии) – 18 ед., 242 </w:t>
      </w:r>
      <w:proofErr w:type="spellStart"/>
      <w:r w:rsidRPr="0093488F">
        <w:rPr>
          <w:rFonts w:ascii="Times New Roman" w:hAnsi="Times New Roman" w:cs="Times New Roman"/>
          <w:color w:val="000000"/>
          <w:sz w:val="24"/>
          <w:szCs w:val="24"/>
        </w:rPr>
        <w:t>пос.мест</w:t>
      </w:r>
      <w:proofErr w:type="spellEnd"/>
      <w:r w:rsidRPr="009348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88F" w:rsidRPr="0093488F" w:rsidRDefault="0093488F" w:rsidP="009348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88F">
        <w:rPr>
          <w:rFonts w:ascii="Times New Roman" w:hAnsi="Times New Roman" w:cs="Times New Roman"/>
          <w:color w:val="000000"/>
          <w:sz w:val="24"/>
          <w:szCs w:val="24"/>
        </w:rPr>
        <w:t xml:space="preserve">- столовые – 20 ед., 2368 </w:t>
      </w:r>
      <w:proofErr w:type="spellStart"/>
      <w:r w:rsidRPr="0093488F">
        <w:rPr>
          <w:rFonts w:ascii="Times New Roman" w:hAnsi="Times New Roman" w:cs="Times New Roman"/>
          <w:color w:val="000000"/>
          <w:sz w:val="24"/>
          <w:szCs w:val="24"/>
        </w:rPr>
        <w:t>пос.мест</w:t>
      </w:r>
      <w:proofErr w:type="spellEnd"/>
      <w:r w:rsidRPr="0093488F">
        <w:rPr>
          <w:rFonts w:ascii="Times New Roman" w:hAnsi="Times New Roman" w:cs="Times New Roman"/>
          <w:color w:val="000000"/>
          <w:sz w:val="24"/>
          <w:szCs w:val="24"/>
        </w:rPr>
        <w:t xml:space="preserve">, из них школьные столовые – 11 ед., 1936 </w:t>
      </w:r>
      <w:proofErr w:type="spellStart"/>
      <w:r w:rsidRPr="0093488F">
        <w:rPr>
          <w:rFonts w:ascii="Times New Roman" w:hAnsi="Times New Roman" w:cs="Times New Roman"/>
          <w:color w:val="000000"/>
          <w:sz w:val="24"/>
          <w:szCs w:val="24"/>
        </w:rPr>
        <w:t>пос.мест</w:t>
      </w:r>
      <w:proofErr w:type="spellEnd"/>
      <w:r w:rsidRPr="009348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88F" w:rsidRPr="0093488F" w:rsidRDefault="0093488F" w:rsidP="009348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88F">
        <w:rPr>
          <w:rFonts w:ascii="Times New Roman" w:hAnsi="Times New Roman" w:cs="Times New Roman"/>
          <w:color w:val="000000"/>
          <w:sz w:val="24"/>
          <w:szCs w:val="24"/>
        </w:rPr>
        <w:t xml:space="preserve">При нормативе 40 посадочных мест на 1,0 тысячу жителей общедоступная сеть предприятий общественного питания городского округа город Мегион закрывает потребность населения в посадочных местах на 107,4%. </w:t>
      </w:r>
    </w:p>
    <w:p w:rsidR="0093488F" w:rsidRPr="0093488F" w:rsidRDefault="0093488F" w:rsidP="00934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88F">
        <w:rPr>
          <w:rFonts w:ascii="Times New Roman" w:hAnsi="Times New Roman" w:cs="Times New Roman"/>
          <w:sz w:val="24"/>
          <w:szCs w:val="24"/>
        </w:rPr>
        <w:t xml:space="preserve">Оборот общественного питания за 2014 год составил 1756,20 </w:t>
      </w:r>
      <w:proofErr w:type="spellStart"/>
      <w:r w:rsidRPr="0093488F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93488F">
        <w:rPr>
          <w:rFonts w:ascii="Times New Roman" w:hAnsi="Times New Roman" w:cs="Times New Roman"/>
          <w:sz w:val="24"/>
          <w:szCs w:val="24"/>
        </w:rPr>
        <w:t xml:space="preserve">, и </w:t>
      </w:r>
      <w:r w:rsidRPr="0093488F">
        <w:rPr>
          <w:rFonts w:ascii="Times New Roman" w:hAnsi="Times New Roman" w:cs="Times New Roman"/>
          <w:color w:val="000000"/>
          <w:sz w:val="24"/>
          <w:szCs w:val="24"/>
        </w:rPr>
        <w:t xml:space="preserve">увеличился </w:t>
      </w:r>
      <w:r w:rsidRPr="0093488F">
        <w:rPr>
          <w:rFonts w:ascii="Times New Roman" w:hAnsi="Times New Roman" w:cs="Times New Roman"/>
          <w:sz w:val="24"/>
          <w:szCs w:val="24"/>
        </w:rPr>
        <w:t>по сравнению с аналогичным периодом 2013 года на 6,4% в сопоставимых ценах.</w:t>
      </w:r>
    </w:p>
    <w:p w:rsidR="0093488F" w:rsidRPr="0093488F" w:rsidRDefault="0093488F" w:rsidP="00934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8F">
        <w:rPr>
          <w:rFonts w:ascii="Times New Roman" w:hAnsi="Times New Roman" w:cs="Times New Roman"/>
          <w:sz w:val="24"/>
          <w:szCs w:val="24"/>
        </w:rPr>
        <w:t xml:space="preserve">В 2014 году на 2,3% увеличилось количество посадочных мест за счет изменения типов предприятий торговли на общественное питание, ввода в эксплуатацию новых объектов предприятий общественного питания общедоступной сети. </w:t>
      </w:r>
    </w:p>
    <w:p w:rsidR="0093488F" w:rsidRPr="0093488F" w:rsidRDefault="0093488F" w:rsidP="0093488F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93488F">
        <w:rPr>
          <w:sz w:val="24"/>
          <w:szCs w:val="24"/>
        </w:rPr>
        <w:t xml:space="preserve">По оценке в 2015 году оборот общественного питания составит 1894,99 </w:t>
      </w:r>
      <w:proofErr w:type="spellStart"/>
      <w:r w:rsidRPr="0093488F">
        <w:rPr>
          <w:sz w:val="24"/>
          <w:szCs w:val="24"/>
        </w:rPr>
        <w:t>млн.рублей</w:t>
      </w:r>
      <w:proofErr w:type="spellEnd"/>
      <w:r w:rsidRPr="0093488F">
        <w:rPr>
          <w:sz w:val="24"/>
          <w:szCs w:val="24"/>
        </w:rPr>
        <w:t xml:space="preserve"> или 92,7% к уровню 2014 года в сопоставимых ценах.</w:t>
      </w:r>
    </w:p>
    <w:p w:rsidR="0093488F" w:rsidRPr="0093488F" w:rsidRDefault="0093488F" w:rsidP="0093488F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93488F">
        <w:rPr>
          <w:sz w:val="24"/>
          <w:szCs w:val="24"/>
        </w:rPr>
        <w:t>В 2016-2018 годы темп роста оборота общественного питания прогнозируется на уровне 101,9-104,1% по первому варианту, 102,8-105,2% по второму варианту.</w:t>
      </w:r>
    </w:p>
    <w:p w:rsidR="0093488F" w:rsidRPr="0093488F" w:rsidRDefault="0093488F" w:rsidP="009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8F">
        <w:rPr>
          <w:rFonts w:ascii="Times New Roman" w:hAnsi="Times New Roman" w:cs="Times New Roman"/>
          <w:sz w:val="24"/>
          <w:szCs w:val="24"/>
        </w:rPr>
        <w:t>Остаются востребованными предприятия быстрого питания, кафе для семейного отдыха и детские кафе. Получили распространение такие формы обслуживания, как реализация готовой продукции через отделы кулинарии, отпуск блюд и изделий на вынос, с доставкой по заказам на дом, в офис (бар «Мега-Суши», кафе «Жар-пицца», кафе «</w:t>
      </w:r>
      <w:proofErr w:type="spellStart"/>
      <w:r w:rsidRPr="0093488F">
        <w:rPr>
          <w:rFonts w:ascii="Times New Roman" w:hAnsi="Times New Roman" w:cs="Times New Roman"/>
          <w:sz w:val="24"/>
          <w:szCs w:val="24"/>
        </w:rPr>
        <w:t>Пандок</w:t>
      </w:r>
      <w:proofErr w:type="spellEnd"/>
      <w:r w:rsidRPr="0093488F">
        <w:rPr>
          <w:rFonts w:ascii="Times New Roman" w:hAnsi="Times New Roman" w:cs="Times New Roman"/>
          <w:sz w:val="24"/>
          <w:szCs w:val="24"/>
        </w:rPr>
        <w:t xml:space="preserve">», «Дракон», бар «Сибирская корона», бар «Сибирская корона», цех по производству и доставке суши). </w:t>
      </w:r>
    </w:p>
    <w:p w:rsidR="0093488F" w:rsidRPr="0093488F" w:rsidRDefault="0093488F" w:rsidP="0093488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 w:rsidRPr="0093488F">
        <w:rPr>
          <w:sz w:val="24"/>
          <w:szCs w:val="24"/>
        </w:rPr>
        <w:t>Помимо предоставления традиционных услуг по питанию предлагаются и другие дополнительные услуги: проведение банкетов, корпоративных праздников, обслуживание выездных, городских мероприятий, предоставление помещений кафе для деловых встреч, вызов такси, бронирование мест.</w:t>
      </w:r>
    </w:p>
    <w:p w:rsidR="0093488F" w:rsidRPr="0093488F" w:rsidRDefault="0093488F" w:rsidP="00934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488F" w:rsidRPr="0093488F" w:rsidRDefault="0093488F" w:rsidP="00934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88F">
        <w:rPr>
          <w:rFonts w:ascii="Times New Roman" w:hAnsi="Times New Roman" w:cs="Times New Roman"/>
          <w:sz w:val="24"/>
          <w:szCs w:val="24"/>
        </w:rPr>
        <w:t>Помимо торговли и общественного питания, потребительский рынок насыщают также платные услуги.</w:t>
      </w:r>
    </w:p>
    <w:p w:rsidR="0093488F" w:rsidRPr="0093488F" w:rsidRDefault="0093488F" w:rsidP="00934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88F">
        <w:rPr>
          <w:rFonts w:ascii="Times New Roman" w:hAnsi="Times New Roman" w:cs="Times New Roman"/>
          <w:sz w:val="24"/>
          <w:szCs w:val="24"/>
        </w:rPr>
        <w:t xml:space="preserve">Объём платных услуг за 2014 год, оказанных населению городского округа город Мегион составил 3201,7 </w:t>
      </w:r>
      <w:proofErr w:type="spellStart"/>
      <w:r w:rsidRPr="0093488F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93488F">
        <w:rPr>
          <w:rFonts w:ascii="Times New Roman" w:hAnsi="Times New Roman" w:cs="Times New Roman"/>
          <w:sz w:val="24"/>
          <w:szCs w:val="24"/>
        </w:rPr>
        <w:t>, или 100,97% в сопоставимых ценах к аналогичному периоду 2013 года. Более 50% объёма платных услуг в январе-декабре 2014 года формировался крупными и средними организациями.</w:t>
      </w:r>
    </w:p>
    <w:p w:rsidR="0093488F" w:rsidRPr="0093488F" w:rsidRDefault="0093488F" w:rsidP="0093488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8F">
        <w:rPr>
          <w:rFonts w:ascii="Times New Roman" w:hAnsi="Times New Roman" w:cs="Times New Roman"/>
          <w:sz w:val="24"/>
          <w:szCs w:val="24"/>
        </w:rPr>
        <w:t xml:space="preserve">По оценке в 2015 году объем платных услуг населению составит 3477,53 </w:t>
      </w:r>
      <w:proofErr w:type="spellStart"/>
      <w:r w:rsidRPr="0093488F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93488F">
        <w:rPr>
          <w:rFonts w:ascii="Times New Roman" w:hAnsi="Times New Roman" w:cs="Times New Roman"/>
          <w:sz w:val="24"/>
          <w:szCs w:val="24"/>
        </w:rPr>
        <w:t xml:space="preserve"> или 97,5% в сопоставимых ценах к уровню 2014 года. В прогнозный период 2016-2018 годах темпы роста объема платных услуг прогнозируются на уровне 101,1-103,6% по первому варианту и 101,5-104,3% по второму варианту. Более благоприятная динамика развития платных услуг населению по второму варианту будет происходить под влиянием развития малого и индивидуального предпринимательства.</w:t>
      </w:r>
    </w:p>
    <w:p w:rsidR="0093488F" w:rsidRPr="0093488F" w:rsidRDefault="0093488F" w:rsidP="00934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8F">
        <w:rPr>
          <w:rFonts w:ascii="Times New Roman" w:hAnsi="Times New Roman" w:cs="Times New Roman"/>
          <w:sz w:val="24"/>
          <w:szCs w:val="24"/>
        </w:rPr>
        <w:t>В прогнозный период структура услуг не претерпит существенных изменений. По-прежнему наибольшая доля платных услуг приходиться на жилищно-коммунальные услуги, услуги пассажирского транспорта, связи и бытовые услуги.</w:t>
      </w:r>
    </w:p>
    <w:p w:rsidR="0093488F" w:rsidRPr="0093488F" w:rsidRDefault="0093488F" w:rsidP="00934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88F" w:rsidRPr="0093488F" w:rsidRDefault="0093488F" w:rsidP="00934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8F">
        <w:rPr>
          <w:rFonts w:ascii="Times New Roman" w:hAnsi="Times New Roman" w:cs="Times New Roman"/>
          <w:sz w:val="24"/>
          <w:szCs w:val="24"/>
        </w:rPr>
        <w:t xml:space="preserve">Объём бытовых услуг по оценке 2015 года составит 226,70 </w:t>
      </w:r>
      <w:proofErr w:type="spellStart"/>
      <w:r w:rsidRPr="0093488F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93488F">
        <w:rPr>
          <w:rFonts w:ascii="Times New Roman" w:hAnsi="Times New Roman" w:cs="Times New Roman"/>
          <w:sz w:val="24"/>
          <w:szCs w:val="24"/>
        </w:rPr>
        <w:t>, прирост к показателям 2013 года 98,50% в сопоставимых ценах. В прогнозный период ожидается умеренный рост объема сети бытовых услуг на уровне 100,6-103,0%.</w:t>
      </w:r>
    </w:p>
    <w:p w:rsidR="0093488F" w:rsidRPr="0093488F" w:rsidRDefault="0093488F" w:rsidP="0093488F">
      <w:pPr>
        <w:spacing w:after="0" w:line="240" w:lineRule="auto"/>
        <w:ind w:firstLine="709"/>
        <w:jc w:val="both"/>
        <w:rPr>
          <w:rStyle w:val="ConsPlusCell0"/>
          <w:rFonts w:ascii="Times New Roman" w:eastAsiaTheme="minorHAnsi" w:hAnsi="Times New Roman" w:cs="Times New Roman"/>
          <w:sz w:val="24"/>
          <w:szCs w:val="24"/>
        </w:rPr>
      </w:pPr>
      <w:r w:rsidRPr="0093488F">
        <w:rPr>
          <w:rStyle w:val="ConsPlusCell0"/>
          <w:rFonts w:ascii="Times New Roman" w:eastAsiaTheme="minorHAnsi" w:hAnsi="Times New Roman" w:cs="Times New Roman"/>
          <w:sz w:val="24"/>
          <w:szCs w:val="24"/>
        </w:rPr>
        <w:lastRenderedPageBreak/>
        <w:t>Наименее развитыми остаются виды бытовых услуг: услуги проката, услуги прачечных самообслуживания, ремонт телефонных аппаратов, ремонт сумок, зонтов и прочих галантерейных изделий, ремонт швейного оборудования, мебели, уборка квартир, уход за больными, престарелыми и инвалидами, услуги нянь, производство трикотажных изделий.</w:t>
      </w:r>
    </w:p>
    <w:p w:rsidR="0093488F" w:rsidRPr="0093488F" w:rsidRDefault="0093488F" w:rsidP="0093488F">
      <w:pPr>
        <w:spacing w:after="0" w:line="240" w:lineRule="auto"/>
        <w:ind w:firstLine="709"/>
        <w:jc w:val="both"/>
        <w:rPr>
          <w:rStyle w:val="ConsPlusCell0"/>
          <w:rFonts w:ascii="Times New Roman" w:eastAsiaTheme="minorHAnsi" w:hAnsi="Times New Roman" w:cs="Times New Roman"/>
          <w:sz w:val="24"/>
          <w:szCs w:val="24"/>
        </w:rPr>
      </w:pPr>
      <w:r w:rsidRPr="0093488F">
        <w:rPr>
          <w:rStyle w:val="ConsPlusCell0"/>
          <w:rFonts w:ascii="Times New Roman" w:eastAsiaTheme="minorHAnsi" w:hAnsi="Times New Roman" w:cs="Times New Roman"/>
          <w:sz w:val="24"/>
          <w:szCs w:val="24"/>
        </w:rPr>
        <w:t xml:space="preserve">Объем транспортных услуг по оценке в 2015 году составит 156,19 </w:t>
      </w:r>
      <w:proofErr w:type="spellStart"/>
      <w:r w:rsidRPr="0093488F">
        <w:rPr>
          <w:rStyle w:val="ConsPlusCell0"/>
          <w:rFonts w:ascii="Times New Roman" w:eastAsiaTheme="minorHAnsi" w:hAnsi="Times New Roman" w:cs="Times New Roman"/>
          <w:sz w:val="24"/>
          <w:szCs w:val="24"/>
        </w:rPr>
        <w:t>млн.рублей</w:t>
      </w:r>
      <w:proofErr w:type="spellEnd"/>
      <w:r w:rsidRPr="0093488F">
        <w:rPr>
          <w:rStyle w:val="ConsPlusCell0"/>
          <w:rFonts w:ascii="Times New Roman" w:eastAsiaTheme="minorHAnsi" w:hAnsi="Times New Roman" w:cs="Times New Roman"/>
          <w:sz w:val="24"/>
          <w:szCs w:val="24"/>
        </w:rPr>
        <w:t>, или 97,3% в сопоставимых ценах к уровню 2014 года. В прогнозный период 2016-2018 годах под воздействием роста денежных доходов населения рост объема транспортных услуг составит 101,</w:t>
      </w:r>
      <w:r w:rsidR="003F2AF2">
        <w:rPr>
          <w:rStyle w:val="ConsPlusCell0"/>
          <w:rFonts w:ascii="Times New Roman" w:eastAsiaTheme="minorHAnsi" w:hAnsi="Times New Roman" w:cs="Times New Roman"/>
          <w:sz w:val="24"/>
          <w:szCs w:val="24"/>
        </w:rPr>
        <w:t>8</w:t>
      </w:r>
      <w:r w:rsidRPr="0093488F">
        <w:rPr>
          <w:rStyle w:val="ConsPlusCell0"/>
          <w:rFonts w:ascii="Times New Roman" w:eastAsiaTheme="minorHAnsi" w:hAnsi="Times New Roman" w:cs="Times New Roman"/>
          <w:sz w:val="24"/>
          <w:szCs w:val="24"/>
        </w:rPr>
        <w:t>-102,5% по второму варианту. По первому варианту темп роста объема транспортных услуг ожидается на уровне 101,1-102% в сопоставимых ценах.</w:t>
      </w:r>
    </w:p>
    <w:p w:rsidR="0093488F" w:rsidRPr="0093488F" w:rsidRDefault="0093488F" w:rsidP="0093488F">
      <w:pPr>
        <w:spacing w:after="0" w:line="240" w:lineRule="auto"/>
        <w:ind w:firstLine="709"/>
        <w:jc w:val="both"/>
        <w:rPr>
          <w:rStyle w:val="ConsPlusCell0"/>
          <w:rFonts w:ascii="Times New Roman" w:eastAsiaTheme="minorHAnsi" w:hAnsi="Times New Roman" w:cs="Times New Roman"/>
          <w:sz w:val="24"/>
          <w:szCs w:val="24"/>
        </w:rPr>
      </w:pPr>
      <w:r w:rsidRPr="0093488F">
        <w:rPr>
          <w:rStyle w:val="ConsPlusCell0"/>
          <w:rFonts w:ascii="Times New Roman" w:eastAsiaTheme="minorHAnsi" w:hAnsi="Times New Roman" w:cs="Times New Roman"/>
          <w:sz w:val="24"/>
          <w:szCs w:val="24"/>
        </w:rPr>
        <w:t xml:space="preserve">Позитивная динамика роста прогнозируется на рынке услуг связи. По оценке в 2015 году объем услуг связи составит 1043,50 </w:t>
      </w:r>
      <w:proofErr w:type="spellStart"/>
      <w:r w:rsidRPr="0093488F">
        <w:rPr>
          <w:rStyle w:val="ConsPlusCell0"/>
          <w:rFonts w:ascii="Times New Roman" w:eastAsiaTheme="minorHAnsi" w:hAnsi="Times New Roman" w:cs="Times New Roman"/>
          <w:sz w:val="24"/>
          <w:szCs w:val="24"/>
        </w:rPr>
        <w:t>млн.рублей</w:t>
      </w:r>
      <w:proofErr w:type="spellEnd"/>
      <w:r w:rsidRPr="0093488F">
        <w:rPr>
          <w:rStyle w:val="ConsPlusCell0"/>
          <w:rFonts w:ascii="Times New Roman" w:eastAsiaTheme="minorHAnsi" w:hAnsi="Times New Roman" w:cs="Times New Roman"/>
          <w:sz w:val="24"/>
          <w:szCs w:val="24"/>
        </w:rPr>
        <w:t xml:space="preserve"> или 97,2% в сопоставимых ценах к уровню 2014 года. В 2016-2018 годы прогнозируется рост на уровне 101,2-101,9% по первому варианту, 101,6-102,3% по второму варианту. Этому будет способствовать повышение качества предоставляемых услуг, рост подвижной электросвязи (сотовая) и модернизация существующей телекоммуникационной инфраструктуры, а также </w:t>
      </w:r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>реформирование почтовой связи и внедрение новых форм обслуживания населения.</w:t>
      </w:r>
    </w:p>
    <w:p w:rsidR="0093488F" w:rsidRPr="0093488F" w:rsidRDefault="0093488F" w:rsidP="0093488F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Предприятиями жилищно-коммунального комплекса по оценке в 2015 году будет оказано услуг на сумму 15</w:t>
      </w:r>
      <w:r w:rsidR="003F2AF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F2AF2">
        <w:rPr>
          <w:rFonts w:ascii="Times New Roman" w:hAnsi="Times New Roman" w:cs="Times New Roman"/>
          <w:color w:val="000000" w:themeColor="text1"/>
          <w:sz w:val="24"/>
          <w:szCs w:val="24"/>
        </w:rPr>
        <w:t>,38</w:t>
      </w:r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>млн.рублей</w:t>
      </w:r>
      <w:proofErr w:type="spellEnd"/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>. В среднесрочной перспективе ежегодный ввод жилья не повлечет за собой стремительного увеличения жилищно-коммунальных услуг, так как будет сноситься ветхий жилой фонд. По первому варианту рост объема жилищно-коммунальных услуг составит 100,9-103% в сопоставимых ценах к предыдущему году, по второму варианту – 102,1-103,3%.</w:t>
      </w:r>
    </w:p>
    <w:p w:rsidR="0093488F" w:rsidRPr="0093488F" w:rsidRDefault="0093488F" w:rsidP="0093488F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оценке в 2015 году объем услуг учреждений культуры составит 20,05 </w:t>
      </w:r>
      <w:proofErr w:type="spellStart"/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>млн.рублей</w:t>
      </w:r>
      <w:proofErr w:type="spellEnd"/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или 100,1% в сопоставимых ценах к уровню 2014 года. В дальнейшем прогнозируется рост данных услуг по двум вариантам на уровне 100,1-102,4% в год в сопоставимых ценах. </w:t>
      </w:r>
    </w:p>
    <w:p w:rsidR="0093488F" w:rsidRPr="0093488F" w:rsidRDefault="0093488F" w:rsidP="0093488F">
      <w:pPr>
        <w:spacing w:after="0" w:line="240" w:lineRule="auto"/>
        <w:ind w:firstLine="709"/>
        <w:jc w:val="both"/>
        <w:rPr>
          <w:rStyle w:val="ConsPlusCell0"/>
          <w:rFonts w:ascii="Times New Roman" w:eastAsiaTheme="minorHAnsi" w:hAnsi="Times New Roman" w:cs="Times New Roman"/>
          <w:sz w:val="24"/>
          <w:szCs w:val="24"/>
        </w:rPr>
      </w:pPr>
      <w:r w:rsidRPr="0093488F">
        <w:rPr>
          <w:rStyle w:val="ConsPlusCell0"/>
          <w:rFonts w:ascii="Times New Roman" w:eastAsiaTheme="minorHAnsi" w:hAnsi="Times New Roman" w:cs="Times New Roman"/>
          <w:sz w:val="24"/>
          <w:szCs w:val="24"/>
        </w:rPr>
        <w:t>Темпы роста объема туристских услуг на прогнозный период по первому и второму варианту составят 100,0-101,15% в сопоставимых ценах к уровню предыдущего года.</w:t>
      </w:r>
    </w:p>
    <w:p w:rsidR="0093488F" w:rsidRPr="0093488F" w:rsidRDefault="0093488F" w:rsidP="009348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>Рынок платных услуг физической культуры и спорта включает в себя как спортивно-оздоровительные, физкультурно-оздоровительные, так и спортивно-зрелищные мероприятия.</w:t>
      </w:r>
    </w:p>
    <w:p w:rsidR="0093488F" w:rsidRPr="0093488F" w:rsidRDefault="0093488F" w:rsidP="009348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Ввод в эксплуатацию новых спортивных сооружений, а также ежегодное увеличение числа занимающихся спортом способствуют увеличению объема платных услуг в сфере физической культуры и спорта. </w:t>
      </w:r>
    </w:p>
    <w:p w:rsidR="0093488F" w:rsidRPr="0093488F" w:rsidRDefault="0093488F" w:rsidP="009348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фактических ценах объем платных услуг в сфере физической культуры и спорта населению к 2018 году составит 35,35 </w:t>
      </w:r>
      <w:proofErr w:type="spellStart"/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>млн.рублей</w:t>
      </w:r>
      <w:proofErr w:type="spellEnd"/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первому варианту и 35,87 </w:t>
      </w:r>
      <w:proofErr w:type="spellStart"/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>млн.рублей</w:t>
      </w:r>
      <w:proofErr w:type="spellEnd"/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второму варианту. Темп роста прогнозируется в сопоставимых ценах 102,5-103,4% в год.</w:t>
      </w:r>
      <w:r w:rsidRPr="0093488F">
        <w:rPr>
          <w:rFonts w:ascii="Times New Roman" w:hAnsi="Times New Roman" w:cs="Times New Roman"/>
          <w:color w:val="000000"/>
          <w:sz w:val="24"/>
          <w:szCs w:val="24"/>
        </w:rPr>
        <w:t xml:space="preserve"> Популяризация и культивирование занятий физической культурой и  спортом, по-прежнему, остается одной из важных задач органов муниципального самоуправления.</w:t>
      </w:r>
    </w:p>
    <w:p w:rsidR="0093488F" w:rsidRPr="0093488F" w:rsidRDefault="0093488F" w:rsidP="009348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88F">
        <w:rPr>
          <w:rStyle w:val="ConsPlusCell0"/>
          <w:rFonts w:ascii="Times New Roman" w:eastAsiaTheme="minorHAnsi" w:hAnsi="Times New Roman" w:cs="Times New Roman"/>
          <w:sz w:val="24"/>
          <w:szCs w:val="24"/>
        </w:rPr>
        <w:t xml:space="preserve">В сфере здравоохранения в 2015 году населению будет оказано медицинских услуг на сумму 195,9 </w:t>
      </w:r>
      <w:proofErr w:type="spellStart"/>
      <w:r w:rsidRPr="0093488F">
        <w:rPr>
          <w:rStyle w:val="ConsPlusCell0"/>
          <w:rFonts w:ascii="Times New Roman" w:eastAsiaTheme="minorHAnsi" w:hAnsi="Times New Roman" w:cs="Times New Roman"/>
          <w:sz w:val="24"/>
          <w:szCs w:val="24"/>
        </w:rPr>
        <w:t>млн.рублей</w:t>
      </w:r>
      <w:proofErr w:type="spellEnd"/>
      <w:r w:rsidRPr="0093488F">
        <w:rPr>
          <w:rStyle w:val="ConsPlusCell0"/>
          <w:rFonts w:ascii="Times New Roman" w:eastAsiaTheme="minorHAnsi" w:hAnsi="Times New Roman" w:cs="Times New Roman"/>
          <w:sz w:val="24"/>
          <w:szCs w:val="24"/>
        </w:rPr>
        <w:t xml:space="preserve">, что превысит объем предыдущего года на 1,7% в сопоставимых </w:t>
      </w:r>
      <w:r w:rsidRPr="0093488F">
        <w:rPr>
          <w:rStyle w:val="ConsPlusCell0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ценах. </w:t>
      </w:r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данных услуг в прогнозный период возрастет и к концу 2018 года по первому варианту составит 258,77 </w:t>
      </w:r>
      <w:proofErr w:type="spellStart"/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>млн.рублей</w:t>
      </w:r>
      <w:proofErr w:type="spellEnd"/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 второму варианту – 264,35 </w:t>
      </w:r>
      <w:proofErr w:type="spellStart"/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>млн.рублей</w:t>
      </w:r>
      <w:proofErr w:type="spellEnd"/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3488F">
        <w:rPr>
          <w:rFonts w:ascii="Times New Roman" w:hAnsi="Times New Roman" w:cs="Times New Roman"/>
          <w:color w:val="000000"/>
          <w:sz w:val="24"/>
          <w:szCs w:val="24"/>
        </w:rPr>
        <w:t>Общими тенденциями рынка платной медицины являются расширение профиля оказываемых частными клиниками услуг.</w:t>
      </w:r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3488F" w:rsidRPr="0093488F" w:rsidRDefault="0093488F" w:rsidP="009348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оценочном 2015 году на 1,1% в сопоставимых ценах к уровню 2014 года возрастет спрос на предоставление платных услуг в сфере образования и составит 139,27 </w:t>
      </w:r>
      <w:proofErr w:type="spellStart"/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>млн.рублей</w:t>
      </w:r>
      <w:proofErr w:type="spellEnd"/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>. В 2016-2018 годах рост услуг в области образования по двум вариантам прогнозируется на уровне 104,2-105,2% в год в сопоставимых ценах к предыдущему году. Росту будет содействовать открытие новых объектов образования: два детских сада на 580 мест, а также организация деятельности частных детских садов.</w:t>
      </w:r>
    </w:p>
    <w:p w:rsidR="0093488F" w:rsidRPr="0093488F" w:rsidRDefault="0093488F" w:rsidP="009348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88F">
        <w:rPr>
          <w:rFonts w:ascii="Times New Roman" w:hAnsi="Times New Roman" w:cs="Times New Roman"/>
          <w:color w:val="000000"/>
          <w:sz w:val="24"/>
          <w:szCs w:val="24"/>
        </w:rPr>
        <w:t>Социальные услуги, предоставляемые гражданам пожилого возраста и инвалидам на территории городского округа город Мегион оказывает Бюджетное учреждение Ханты-</w:t>
      </w:r>
      <w:r w:rsidRPr="009348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Мансийского автономного округа – Югры «Комплексный центр социального обслуживания населения «Гармония». В 2014 году объем оказанных услуг составил 1,87 </w:t>
      </w:r>
      <w:proofErr w:type="spellStart"/>
      <w:r w:rsidRPr="0093488F">
        <w:rPr>
          <w:rFonts w:ascii="Times New Roman" w:hAnsi="Times New Roman" w:cs="Times New Roman"/>
          <w:color w:val="000000"/>
          <w:sz w:val="24"/>
          <w:szCs w:val="24"/>
        </w:rPr>
        <w:t>млн.рублей</w:t>
      </w:r>
      <w:proofErr w:type="spellEnd"/>
      <w:r w:rsidRPr="009348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3488F" w:rsidRPr="0093488F" w:rsidRDefault="0093488F" w:rsidP="009348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88F">
        <w:rPr>
          <w:rStyle w:val="ConsPlusCell0"/>
          <w:rFonts w:ascii="Times New Roman" w:eastAsiaTheme="minorHAnsi" w:hAnsi="Times New Roman" w:cs="Times New Roman"/>
          <w:sz w:val="24"/>
          <w:szCs w:val="24"/>
        </w:rPr>
        <w:t xml:space="preserve">Объем социальных услуг по оценке в 2015 году составит 2,08 </w:t>
      </w:r>
      <w:proofErr w:type="spellStart"/>
      <w:r w:rsidRPr="0093488F">
        <w:rPr>
          <w:rStyle w:val="ConsPlusCell0"/>
          <w:rFonts w:ascii="Times New Roman" w:eastAsiaTheme="minorHAnsi" w:hAnsi="Times New Roman" w:cs="Times New Roman"/>
          <w:sz w:val="24"/>
          <w:szCs w:val="24"/>
        </w:rPr>
        <w:t>млн.рублей</w:t>
      </w:r>
      <w:proofErr w:type="spellEnd"/>
      <w:r w:rsidRPr="0093488F">
        <w:rPr>
          <w:rStyle w:val="ConsPlusCell0"/>
          <w:rFonts w:ascii="Times New Roman" w:eastAsiaTheme="minorHAnsi" w:hAnsi="Times New Roman" w:cs="Times New Roman"/>
          <w:sz w:val="24"/>
          <w:szCs w:val="24"/>
        </w:rPr>
        <w:t>, или 100% в сопоставимых ценах к уровню 2014 года. В прогнозный период 2016-2018 годы т</w:t>
      </w:r>
      <w:r w:rsidRPr="0093488F">
        <w:rPr>
          <w:rFonts w:ascii="Times New Roman" w:hAnsi="Times New Roman" w:cs="Times New Roman"/>
          <w:color w:val="000000" w:themeColor="text1"/>
          <w:sz w:val="24"/>
          <w:szCs w:val="24"/>
        </w:rPr>
        <w:t>емпы роста прогнозируется в сопоставимых ценах 95,60-101,6% в год по первому и второму вариантам.</w:t>
      </w:r>
    </w:p>
    <w:p w:rsidR="0093488F" w:rsidRPr="0093488F" w:rsidRDefault="0093488F" w:rsidP="009348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88F">
        <w:rPr>
          <w:rFonts w:ascii="Times New Roman" w:hAnsi="Times New Roman" w:cs="Times New Roman"/>
          <w:color w:val="000000"/>
          <w:sz w:val="24"/>
          <w:szCs w:val="24"/>
        </w:rPr>
        <w:t>Сфера потребительского рынка на территории городского округа город Мегион развивается достаточно динамично, но имеет ряд негативных факторов, которые в некоторой мере сдерживают его развитие. Наиболее существенными из них являются: высокие транспортные расходы, арендная плата, недостаток производственных площадей, недоступность кредитных средств, нехватка квалифицированных кадров.</w:t>
      </w:r>
    </w:p>
    <w:p w:rsidR="0093488F" w:rsidRPr="0093488F" w:rsidRDefault="0093488F" w:rsidP="009348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88F">
        <w:rPr>
          <w:rFonts w:ascii="Times New Roman" w:hAnsi="Times New Roman" w:cs="Times New Roman"/>
          <w:color w:val="000000"/>
          <w:sz w:val="24"/>
          <w:szCs w:val="24"/>
        </w:rPr>
        <w:t>Основными направлениями развития потребительского рынка является создание условий для удовлетворения спроса населения на потребительские товары и услуги, совершенствование инфраструктуры потребительского рынка, обеспечение доступа к товарам и услугам всех социальных групп населения городского округа город Мегион.</w:t>
      </w:r>
    </w:p>
    <w:p w:rsidR="00BD5007" w:rsidRPr="0093488F" w:rsidRDefault="00BD5007" w:rsidP="00934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007" w:rsidRPr="0093488F" w:rsidRDefault="00BD5007" w:rsidP="00934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007" w:rsidRDefault="00BD5007" w:rsidP="00BD5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МАЛОЕ И СРЕДНЕЕ ПРЕДПРИНИМАТЕЛЬСТВО</w:t>
      </w:r>
    </w:p>
    <w:p w:rsidR="00BD5007" w:rsidRDefault="00BD5007" w:rsidP="00BD5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337" w:rsidRPr="00220337" w:rsidRDefault="00220337" w:rsidP="002203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337">
        <w:rPr>
          <w:rFonts w:ascii="Times New Roman" w:hAnsi="Times New Roman" w:cs="Times New Roman"/>
          <w:color w:val="000000"/>
          <w:sz w:val="24"/>
          <w:szCs w:val="24"/>
        </w:rPr>
        <w:t>Анализ состояния и развития малого предпринимательства городского округа город Мегион свидетельствует о сохранении позитивных тенденций. На сегодняшний день малый бизнес продолжает динамично развиваться. Вклад малого бизнеса в социально-экономическое развитие города с каждым годом становится более весомым. Увеличивается общее количество субъектов малого предпринимательства и численность работающих в данном секторе экономики. Растет объем выпускаемой продукции, работ и услуг, их ассортимент, повышается качество и конкурентоспособность производимой продукции за счет внедрения новых технологий.</w:t>
      </w:r>
    </w:p>
    <w:p w:rsidR="00220337" w:rsidRPr="00220337" w:rsidRDefault="00220337" w:rsidP="002203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337">
        <w:rPr>
          <w:rFonts w:ascii="Times New Roman" w:hAnsi="Times New Roman" w:cs="Times New Roman"/>
          <w:color w:val="000000"/>
          <w:sz w:val="24"/>
          <w:szCs w:val="24"/>
        </w:rPr>
        <w:t>По состоянию на 01.01.2015 количество предприятий малого и среднего бизнеса составляет 522 единицы, индивидуальных предпринимателей – 2147 человека. Из общего числа зарегистрированных субъектов малого и среднего бизнеса, постоянно осуществляют свою деятельность около 75%.</w:t>
      </w:r>
    </w:p>
    <w:p w:rsidR="00220337" w:rsidRPr="00220337" w:rsidRDefault="00220337" w:rsidP="00220337">
      <w:pPr>
        <w:pStyle w:val="a8"/>
        <w:ind w:firstLine="709"/>
        <w:rPr>
          <w:color w:val="000000"/>
          <w:sz w:val="24"/>
          <w:szCs w:val="24"/>
        </w:rPr>
      </w:pPr>
      <w:r w:rsidRPr="00220337">
        <w:rPr>
          <w:color w:val="000000"/>
          <w:sz w:val="24"/>
          <w:szCs w:val="24"/>
        </w:rPr>
        <w:t xml:space="preserve">За отчётный 2014 год количество малых предприятий не увеличилось, количество средних предприятий снизилось на 1 единицу. По оценке в 2015 году численность малых и средних предприятий не изменится и составит 522 единицы. В период до 2018 года количество малых и средних предприятий на территории городского округа город Мегион будет увеличиваться и составит 523 предприятие по первому варианту, 526 предприятия по второму варианту. </w:t>
      </w:r>
    </w:p>
    <w:p w:rsidR="00220337" w:rsidRPr="00220337" w:rsidRDefault="00220337" w:rsidP="002203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337">
        <w:rPr>
          <w:rFonts w:ascii="Times New Roman" w:hAnsi="Times New Roman" w:cs="Times New Roman"/>
          <w:color w:val="000000"/>
          <w:sz w:val="24"/>
          <w:szCs w:val="24"/>
        </w:rPr>
        <w:t xml:space="preserve">Численность работающих в малых и средних предприятиях в 2014 году составляет 6,15 </w:t>
      </w:r>
      <w:proofErr w:type="spellStart"/>
      <w:r w:rsidRPr="00220337">
        <w:rPr>
          <w:rFonts w:ascii="Times New Roman" w:hAnsi="Times New Roman" w:cs="Times New Roman"/>
          <w:color w:val="000000"/>
          <w:sz w:val="24"/>
          <w:szCs w:val="24"/>
        </w:rPr>
        <w:t>тыс.человек</w:t>
      </w:r>
      <w:proofErr w:type="spellEnd"/>
      <w:r w:rsidRPr="00220337">
        <w:rPr>
          <w:rFonts w:ascii="Times New Roman" w:hAnsi="Times New Roman" w:cs="Times New Roman"/>
          <w:color w:val="000000"/>
          <w:sz w:val="24"/>
          <w:szCs w:val="24"/>
        </w:rPr>
        <w:t xml:space="preserve">. Среднесписочная численность работников (без внешних совместителей), занятых на малых и средних предприятиях к 2018 году возрастёт до 6,20 </w:t>
      </w:r>
      <w:proofErr w:type="spellStart"/>
      <w:r w:rsidRPr="00220337">
        <w:rPr>
          <w:rFonts w:ascii="Times New Roman" w:hAnsi="Times New Roman" w:cs="Times New Roman"/>
          <w:color w:val="000000"/>
          <w:sz w:val="24"/>
          <w:szCs w:val="24"/>
        </w:rPr>
        <w:t>тыс.человек</w:t>
      </w:r>
      <w:proofErr w:type="spellEnd"/>
      <w:r w:rsidRPr="00220337">
        <w:rPr>
          <w:rFonts w:ascii="Times New Roman" w:hAnsi="Times New Roman" w:cs="Times New Roman"/>
          <w:color w:val="000000"/>
          <w:sz w:val="24"/>
          <w:szCs w:val="24"/>
        </w:rPr>
        <w:t xml:space="preserve"> по первому варианту, до 6,28 </w:t>
      </w:r>
      <w:proofErr w:type="spellStart"/>
      <w:r w:rsidRPr="00220337">
        <w:rPr>
          <w:rFonts w:ascii="Times New Roman" w:hAnsi="Times New Roman" w:cs="Times New Roman"/>
          <w:color w:val="000000"/>
          <w:sz w:val="24"/>
          <w:szCs w:val="24"/>
        </w:rPr>
        <w:t>тыс.человек</w:t>
      </w:r>
      <w:proofErr w:type="spellEnd"/>
      <w:r w:rsidRPr="00220337">
        <w:rPr>
          <w:rFonts w:ascii="Times New Roman" w:hAnsi="Times New Roman" w:cs="Times New Roman"/>
          <w:color w:val="000000"/>
          <w:sz w:val="24"/>
          <w:szCs w:val="24"/>
        </w:rPr>
        <w:t xml:space="preserve"> по второму варианту. </w:t>
      </w:r>
    </w:p>
    <w:p w:rsidR="00220337" w:rsidRPr="00220337" w:rsidRDefault="00220337" w:rsidP="002203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337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 неизменной на протяжении последних лет остается отраслевая структура малого бизнеса. Наиболее распространенными видами деятельности малых, </w:t>
      </w:r>
      <w:proofErr w:type="spellStart"/>
      <w:r w:rsidRPr="00220337">
        <w:rPr>
          <w:rFonts w:ascii="Times New Roman" w:hAnsi="Times New Roman" w:cs="Times New Roman"/>
          <w:color w:val="000000"/>
          <w:sz w:val="24"/>
          <w:szCs w:val="24"/>
        </w:rPr>
        <w:t>микропредприятий</w:t>
      </w:r>
      <w:proofErr w:type="spellEnd"/>
      <w:r w:rsidRPr="00220337">
        <w:rPr>
          <w:rFonts w:ascii="Times New Roman" w:hAnsi="Times New Roman" w:cs="Times New Roman"/>
          <w:color w:val="000000"/>
          <w:sz w:val="24"/>
          <w:szCs w:val="24"/>
        </w:rPr>
        <w:t xml:space="preserve"> и средних предприятий остаются такие отрасли экономики, как оптовая и розничная торговля, транспорт и связь, операции с недвижимым имуществом, аренда и предоставление услуг.</w:t>
      </w:r>
    </w:p>
    <w:p w:rsidR="00220337" w:rsidRPr="00220337" w:rsidRDefault="00220337" w:rsidP="00220337">
      <w:pPr>
        <w:pStyle w:val="a8"/>
        <w:ind w:firstLine="709"/>
        <w:rPr>
          <w:color w:val="000000"/>
          <w:sz w:val="24"/>
          <w:szCs w:val="24"/>
        </w:rPr>
      </w:pPr>
      <w:r w:rsidRPr="00220337">
        <w:rPr>
          <w:color w:val="000000"/>
          <w:sz w:val="24"/>
          <w:szCs w:val="24"/>
        </w:rPr>
        <w:t xml:space="preserve">Оборот предприятий (организаций) малого предпринимательства за 2014 год составил 10277,83 </w:t>
      </w:r>
      <w:proofErr w:type="spellStart"/>
      <w:r w:rsidRPr="00220337">
        <w:rPr>
          <w:color w:val="000000"/>
          <w:sz w:val="24"/>
          <w:szCs w:val="24"/>
        </w:rPr>
        <w:t>млн.рублей</w:t>
      </w:r>
      <w:proofErr w:type="spellEnd"/>
      <w:r w:rsidRPr="00220337">
        <w:rPr>
          <w:color w:val="000000"/>
          <w:sz w:val="24"/>
          <w:szCs w:val="24"/>
        </w:rPr>
        <w:t>, или 10</w:t>
      </w:r>
      <w:r w:rsidR="00DE5272">
        <w:rPr>
          <w:color w:val="000000"/>
          <w:sz w:val="24"/>
          <w:szCs w:val="24"/>
        </w:rPr>
        <w:t>0,8</w:t>
      </w:r>
      <w:r w:rsidRPr="00220337">
        <w:rPr>
          <w:color w:val="000000"/>
          <w:sz w:val="24"/>
          <w:szCs w:val="24"/>
        </w:rPr>
        <w:t>% в сопоставимых ценах к уровню прошлого года. Рост оборота малых предприятий в прогнозном периоде по первом</w:t>
      </w:r>
      <w:r w:rsidR="00DE5272">
        <w:rPr>
          <w:color w:val="000000"/>
          <w:sz w:val="24"/>
          <w:szCs w:val="24"/>
        </w:rPr>
        <w:t>у варианту составит 101,39-102,4</w:t>
      </w:r>
      <w:r w:rsidRPr="00220337">
        <w:rPr>
          <w:color w:val="000000"/>
          <w:sz w:val="24"/>
          <w:szCs w:val="24"/>
        </w:rPr>
        <w:t>1% в сопоставимых ценах к предыдущему году. По второму варианту малое предпринимательство на территории городского округа город Мегион будет развиваться темпами 10</w:t>
      </w:r>
      <w:r w:rsidR="00DE5272">
        <w:rPr>
          <w:color w:val="000000"/>
          <w:sz w:val="24"/>
          <w:szCs w:val="24"/>
        </w:rPr>
        <w:t>2,56-102,31</w:t>
      </w:r>
      <w:r w:rsidRPr="00220337">
        <w:rPr>
          <w:color w:val="000000"/>
          <w:sz w:val="24"/>
          <w:szCs w:val="24"/>
        </w:rPr>
        <w:t xml:space="preserve">% в год в сопоставимых ценах. Что касается среднего предпринимательства, объем оборота продукции за 2014 год составил 2605,67 </w:t>
      </w:r>
      <w:proofErr w:type="spellStart"/>
      <w:r w:rsidRPr="00220337">
        <w:rPr>
          <w:color w:val="000000"/>
          <w:sz w:val="24"/>
          <w:szCs w:val="24"/>
        </w:rPr>
        <w:t>млн.рублей</w:t>
      </w:r>
      <w:proofErr w:type="spellEnd"/>
      <w:r w:rsidRPr="00220337">
        <w:rPr>
          <w:color w:val="000000"/>
          <w:sz w:val="24"/>
          <w:szCs w:val="24"/>
        </w:rPr>
        <w:t xml:space="preserve">, </w:t>
      </w:r>
      <w:r w:rsidRPr="00220337">
        <w:rPr>
          <w:color w:val="000000"/>
          <w:sz w:val="24"/>
          <w:szCs w:val="24"/>
        </w:rPr>
        <w:lastRenderedPageBreak/>
        <w:t>индекс производства к показателям 2013 года составил 96,75% в сопоставимых ценах. Снижение обусловлено переходом предприятий из разряда средних в категорию малых предприятий. В прогнозный период ожидается наращивание объемов производства предприятий среднего бизнеса.</w:t>
      </w:r>
    </w:p>
    <w:p w:rsidR="00220337" w:rsidRPr="00220337" w:rsidRDefault="00220337" w:rsidP="00220337">
      <w:pPr>
        <w:pStyle w:val="a8"/>
        <w:ind w:firstLine="709"/>
        <w:rPr>
          <w:color w:val="000000"/>
          <w:sz w:val="24"/>
          <w:szCs w:val="24"/>
        </w:rPr>
      </w:pPr>
      <w:r w:rsidRPr="00220337">
        <w:rPr>
          <w:color w:val="000000"/>
          <w:sz w:val="24"/>
          <w:szCs w:val="24"/>
        </w:rPr>
        <w:t>Наибольший вклад в абсолютный прирост оборота малых и средних предприятий по-прежнему будет принадлежать сфере торговли и строительства. В 2015 году эти предприятия обеспечат 30,7% и 22,2% объема отгруженных товаров соответственно. На промышленное производство придется 22,5%, на долю транспорта и связи – 2,4% оборота.</w:t>
      </w:r>
    </w:p>
    <w:p w:rsidR="00220337" w:rsidRPr="00220337" w:rsidRDefault="00220337" w:rsidP="00220337">
      <w:pPr>
        <w:pStyle w:val="a8"/>
        <w:ind w:firstLine="709"/>
        <w:rPr>
          <w:color w:val="000000"/>
          <w:sz w:val="24"/>
          <w:szCs w:val="24"/>
        </w:rPr>
      </w:pPr>
      <w:r w:rsidRPr="00220337">
        <w:rPr>
          <w:color w:val="000000"/>
          <w:sz w:val="24"/>
          <w:szCs w:val="24"/>
        </w:rPr>
        <w:t xml:space="preserve">В целях создания благоприятного предпринимательского климата на </w:t>
      </w:r>
      <w:r w:rsidRPr="00220337">
        <w:rPr>
          <w:sz w:val="24"/>
          <w:szCs w:val="24"/>
        </w:rPr>
        <w:t>территории городского округа город Мегион   осуществляет деятельность филиал ООО «Окружной Бизнес-Инкубатор», представляющий также Фонд поддержки предпринимательства Югры, Фонд микрофинансирования</w:t>
      </w:r>
      <w:r w:rsidRPr="00220337">
        <w:rPr>
          <w:rFonts w:eastAsia="Calibri"/>
          <w:sz w:val="24"/>
          <w:szCs w:val="24"/>
          <w:lang w:eastAsia="en-US"/>
        </w:rPr>
        <w:t xml:space="preserve"> ХМАО-Югры, Фонд содействия </w:t>
      </w:r>
      <w:r w:rsidRPr="00220337">
        <w:rPr>
          <w:rFonts w:eastAsia="Calibri"/>
          <w:color w:val="000000"/>
          <w:sz w:val="24"/>
          <w:szCs w:val="24"/>
          <w:lang w:eastAsia="en-US"/>
        </w:rPr>
        <w:t>развитию инвестиций ХМАО - Югры.</w:t>
      </w:r>
    </w:p>
    <w:p w:rsidR="00220337" w:rsidRPr="00220337" w:rsidRDefault="00220337" w:rsidP="00220337">
      <w:pPr>
        <w:pStyle w:val="a8"/>
        <w:ind w:firstLine="709"/>
        <w:rPr>
          <w:color w:val="000000"/>
          <w:sz w:val="24"/>
          <w:szCs w:val="24"/>
        </w:rPr>
      </w:pPr>
      <w:r w:rsidRPr="00220337">
        <w:rPr>
          <w:color w:val="000000"/>
          <w:sz w:val="24"/>
          <w:szCs w:val="24"/>
        </w:rPr>
        <w:t xml:space="preserve">Для достижения поставленных задач в сфере малого и среднего предпринимательства на территории городского округа город Мегион осуществляется реализация муниципальной программы </w:t>
      </w:r>
      <w:r w:rsidRPr="00220337">
        <w:rPr>
          <w:sz w:val="24"/>
          <w:szCs w:val="24"/>
        </w:rPr>
        <w:t>«Поддержка и развитие малого и среднего предпринимательства на территории городского округа город Мегион на 2014 – 2016 годы»</w:t>
      </w:r>
      <w:r w:rsidRPr="00220337">
        <w:rPr>
          <w:color w:val="000000"/>
          <w:sz w:val="24"/>
          <w:szCs w:val="24"/>
        </w:rPr>
        <w:t xml:space="preserve">. На финансирование данной программы в 2015 году предусмотрено 5,6 </w:t>
      </w:r>
      <w:proofErr w:type="spellStart"/>
      <w:r w:rsidRPr="00220337">
        <w:rPr>
          <w:color w:val="000000"/>
          <w:sz w:val="24"/>
          <w:szCs w:val="24"/>
        </w:rPr>
        <w:t>млн.рублей</w:t>
      </w:r>
      <w:proofErr w:type="spellEnd"/>
      <w:r w:rsidRPr="00220337">
        <w:rPr>
          <w:color w:val="000000"/>
          <w:sz w:val="24"/>
          <w:szCs w:val="24"/>
        </w:rPr>
        <w:t>.</w:t>
      </w:r>
    </w:p>
    <w:p w:rsidR="00220337" w:rsidRPr="00220337" w:rsidRDefault="00220337" w:rsidP="00220337">
      <w:pPr>
        <w:pStyle w:val="a8"/>
        <w:ind w:firstLine="709"/>
        <w:rPr>
          <w:color w:val="000000"/>
          <w:sz w:val="24"/>
          <w:szCs w:val="24"/>
          <w:shd w:val="clear" w:color="auto" w:fill="FFFFFF"/>
        </w:rPr>
      </w:pPr>
      <w:r w:rsidRPr="00220337">
        <w:rPr>
          <w:color w:val="000000"/>
          <w:sz w:val="24"/>
          <w:szCs w:val="24"/>
          <w:shd w:val="clear" w:color="auto" w:fill="FFFFFF"/>
        </w:rPr>
        <w:t xml:space="preserve">В муниципальную программу «Поддержка и развитие малого и среднего предпринимательства на территории городского округа город Мегион на 2014 – 2016 годы» включены мероприятия по финансовой поддержке, в том числе социального предпринимательства, семейного бизнеса, молодежного предпринимательства. </w:t>
      </w:r>
    </w:p>
    <w:p w:rsidR="00220337" w:rsidRPr="00220337" w:rsidRDefault="00220337" w:rsidP="00220337">
      <w:pPr>
        <w:pStyle w:val="a8"/>
        <w:ind w:firstLine="709"/>
        <w:rPr>
          <w:color w:val="000000"/>
          <w:sz w:val="24"/>
          <w:szCs w:val="24"/>
        </w:rPr>
      </w:pPr>
      <w:r w:rsidRPr="00220337">
        <w:rPr>
          <w:color w:val="000000"/>
          <w:sz w:val="24"/>
          <w:szCs w:val="24"/>
          <w:shd w:val="clear" w:color="auto" w:fill="FFFFFF"/>
        </w:rPr>
        <w:t xml:space="preserve">Так в 2014 году на конкурсной основе оказана помощь в виде </w:t>
      </w:r>
      <w:proofErr w:type="spellStart"/>
      <w:r w:rsidRPr="00220337">
        <w:rPr>
          <w:color w:val="000000"/>
          <w:sz w:val="24"/>
          <w:szCs w:val="24"/>
          <w:shd w:val="clear" w:color="auto" w:fill="FFFFFF"/>
        </w:rPr>
        <w:t>грантовой</w:t>
      </w:r>
      <w:proofErr w:type="spellEnd"/>
      <w:r w:rsidRPr="00220337">
        <w:rPr>
          <w:color w:val="000000"/>
          <w:sz w:val="24"/>
          <w:szCs w:val="24"/>
          <w:shd w:val="clear" w:color="auto" w:fill="FFFFFF"/>
        </w:rPr>
        <w:t xml:space="preserve"> поддержки двум субъектам, осуществляющих деятельность в сфере социального предпринимательства на сумму 600,0 тыс.рублей. Кроме того, один субъект, осуществляющий деятельность в сфере образовательных услуг, получил компенсацию части затрат по социальному предпринимательству в сумме 623392,29 рублей.</w:t>
      </w:r>
    </w:p>
    <w:p w:rsidR="00220337" w:rsidRPr="00220337" w:rsidRDefault="00220337" w:rsidP="00220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0337">
        <w:rPr>
          <w:rFonts w:ascii="Times New Roman" w:hAnsi="Times New Roman" w:cs="Times New Roman"/>
          <w:sz w:val="24"/>
          <w:szCs w:val="24"/>
        </w:rPr>
        <w:t xml:space="preserve">В 2014 году на территории городского округа город Мегион субъектами, получившими поддержку в организациях, образующих инфраструктуру поддержки, создано 47 рабочих мест. В рамках реализации программы в 2014 году создано 24 рабочих места. </w:t>
      </w:r>
    </w:p>
    <w:p w:rsidR="00220337" w:rsidRPr="00220337" w:rsidRDefault="00220337" w:rsidP="00220337">
      <w:pPr>
        <w:pStyle w:val="a8"/>
        <w:ind w:firstLine="709"/>
        <w:rPr>
          <w:color w:val="000000"/>
          <w:sz w:val="24"/>
          <w:szCs w:val="24"/>
        </w:rPr>
      </w:pPr>
      <w:r w:rsidRPr="00220337">
        <w:rPr>
          <w:color w:val="000000"/>
          <w:sz w:val="24"/>
          <w:szCs w:val="24"/>
        </w:rPr>
        <w:t>Положительную роль в формировании и укреплении благоприятного общественного мнения о малом и среднем бизнесе играет проведение различных мероприятий, конкурсов, выставок, ярмарок, семинаров, тренингов, а также информационно-консультационная, учебная и другие виды поддержки субъектов малого и среднего бизнеса.</w:t>
      </w:r>
    </w:p>
    <w:p w:rsidR="00BD5007" w:rsidRPr="00220337" w:rsidRDefault="00220337" w:rsidP="002203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337">
        <w:rPr>
          <w:rFonts w:ascii="Times New Roman" w:hAnsi="Times New Roman" w:cs="Times New Roman"/>
          <w:color w:val="000000"/>
          <w:sz w:val="24"/>
          <w:szCs w:val="24"/>
        </w:rPr>
        <w:t>В прогнозном периоде планируется устойчивое развитие малого и среднего предпринимательства.</w:t>
      </w:r>
    </w:p>
    <w:p w:rsidR="00BD5007" w:rsidRPr="00446BC0" w:rsidRDefault="00BD5007" w:rsidP="002203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0337" w:rsidRPr="00446BC0" w:rsidRDefault="00220337" w:rsidP="002203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007" w:rsidRPr="00446BC0" w:rsidRDefault="00BD5007" w:rsidP="00BD50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6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ИНВЕСТИЦИИ И СТРОИТЕЛЬСТВО</w:t>
      </w:r>
    </w:p>
    <w:p w:rsidR="00BD5007" w:rsidRPr="00446BC0" w:rsidRDefault="00BD5007" w:rsidP="00BD50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6BC0" w:rsidRDefault="00446BC0" w:rsidP="00446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Инвестиции</w:t>
      </w:r>
    </w:p>
    <w:p w:rsidR="00446BC0" w:rsidRDefault="00446BC0" w:rsidP="00446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Привлечение инвестиций в экономику города является одной из наиболее важных задач, стоящих перед администрацией города Мегиона, решение которой возможно путем формирования целенаправленной и комплексной инвестиционной политики.</w:t>
      </w:r>
    </w:p>
    <w:p w:rsidR="00446BC0" w:rsidRDefault="00446BC0" w:rsidP="00446BC0">
      <w:pPr>
        <w:shd w:val="clear" w:color="auto" w:fill="FFFFFF"/>
        <w:tabs>
          <w:tab w:val="left" w:pos="42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инвестиций для городского округа город Мегион являются  капитальные вложения - затраты на новое строительство, расширение, реконструкцию и техническое перевооружение действующих объектов, приобретение оборудования.</w:t>
      </w:r>
    </w:p>
    <w:p w:rsidR="00446BC0" w:rsidRDefault="00446BC0" w:rsidP="00446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Объем инвестиций в основной капитал,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освоенных крупными и средними предприятиями городского округа город Мегион за 2014 год составил 24203,5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сопоставимой оценке на 27,9% выше уровня соответствующего периода 2013 года.</w:t>
      </w:r>
    </w:p>
    <w:p w:rsidR="00446BC0" w:rsidRDefault="00446BC0" w:rsidP="00446B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 вложений в основной капитал по видам экономической деятельности (по кругу крупных и средних организаций) лидируют инвестиции по виду экономической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 «Добыча полезных ископаемых», удельный вес которых составляет более 92,8%.</w:t>
      </w:r>
    </w:p>
    <w:p w:rsidR="00446BC0" w:rsidRDefault="00446BC0" w:rsidP="00446B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2014 год инвестиционные ресурсы крупными и средними организациями в основном направлялись на приобретение, монтаж и установку машин и оборудования – 33,2%, а также на строительство зданий (кроме жилых) и сооружений – 10,3%.</w:t>
      </w:r>
    </w:p>
    <w:p w:rsidR="00446BC0" w:rsidRDefault="00446BC0" w:rsidP="00446BC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2015-2018 годах в экономике города прогнозируется некоторый спад инвестиционной активности по сравнению с 2014 годом, который был отмечен резким увеличением общего объема инвестиций.</w:t>
      </w:r>
    </w:p>
    <w:p w:rsidR="00446BC0" w:rsidRDefault="00446BC0" w:rsidP="00446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оценке в 2015 году ожидается снижение объема инвестиций в основной капитал за счет всех источников финансирования к уровню 2014 года в размере 97,6% в сопоставимых ценах по первому варианту в 2016 году – 100,2%, в 2017 году – 100,1%, в 2018 года – 100,6%.</w:t>
      </w:r>
    </w:p>
    <w:p w:rsidR="00446BC0" w:rsidRDefault="00446BC0" w:rsidP="00446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2014 году основную долю капиталовложений составили собственные средства крупных и средних предприятий. В отчетном периоде их доля снизилась с 96,4% в 2013 году до 94,8% в 2014 году. При этом доля привлеченных средств увеличилась с 3,6% в 2013 году до 5,2% в 2014 году.</w:t>
      </w:r>
    </w:p>
    <w:p w:rsidR="00446BC0" w:rsidRDefault="00446BC0" w:rsidP="00446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Доля средств кредитных организаций в структуре привлеченных средств увеличилась с 0,6% в 2013 году до 2,2% в 2014 году. Привлеченные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счет бюджетных инвестиций остались на уровне 2013 года в размере 2,6%.</w:t>
      </w:r>
    </w:p>
    <w:p w:rsidR="00446BC0" w:rsidRDefault="00446BC0" w:rsidP="00446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Вложения в основной капитал за счет привлеченных средств в 2014 году в большей степени профинансированы за счет бюджетных средств. Ими в 2014 году обеспечено 49,7% привлеченных средств.</w:t>
      </w:r>
    </w:p>
    <w:p w:rsidR="00446BC0" w:rsidRDefault="00446BC0" w:rsidP="00446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прогнозном периоде доля собственных средств в структуре инвестиций в основной капитал по крупным и средним предприятиям города по второму варианту составит в 2016 году – 96,2%, в 2017 году – 96,2%, в 2018 году – 96,1%.  </w:t>
      </w:r>
    </w:p>
    <w:p w:rsidR="00446BC0" w:rsidRDefault="00446BC0" w:rsidP="00446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привлеченных средств наибольшую долю будут занимать кредиты банков – 53,4%.</w:t>
      </w:r>
    </w:p>
    <w:p w:rsidR="00446BC0" w:rsidRDefault="00446BC0" w:rsidP="00446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инвестиции в оценочном и прогнозном периоде будут направлены на развитие социальной инфраструктуры города. В рамках реализации региональных государственных программ продолжится модернизация и строительство объектов жилого фонда, здравоохранения, образования, коммунального хозяйства, культуры и спорта.</w:t>
      </w:r>
    </w:p>
    <w:p w:rsidR="00446BC0" w:rsidRDefault="00446BC0" w:rsidP="00446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прогнозируемом периоде в отраслевой структуре инвестиций каких-либо значительных изменений не произойдёт. Основная доля инвестиций по-прежнему будет приходиться на такие отрасли, как промышленность (добыча полезных ископаемых) и операции с недвижимым имуществом, аренда и предоставление услуг.</w:t>
      </w:r>
    </w:p>
    <w:p w:rsidR="00446BC0" w:rsidRDefault="00446BC0" w:rsidP="0044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По-прежнему наибольший объём инвестиций в основной капитал для реализации инвестиционных проектов будет направляться предприятиями нефтегазовой отрасли.</w:t>
      </w:r>
    </w:p>
    <w:p w:rsidR="00446BC0" w:rsidRDefault="00446BC0" w:rsidP="00446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Прогнозируемому увеличению объема инвестиций в 2015-2018 годах будет способствовать реализация на территории городского округа город Мегион Адресной инвестиционной программы Ханты-Мансийского автономного округа – Югры. </w:t>
      </w:r>
    </w:p>
    <w:p w:rsidR="00446BC0" w:rsidRDefault="00446BC0" w:rsidP="00446BC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округа город Мегион осуществляется реализация инвестиционной программы по строительству новых электросетевых объектов, рассчитанная до 2015 года. Инвестиционная программа компании ОАО «ЮТЭК-РС» начала действовать с начала 2012 года. Инвестором ведётся работа по проектированию и строительству электросетевых объектов, что позволит создать условия для строительства новых домов, объектов инфраструктуры и социального назначения на территории города.</w:t>
      </w:r>
    </w:p>
    <w:p w:rsidR="00446BC0" w:rsidRDefault="00446BC0" w:rsidP="00446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задачами на прогнозный период в области инвестиционной политики будут являться наращивание объемов, обеспечение сбалансированности и качества инвестиций, привлечение дополнительных средств в рамках реализации федеральных и окружных государственных программ. Реализация данных направлений в инвестиционной сфере будет предопределять устойчивость экономики города. </w:t>
      </w:r>
    </w:p>
    <w:p w:rsidR="00446BC0" w:rsidRDefault="00446BC0" w:rsidP="00446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благоприятного инвестиционного климата на официальном сайте администрации города Мегиона в сети «Интернет» для инвесторов сформирован раздел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«Инвестиционная деятельность», где размещен инвестиционный паспорт городского округа город Мегион на русском и английском языках, инвестиционные проекты, реализуемые на территории городского округа, представлены нормативные правовые акты, программы комплексного развития и формы поддержки инвестиционной деятельности, отражена инфраструктура поддержки предпринимательства, работа комиссии по инвестиционной политике.</w:t>
      </w:r>
    </w:p>
    <w:p w:rsidR="00446BC0" w:rsidRDefault="00446BC0" w:rsidP="00446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BC0" w:rsidRDefault="00446BC0" w:rsidP="00446B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Строительство</w:t>
      </w:r>
    </w:p>
    <w:p w:rsidR="00446BC0" w:rsidRDefault="00446BC0" w:rsidP="00446B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Строительный комплекс относится к числу ключевых секторов экономики и во многом определяет решение важнейших задач в сфере социально-экономического развития города. </w:t>
      </w:r>
    </w:p>
    <w:p w:rsidR="00446BC0" w:rsidRDefault="00446BC0" w:rsidP="00446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выполненных работ по виду экономической деятельности «Строительство» без учета субъектов малого предпринимательства за 2014 год составил 2837,4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75,8% к уровню 2013 года в сопоставимых ценах.</w:t>
      </w:r>
    </w:p>
    <w:p w:rsidR="00446BC0" w:rsidRDefault="00446BC0" w:rsidP="0044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2014 года на территории городского округа город Мегион введено 32 здания жилого и нежилого назначения, в том числе жилых зданий 27, нежилых зданий 5.</w:t>
      </w:r>
    </w:p>
    <w:p w:rsidR="00446BC0" w:rsidRDefault="00446BC0" w:rsidP="00446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2014 году площадь введенного жилья в городе увеличилась по сравнению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соответствующим периодом 2013 года на 23,3% и составила 22,205 тыс.м². </w:t>
      </w:r>
    </w:p>
    <w:p w:rsidR="00446BC0" w:rsidRDefault="00446BC0" w:rsidP="00446B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сфере индивидуального жилищного строительства на территории городского округа город Мегион наблюдается положительная динамика. За 2014 год  силами индивидуальных застройщиков построено 22 жилых дома общей площадью 3362,1 кв. м, что на 2% больше, чем в 2013 году. Доля индивидуального жилищного строительства в 2014 году составила 15,1% от общего объема ввода жилья.</w:t>
      </w:r>
    </w:p>
    <w:p w:rsidR="00446BC0" w:rsidRDefault="00446BC0" w:rsidP="00446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оценке в 2015 году объем работ, выполненных по виду деятельности «Строительство» составил 2999,8 млн. рублей, или 98,9% в сопоставимых ценах к уровню 2013 года. </w:t>
      </w:r>
    </w:p>
    <w:p w:rsidR="00446BC0" w:rsidRDefault="00446BC0" w:rsidP="00446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по 1 варианту развития рассматривается увеличение объемов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выполненных по виду деятельности «Строительство» 100,4% в сопоставимых ценах, в 2017 году темп роста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составит 101,1%,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2018 году – 101,5%. </w:t>
      </w:r>
    </w:p>
    <w:p w:rsidR="00446BC0" w:rsidRDefault="00446BC0" w:rsidP="00446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2 варианту, при более благоприятном развитии экономической ситуации, увеличение темпов объемов работ, выполненных по виду деятельности «Строительство» в 2016 году прогнозируется на уровне 102,6%, в 2017 году на уровне – 103,2%, в 2018 году – 103,8%. </w:t>
      </w:r>
    </w:p>
    <w:p w:rsidR="00446BC0" w:rsidRDefault="00446BC0" w:rsidP="00446BC0">
      <w:pPr>
        <w:tabs>
          <w:tab w:val="left" w:pos="-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Активному росту объемов строительства будет способствовать жилищное строительство и объектов социальной сферы.</w:t>
      </w:r>
    </w:p>
    <w:p w:rsidR="00446BC0" w:rsidRDefault="00446BC0" w:rsidP="00446BC0">
      <w:pPr>
        <w:tabs>
          <w:tab w:val="left" w:pos="-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оценке в 2015 году ожидаемый ввод жилья за счет всех источников финансирования определен в объеме 7,0 тыс. кв. м общей площади жилых домов.</w:t>
      </w:r>
    </w:p>
    <w:p w:rsidR="00446BC0" w:rsidRDefault="00446BC0" w:rsidP="00446BC0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прогнозном периоде объем введенного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жилья  увеличится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30,4 тыс.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году.</w:t>
      </w:r>
    </w:p>
    <w:p w:rsidR="00446BC0" w:rsidRDefault="00446BC0" w:rsidP="00446BC0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за период 2015-2018 годы ожидается построить 99,1 тыс. кв. метров жилья. </w:t>
      </w:r>
    </w:p>
    <w:p w:rsidR="00446BC0" w:rsidRDefault="00446BC0" w:rsidP="00446BC0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прогнозном периоде ежегодный ввод индивидуальных жилых домов составит                    2,0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тыс.кв.м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446BC0" w:rsidRDefault="00446BC0" w:rsidP="00446BC0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Основными источниками строительства жилья являются средства частных компаний и средства окружного бюджета. </w:t>
      </w:r>
    </w:p>
    <w:p w:rsidR="00446BC0" w:rsidRDefault="00446BC0" w:rsidP="00446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2014 году на территории городского округа введен в действие детский сад «Теремок» на 160 мест.</w:t>
      </w:r>
    </w:p>
    <w:p w:rsidR="00446BC0" w:rsidRDefault="00446BC0" w:rsidP="0044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государственной программы «Обеспечение прав и законных интересов населения ХМАО - Югры в отдельных сферах жизнедеятельности в 2014 - 2020 годах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 подпрограмма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«Профилактика правонарушений в 2014 году выполнена установка системы видеонаблюдения «Безопасный город» по улицам города Мегиона в количестве 7 единиц на сумму 1661 тыс.рублей из средств консолидированного бюджета.</w:t>
      </w:r>
    </w:p>
    <w:p w:rsidR="00446BC0" w:rsidRDefault="00446BC0" w:rsidP="00446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Также в отчетном периоде введена в эксплуатацию детская площадка во дворе жилого дома №10 по улице Кузьмина. Проведено обустройство входных групп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беспрепятсвенного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маломобильных групп населения трех учреждений социальной сферы.</w:t>
      </w:r>
    </w:p>
    <w:p w:rsidR="00446BC0" w:rsidRDefault="00446BC0" w:rsidP="00446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нашем городе по программе государственно – частного партнёрства начато возведение еще двух детских садов: на 260 мест - в 11 микрорайоне и на 320 мест - в 19 микрорайоне. Их застройщиком также выступит ОАО «ДСК «Автобан».</w:t>
      </w:r>
    </w:p>
    <w:p w:rsidR="00446BC0" w:rsidRDefault="00446BC0" w:rsidP="00446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2015 году ожидается ввод в эксплуатацию объекта «Ледовый дворец», застройщик – ОАО «ДСК «Автобан». </w:t>
      </w:r>
    </w:p>
    <w:p w:rsidR="00446BC0" w:rsidRDefault="00446BC0" w:rsidP="00446B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«Строительство спортивного центра с универсальным игровым залом и плоскостными спортивными сооружениями» находится на консервации. Готовность объекта – 28,0%. В настоящее время ведется корректировка проектной документации, после чего будет продолжено строительство объекта.</w:t>
      </w:r>
    </w:p>
    <w:p w:rsidR="00446BC0" w:rsidRDefault="00446BC0" w:rsidP="00446B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государственной программы «Обеспечение доступным и комфортным жильем жителей Ханты-Мансийского автономного округа-Югры в 2014-2020 годах» закончен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-й этап строительства участка тепловых сетей 2д700 мм и водоводом от котельной «Южная» до проспекта Победы, с ответвлением 2д600 мм с водоводом по проспекту Победы до УТ 4-1 с отпайкой на ЦТП-15, ответвление 2д700 мм с водоводом от проспекта Победы по улице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Сутормина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УТ-7-1. На стадии завершения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-й этап строительства – 98,0%, готовность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-го этапа строительства составляет 92,0%.</w:t>
      </w:r>
    </w:p>
    <w:p w:rsidR="00446BC0" w:rsidRDefault="00446BC0" w:rsidP="00446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государственной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жилищно-коммунального комплекса и повышение энергетической эффективности в ХМАО - Югре на 2014 - 2020 годы» в 2014 году велось строительство объекта «Реконструкция 4-х КНС в п. Высокий» (2 064 м3/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.). Планируемый срок окончания работ – сентябрь 2015 года.</w:t>
      </w:r>
    </w:p>
    <w:p w:rsidR="00446BC0" w:rsidRDefault="00446BC0" w:rsidP="00446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стадии разработки проектно-сметная по объекту «Газификация посёлка городского типа Высокий» (31,73 км). Выполнены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геологические, - геодезические, - экологические изыскания. Окончание выполнения проекта – декабрь 2015 года.</w:t>
      </w:r>
    </w:p>
    <w:p w:rsidR="00446BC0" w:rsidRDefault="00446BC0" w:rsidP="00446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рамах государственной программы «Развитие транспортной системы Ханты – Мансийского автономного округа – Югры» в течение отчетного периода велись работы по реконструкции автомобильной дороги по улице Губкина в городе Мегионе. Готовность объекта составляет 88%. Срок окончания работ – 2017 год.</w:t>
      </w:r>
    </w:p>
    <w:p w:rsidR="00446BC0" w:rsidRDefault="00446BC0" w:rsidP="00446BC0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начато строительство объекта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Автогородок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для проведения практических занятий по обучению несовершеннолетних безопасному поведению на улицах и дорогах городского округа город Мегион.</w:t>
      </w:r>
    </w:p>
    <w:p w:rsidR="00446BC0" w:rsidRDefault="00446BC0" w:rsidP="00446BC0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предусмотрено строительство объектов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«Строительство мемориального комплекса «Аллея славы» и «Автомобильная дорога к пристани».</w:t>
      </w:r>
    </w:p>
    <w:p w:rsidR="00446BC0" w:rsidRDefault="00446BC0" w:rsidP="00BD5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007" w:rsidRDefault="00BD5007" w:rsidP="00BD5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007" w:rsidRDefault="00BD5007" w:rsidP="00BD5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343">
        <w:rPr>
          <w:rFonts w:ascii="Times New Roman" w:hAnsi="Times New Roman" w:cs="Times New Roman"/>
          <w:b/>
          <w:sz w:val="24"/>
          <w:szCs w:val="24"/>
        </w:rPr>
        <w:t>ДЕНЕЖНЫЕ ДОХОДЫ И РАСХОДЫ НАСЕЛЕНИЯ</w:t>
      </w:r>
    </w:p>
    <w:p w:rsidR="00DF7329" w:rsidRPr="001E12EC" w:rsidRDefault="00DF7329" w:rsidP="0015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Pr="003E5DDA" w:rsidRDefault="00DF7329" w:rsidP="0015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доходы населения</w:t>
      </w:r>
    </w:p>
    <w:p w:rsidR="00DF693E" w:rsidRPr="001E12EC" w:rsidRDefault="004D266F" w:rsidP="0015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137FD4" w:rsidRDefault="00137FD4" w:rsidP="00137F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7FD4">
        <w:rPr>
          <w:rFonts w:ascii="Times New Roman" w:hAnsi="Times New Roman" w:cs="Times New Roman"/>
        </w:rPr>
        <w:t>В прогнозный период уровень жизни населения будет определяться мерами социальной политики, реализуемыми в соответствии с Концепцией долгосрочного социально-экономического развития Российской Федерации на период до 2020 года, положениями Указа Президента Российской Федерации от 0</w:t>
      </w:r>
      <w:r>
        <w:rPr>
          <w:rFonts w:ascii="Times New Roman" w:hAnsi="Times New Roman" w:cs="Times New Roman"/>
        </w:rPr>
        <w:t>7.05.</w:t>
      </w:r>
      <w:r w:rsidRPr="00137FD4">
        <w:rPr>
          <w:rFonts w:ascii="Times New Roman" w:hAnsi="Times New Roman" w:cs="Times New Roman"/>
        </w:rPr>
        <w:t>2012 №597 «О мероприятиях по реализации государственной социальной политики».</w:t>
      </w:r>
    </w:p>
    <w:p w:rsidR="00697AF3" w:rsidRDefault="00697AF3" w:rsidP="00137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AF3">
        <w:rPr>
          <w:rFonts w:ascii="Times New Roman" w:hAnsi="Times New Roman" w:cs="Times New Roman"/>
          <w:sz w:val="24"/>
          <w:szCs w:val="24"/>
        </w:rPr>
        <w:t>Наибольшую долю учтенных доходов работающего населения составл</w:t>
      </w:r>
      <w:r w:rsidR="008F2C4B">
        <w:rPr>
          <w:rFonts w:ascii="Times New Roman" w:hAnsi="Times New Roman" w:cs="Times New Roman"/>
          <w:sz w:val="24"/>
          <w:szCs w:val="24"/>
        </w:rPr>
        <w:t>яе</w:t>
      </w:r>
      <w:r w:rsidRPr="00697AF3">
        <w:rPr>
          <w:rFonts w:ascii="Times New Roman" w:hAnsi="Times New Roman" w:cs="Times New Roman"/>
          <w:sz w:val="24"/>
          <w:szCs w:val="24"/>
        </w:rPr>
        <w:t xml:space="preserve">т </w:t>
      </w:r>
      <w:r w:rsidR="008F2C4B">
        <w:rPr>
          <w:rFonts w:ascii="Times New Roman" w:hAnsi="Times New Roman" w:cs="Times New Roman"/>
          <w:sz w:val="24"/>
          <w:szCs w:val="24"/>
        </w:rPr>
        <w:t>оплата труда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дельный вес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</w:t>
      </w:r>
      <w:r w:rsidR="008F2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всех доходов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 составил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76,</w:t>
      </w:r>
      <w:r w:rsidR="008F2C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697AF3">
        <w:rPr>
          <w:rFonts w:ascii="Times New Roman" w:hAnsi="Times New Roman" w:cs="Times New Roman"/>
          <w:sz w:val="24"/>
          <w:szCs w:val="24"/>
        </w:rPr>
        <w:t>. Для неработающего населения – социальные трансферты (пенсии, посо</w:t>
      </w:r>
      <w:r>
        <w:rPr>
          <w:rFonts w:ascii="Times New Roman" w:hAnsi="Times New Roman" w:cs="Times New Roman"/>
          <w:sz w:val="24"/>
          <w:szCs w:val="24"/>
        </w:rPr>
        <w:t>бия и социальная помощь и др.) с удельным весом в общей сумме доходов 17,</w:t>
      </w:r>
      <w:r w:rsidR="008F2C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DF693E" w:rsidRPr="001E12EC" w:rsidRDefault="00697AF3" w:rsidP="00157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F693E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F693E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F693E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доходов: дивиденды, доходные проценты по депозитам, валютные операци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полученные переводы и т.д. за 2014 год составил </w:t>
      </w:r>
      <w:r w:rsidR="00DF693E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6,4%.</w:t>
      </w:r>
    </w:p>
    <w:p w:rsidR="007232F9" w:rsidRDefault="00DF693E" w:rsidP="0015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объём доходов, полученных населением</w:t>
      </w:r>
      <w:r w:rsidR="0085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2014 год вырос незначи</w:t>
      </w:r>
      <w:r w:rsidR="00D3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тельно, </w:t>
      </w:r>
      <w:r w:rsidR="00697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0,3</w:t>
      </w:r>
      <w:r w:rsidR="00D370E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7232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AF3" w:rsidRPr="00064A3B" w:rsidRDefault="00697AF3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4A3B">
        <w:rPr>
          <w:rFonts w:ascii="Times New Roman" w:hAnsi="Times New Roman" w:cs="Times New Roman"/>
        </w:rPr>
        <w:t>В 2016−2018 годах сохранится положительная динамика денежных доходов населения за счет оплаты труда и социальных выплат.</w:t>
      </w:r>
    </w:p>
    <w:p w:rsidR="00064A3B" w:rsidRPr="00064A3B" w:rsidRDefault="00064A3B" w:rsidP="00064A3B">
      <w:pPr>
        <w:pStyle w:val="a4"/>
        <w:ind w:firstLine="720"/>
        <w:jc w:val="both"/>
        <w:rPr>
          <w:b w:val="0"/>
          <w:sz w:val="24"/>
        </w:rPr>
      </w:pPr>
      <w:r w:rsidRPr="00064A3B">
        <w:rPr>
          <w:b w:val="0"/>
          <w:sz w:val="24"/>
        </w:rPr>
        <w:t>По первому варианту:</w:t>
      </w:r>
    </w:p>
    <w:p w:rsidR="00064A3B" w:rsidRPr="001E12EC" w:rsidRDefault="00064A3B" w:rsidP="0006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 xml:space="preserve">-2016 год 21389,6млн. рублей, прирост к предыдущему году </w:t>
      </w:r>
      <w:r>
        <w:rPr>
          <w:rFonts w:ascii="Times New Roman" w:hAnsi="Times New Roman" w:cs="Times New Roman"/>
          <w:sz w:val="24"/>
          <w:szCs w:val="24"/>
        </w:rPr>
        <w:t>2,2</w:t>
      </w:r>
      <w:r w:rsidRPr="001E12E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064A3B" w:rsidRPr="001E12EC" w:rsidRDefault="00064A3B" w:rsidP="0006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-2017 год 21783,6 млн. рублей и 1,8% соответственно;</w:t>
      </w:r>
    </w:p>
    <w:p w:rsidR="00064A3B" w:rsidRPr="001E12EC" w:rsidRDefault="00064A3B" w:rsidP="0006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 xml:space="preserve">-2018 год 22249,2 млн. рублей и </w:t>
      </w:r>
      <w:r>
        <w:rPr>
          <w:rFonts w:ascii="Times New Roman" w:hAnsi="Times New Roman" w:cs="Times New Roman"/>
          <w:sz w:val="24"/>
          <w:szCs w:val="24"/>
        </w:rPr>
        <w:t>2,1</w:t>
      </w:r>
      <w:r w:rsidRPr="001E12EC"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064A3B" w:rsidRPr="001E12EC" w:rsidRDefault="00064A3B" w:rsidP="0006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По второму варианту:</w:t>
      </w:r>
    </w:p>
    <w:p w:rsidR="00064A3B" w:rsidRPr="001E12EC" w:rsidRDefault="00064A3B" w:rsidP="0006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 xml:space="preserve">-2016 год 21731,3 млн. рублей, прирост за год </w:t>
      </w:r>
      <w:r>
        <w:rPr>
          <w:rFonts w:ascii="Times New Roman" w:hAnsi="Times New Roman" w:cs="Times New Roman"/>
          <w:sz w:val="24"/>
          <w:szCs w:val="24"/>
        </w:rPr>
        <w:t>3,8</w:t>
      </w:r>
      <w:r w:rsidRPr="001E12E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064A3B" w:rsidRPr="001E12EC" w:rsidRDefault="00064A3B" w:rsidP="0006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 xml:space="preserve">-2017 год 22780,2 млн. рублей и </w:t>
      </w:r>
      <w:r>
        <w:rPr>
          <w:rFonts w:ascii="Times New Roman" w:hAnsi="Times New Roman" w:cs="Times New Roman"/>
          <w:sz w:val="24"/>
          <w:szCs w:val="24"/>
        </w:rPr>
        <w:t>4,8</w:t>
      </w:r>
      <w:r w:rsidRPr="001E12EC">
        <w:rPr>
          <w:rFonts w:ascii="Times New Roman" w:hAnsi="Times New Roman" w:cs="Times New Roman"/>
          <w:sz w:val="24"/>
          <w:szCs w:val="24"/>
        </w:rPr>
        <w:t>% соответственно;</w:t>
      </w:r>
    </w:p>
    <w:p w:rsidR="00064A3B" w:rsidRPr="001E12EC" w:rsidRDefault="00064A3B" w:rsidP="0006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 xml:space="preserve">-2018 год 24263,6 млн. рублей и </w:t>
      </w:r>
      <w:r>
        <w:rPr>
          <w:rFonts w:ascii="Times New Roman" w:hAnsi="Times New Roman" w:cs="Times New Roman"/>
          <w:sz w:val="24"/>
          <w:szCs w:val="24"/>
        </w:rPr>
        <w:t>6,5</w:t>
      </w:r>
      <w:r w:rsidRPr="001E12EC"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064A3B" w:rsidRPr="00796ADA" w:rsidRDefault="00064A3B" w:rsidP="00796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2014 года среднедушевые доходы населения городского округа город Мегион незначительно снизились на 0,2% и составили 30756 рублей. </w:t>
      </w:r>
      <w:r w:rsidR="00796ADA" w:rsidRPr="00580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Реальные денежные </w:t>
      </w:r>
      <w:r w:rsidR="00796ADA" w:rsidRPr="00796ADA">
        <w:rPr>
          <w:rFonts w:ascii="Times New Roman" w:hAnsi="Times New Roman" w:cs="Times New Roman"/>
          <w:sz w:val="24"/>
          <w:szCs w:val="24"/>
        </w:rPr>
        <w:t xml:space="preserve">доходы </w:t>
      </w:r>
      <w:r w:rsidRPr="00796ADA">
        <w:rPr>
          <w:rFonts w:ascii="Times New Roman" w:hAnsi="Times New Roman" w:cs="Times New Roman"/>
          <w:sz w:val="24"/>
          <w:szCs w:val="24"/>
        </w:rPr>
        <w:t>населения за</w:t>
      </w:r>
      <w:r w:rsidR="00796ADA" w:rsidRPr="00796ADA">
        <w:rPr>
          <w:rFonts w:ascii="Times New Roman" w:hAnsi="Times New Roman" w:cs="Times New Roman"/>
          <w:sz w:val="24"/>
          <w:szCs w:val="24"/>
        </w:rPr>
        <w:t xml:space="preserve"> 2014</w:t>
      </w:r>
      <w:r w:rsidRPr="00796ADA">
        <w:rPr>
          <w:rFonts w:ascii="Times New Roman" w:hAnsi="Times New Roman" w:cs="Times New Roman"/>
          <w:sz w:val="24"/>
          <w:szCs w:val="24"/>
        </w:rPr>
        <w:t xml:space="preserve"> год составили </w:t>
      </w:r>
      <w:r w:rsidR="00796ADA" w:rsidRPr="00796ADA">
        <w:rPr>
          <w:rFonts w:ascii="Times New Roman" w:hAnsi="Times New Roman" w:cs="Times New Roman"/>
          <w:sz w:val="24"/>
          <w:szCs w:val="24"/>
        </w:rPr>
        <w:t>94,07</w:t>
      </w:r>
      <w:r w:rsidRPr="00796ADA">
        <w:rPr>
          <w:rFonts w:ascii="Times New Roman" w:hAnsi="Times New Roman" w:cs="Times New Roman"/>
          <w:sz w:val="24"/>
          <w:szCs w:val="24"/>
        </w:rPr>
        <w:t xml:space="preserve">%. </w:t>
      </w:r>
      <w:r w:rsidR="0062165F" w:rsidRPr="001E12EC">
        <w:rPr>
          <w:rFonts w:ascii="Times New Roman" w:hAnsi="Times New Roman" w:cs="Times New Roman"/>
          <w:sz w:val="24"/>
          <w:szCs w:val="24"/>
        </w:rPr>
        <w:t>По обоим вариантам прогноза предусматривается постепенное повышение жизненного уровня населения, с сохранением тенденции увеличения реально располагаемых денежных до</w:t>
      </w:r>
      <w:r w:rsidR="0062165F">
        <w:rPr>
          <w:rFonts w:ascii="Times New Roman" w:hAnsi="Times New Roman" w:cs="Times New Roman"/>
          <w:sz w:val="24"/>
          <w:szCs w:val="24"/>
        </w:rPr>
        <w:t>ходов</w:t>
      </w:r>
      <w:r w:rsidRPr="00796ADA">
        <w:rPr>
          <w:rFonts w:ascii="Times New Roman" w:hAnsi="Times New Roman" w:cs="Times New Roman"/>
          <w:sz w:val="24"/>
          <w:szCs w:val="24"/>
        </w:rPr>
        <w:t>, и к 201</w:t>
      </w:r>
      <w:r w:rsidR="00796ADA" w:rsidRPr="00796ADA">
        <w:rPr>
          <w:rFonts w:ascii="Times New Roman" w:hAnsi="Times New Roman" w:cs="Times New Roman"/>
          <w:sz w:val="24"/>
          <w:szCs w:val="24"/>
        </w:rPr>
        <w:t>8</w:t>
      </w:r>
      <w:r w:rsidRPr="00796ADA">
        <w:rPr>
          <w:rFonts w:ascii="Times New Roman" w:hAnsi="Times New Roman" w:cs="Times New Roman"/>
          <w:sz w:val="24"/>
          <w:szCs w:val="24"/>
        </w:rPr>
        <w:t xml:space="preserve"> году среднедушевые доходы населения </w:t>
      </w:r>
      <w:r w:rsidR="00796ADA" w:rsidRPr="00796ADA">
        <w:rPr>
          <w:rFonts w:ascii="Times New Roman" w:hAnsi="Times New Roman" w:cs="Times New Roman"/>
          <w:sz w:val="24"/>
          <w:szCs w:val="24"/>
        </w:rPr>
        <w:t xml:space="preserve">городского округа город Мегион </w:t>
      </w:r>
      <w:r w:rsidRPr="00796ADA">
        <w:rPr>
          <w:rFonts w:ascii="Times New Roman" w:hAnsi="Times New Roman" w:cs="Times New Roman"/>
          <w:sz w:val="24"/>
          <w:szCs w:val="24"/>
        </w:rPr>
        <w:t xml:space="preserve">составят </w:t>
      </w:r>
      <w:r w:rsidR="00796ADA" w:rsidRPr="00796ADA">
        <w:rPr>
          <w:rFonts w:ascii="Times New Roman" w:hAnsi="Times New Roman" w:cs="Times New Roman"/>
          <w:sz w:val="24"/>
          <w:szCs w:val="24"/>
        </w:rPr>
        <w:t>32362</w:t>
      </w:r>
      <w:r w:rsidRPr="00796AD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96ADA" w:rsidRPr="00796ADA">
        <w:rPr>
          <w:rFonts w:ascii="Times New Roman" w:hAnsi="Times New Roman" w:cs="Times New Roman"/>
          <w:sz w:val="24"/>
          <w:szCs w:val="24"/>
        </w:rPr>
        <w:t xml:space="preserve"> по первому варианту и 35093 рубля – по второму варианту</w:t>
      </w:r>
      <w:r w:rsidRPr="00796ADA">
        <w:rPr>
          <w:rFonts w:ascii="Times New Roman" w:hAnsi="Times New Roman" w:cs="Times New Roman"/>
          <w:sz w:val="24"/>
          <w:szCs w:val="24"/>
        </w:rPr>
        <w:t>.</w:t>
      </w:r>
    </w:p>
    <w:p w:rsidR="00A67E08" w:rsidRDefault="00A67E08" w:rsidP="0015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уровня заработной платы в отраслях материального производства увеличивается в соответствии с отраслевыми</w:t>
      </w:r>
      <w:r w:rsidR="003E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актами.</w:t>
      </w:r>
    </w:p>
    <w:p w:rsidR="003E5DDA" w:rsidRDefault="003E5DDA" w:rsidP="0015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бюджетной сфере увеличение уровня заработной платы отдельным категориям работников образования, здравоохранения и культуры производится в соответствии с Указом Президента Российской Федерации от 07.05.2012 №597 «О мероприятиях по реализации социальной политики». </w:t>
      </w:r>
    </w:p>
    <w:p w:rsidR="00CB3FD1" w:rsidRDefault="00E54199" w:rsidP="0015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Достигнутые значения о</w:t>
      </w:r>
      <w:r w:rsidR="004A4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A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величины заработной платы по </w:t>
      </w:r>
      <w:r w:rsidR="00031B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</w:t>
      </w:r>
      <w:r w:rsidR="004A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категориям работников к средней заработной плате по региону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 Указ</w:t>
      </w:r>
      <w:r w:rsidR="00621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Президента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2014 год</w:t>
      </w:r>
      <w:r w:rsidR="0010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составили:</w:t>
      </w:r>
      <w:r w:rsidR="00C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4C0C" w:rsidRDefault="004A4C0C" w:rsidP="0015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-педагогические работники учреждений дополнительного образования детей</w:t>
      </w:r>
      <w:r w:rsidR="00C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соотношение составило 85</w:t>
      </w:r>
      <w:r w:rsidR="00D370E4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CB3FD1">
        <w:rPr>
          <w:rFonts w:ascii="Times New Roman" w:eastAsia="Times New Roman" w:hAnsi="Times New Roman" w:cs="Times New Roman"/>
          <w:sz w:val="24"/>
          <w:szCs w:val="24"/>
          <w:lang w:eastAsia="ru-RU"/>
        </w:rPr>
        <w:t>%, з</w:t>
      </w:r>
      <w:r w:rsidR="00D370E4">
        <w:rPr>
          <w:rFonts w:ascii="Times New Roman" w:eastAsia="Times New Roman" w:hAnsi="Times New Roman" w:cs="Times New Roman"/>
          <w:sz w:val="24"/>
          <w:szCs w:val="24"/>
          <w:lang w:eastAsia="ru-RU"/>
        </w:rPr>
        <w:t>а 2015 год запланирован уровень</w:t>
      </w:r>
      <w:r w:rsidR="00C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85,4%;</w:t>
      </w:r>
    </w:p>
    <w:p w:rsidR="00CB3FD1" w:rsidRDefault="004A4C0C" w:rsidP="00CB3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-педагогические работники учреждений общего образования детей</w:t>
      </w:r>
      <w:r w:rsidR="00C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91,3% и 88,9% соответственно;</w:t>
      </w:r>
    </w:p>
    <w:p w:rsidR="004A4C0C" w:rsidRDefault="004A4C0C" w:rsidP="004A4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-педагогические работники учреждений дошкольных 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CB3FD1">
        <w:rPr>
          <w:rFonts w:ascii="Times New Roman" w:eastAsia="Times New Roman" w:hAnsi="Times New Roman" w:cs="Times New Roman"/>
          <w:sz w:val="24"/>
          <w:szCs w:val="24"/>
          <w:lang w:eastAsia="ru-RU"/>
        </w:rPr>
        <w:t>75,7%-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74,6%</w:t>
      </w:r>
      <w:r w:rsidR="00C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4C0C" w:rsidRDefault="004A4C0C" w:rsidP="004A4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-работников учреждений культуры </w:t>
      </w:r>
      <w:r w:rsidR="00C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63,7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D370E4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CB3FD1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6F8" w:rsidRDefault="00D536F8" w:rsidP="00D53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693E" w:rsidRPr="001E12EC" w:rsidRDefault="00D536F8" w:rsidP="00D53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сумма расходов населения за 2014 год выросла на 10,9% и составила 15832,6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70E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F693E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а 2014 год</w:t>
      </w:r>
      <w:r w:rsidR="00D3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среднемесячные расходы на одного жителя</w:t>
      </w:r>
      <w:r w:rsidR="00DF693E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</w:t>
      </w:r>
      <w:r w:rsidR="00D370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="00DF693E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аналогично</w:t>
      </w:r>
      <w:r w:rsidR="00D3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показателю 2013 года на </w:t>
      </w:r>
      <w:r w:rsidR="00E756FC">
        <w:rPr>
          <w:rFonts w:ascii="Times New Roman" w:eastAsia="Times New Roman" w:hAnsi="Times New Roman" w:cs="Times New Roman"/>
          <w:sz w:val="24"/>
          <w:szCs w:val="24"/>
          <w:lang w:eastAsia="ru-RU"/>
        </w:rPr>
        <w:t>10,3</w:t>
      </w:r>
      <w:r w:rsidR="00D3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</w:t>
      </w:r>
      <w:r w:rsidR="00DF693E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="00D370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F693E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6FC">
        <w:rPr>
          <w:rFonts w:ascii="Times New Roman" w:eastAsia="Times New Roman" w:hAnsi="Times New Roman" w:cs="Times New Roman"/>
          <w:sz w:val="24"/>
          <w:szCs w:val="24"/>
          <w:lang w:eastAsia="ru-RU"/>
        </w:rPr>
        <w:t>23543</w:t>
      </w:r>
      <w:r w:rsidR="00DF693E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рубля.</w:t>
      </w:r>
    </w:p>
    <w:p w:rsidR="00E756FC" w:rsidRDefault="00E756FC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6FC">
        <w:rPr>
          <w:rFonts w:ascii="Times New Roman" w:hAnsi="Times New Roman" w:cs="Times New Roman"/>
          <w:sz w:val="24"/>
          <w:szCs w:val="24"/>
        </w:rPr>
        <w:t xml:space="preserve">В структуре денежных расходов населения доля денежных расходов на покупку товаров и услуг за 2014 год составила 87,1%. Расходы на покупку товаров и услуг за 2014 год выросли на 12,0% и составили 13783,3 </w:t>
      </w:r>
      <w:proofErr w:type="spellStart"/>
      <w:r w:rsidRPr="00E756FC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E756FC">
        <w:rPr>
          <w:rFonts w:ascii="Times New Roman" w:hAnsi="Times New Roman" w:cs="Times New Roman"/>
          <w:sz w:val="24"/>
          <w:szCs w:val="24"/>
        </w:rPr>
        <w:t>.</w:t>
      </w:r>
      <w:r w:rsidR="00D536F8">
        <w:rPr>
          <w:rFonts w:ascii="Times New Roman" w:hAnsi="Times New Roman" w:cs="Times New Roman"/>
          <w:sz w:val="24"/>
          <w:szCs w:val="24"/>
        </w:rPr>
        <w:t xml:space="preserve"> На 6,2% в отчетном периоде увеличились расходы на обязательные платежи и разнообразные взносы. </w:t>
      </w:r>
    </w:p>
    <w:p w:rsidR="00D536F8" w:rsidRPr="00D536F8" w:rsidRDefault="00D536F8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6F8">
        <w:rPr>
          <w:rFonts w:ascii="Times New Roman" w:hAnsi="Times New Roman" w:cs="Times New Roman"/>
          <w:sz w:val="24"/>
          <w:szCs w:val="24"/>
        </w:rPr>
        <w:t>В плановом периоде прогнозируется увеличение расходов населения за счет наращивания оборотов торговли, увеличения объема оказываемых услуг.</w:t>
      </w:r>
    </w:p>
    <w:p w:rsidR="00D536F8" w:rsidRPr="005B1F2A" w:rsidRDefault="00D536F8" w:rsidP="00D536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F2A">
        <w:rPr>
          <w:rFonts w:ascii="Times New Roman" w:hAnsi="Times New Roman" w:cs="Times New Roman"/>
          <w:sz w:val="24"/>
          <w:szCs w:val="24"/>
        </w:rPr>
        <w:t>Денежные расходы населения в 2015 году оцениваются в сумме 16840,2 млн. рублей, увеличившись на 6,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B1F2A">
        <w:rPr>
          <w:rFonts w:ascii="Times New Roman" w:hAnsi="Times New Roman" w:cs="Times New Roman"/>
          <w:sz w:val="24"/>
          <w:szCs w:val="24"/>
        </w:rPr>
        <w:t>% к уровню показателя 2014 года, и в прогнозируемые периоды будут иметь следующую динамику:</w:t>
      </w:r>
    </w:p>
    <w:p w:rsidR="00D536F8" w:rsidRPr="005B1F2A" w:rsidRDefault="00D536F8" w:rsidP="00D53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F2A">
        <w:rPr>
          <w:rFonts w:ascii="Times New Roman" w:hAnsi="Times New Roman" w:cs="Times New Roman"/>
          <w:sz w:val="24"/>
          <w:szCs w:val="24"/>
        </w:rPr>
        <w:t>по первому варианту:</w:t>
      </w:r>
    </w:p>
    <w:p w:rsidR="00D536F8" w:rsidRPr="00C5056F" w:rsidRDefault="00D536F8" w:rsidP="00D53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6F">
        <w:rPr>
          <w:rFonts w:ascii="Times New Roman" w:hAnsi="Times New Roman" w:cs="Times New Roman"/>
          <w:sz w:val="24"/>
          <w:szCs w:val="24"/>
        </w:rPr>
        <w:t>-2016 год 18110,3 млн. рублей, прирост к предыдущему периоду 7,5%;</w:t>
      </w:r>
    </w:p>
    <w:p w:rsidR="00D536F8" w:rsidRPr="00C5056F" w:rsidRDefault="00D536F8" w:rsidP="00D53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6F">
        <w:rPr>
          <w:rFonts w:ascii="Times New Roman" w:hAnsi="Times New Roman" w:cs="Times New Roman"/>
          <w:sz w:val="24"/>
          <w:szCs w:val="24"/>
        </w:rPr>
        <w:t>-2017 год 19680,9 млн. рублей и 8,7% соответственно;</w:t>
      </w:r>
    </w:p>
    <w:p w:rsidR="00D536F8" w:rsidRPr="00C5056F" w:rsidRDefault="00D536F8" w:rsidP="00D53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6F">
        <w:rPr>
          <w:rFonts w:ascii="Times New Roman" w:hAnsi="Times New Roman" w:cs="Times New Roman"/>
          <w:sz w:val="24"/>
          <w:szCs w:val="24"/>
        </w:rPr>
        <w:t>-2018 год 2</w:t>
      </w:r>
      <w:r>
        <w:rPr>
          <w:rFonts w:ascii="Times New Roman" w:hAnsi="Times New Roman" w:cs="Times New Roman"/>
          <w:sz w:val="24"/>
          <w:szCs w:val="24"/>
        </w:rPr>
        <w:t>1305,8 млн. рублей и 8,3</w:t>
      </w:r>
      <w:r w:rsidRPr="00C5056F"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D536F8" w:rsidRPr="00C5056F" w:rsidRDefault="00D536F8" w:rsidP="00D53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6F">
        <w:rPr>
          <w:rFonts w:ascii="Times New Roman" w:hAnsi="Times New Roman" w:cs="Times New Roman"/>
          <w:sz w:val="24"/>
          <w:szCs w:val="24"/>
        </w:rPr>
        <w:lastRenderedPageBreak/>
        <w:t>по второму варианту:</w:t>
      </w:r>
    </w:p>
    <w:p w:rsidR="00D536F8" w:rsidRPr="00C5056F" w:rsidRDefault="00D536F8" w:rsidP="00D53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6F">
        <w:rPr>
          <w:rFonts w:ascii="Times New Roman" w:hAnsi="Times New Roman" w:cs="Times New Roman"/>
          <w:sz w:val="24"/>
          <w:szCs w:val="24"/>
        </w:rPr>
        <w:t xml:space="preserve">-2016 год </w:t>
      </w:r>
      <w:r>
        <w:rPr>
          <w:rFonts w:ascii="Times New Roman" w:hAnsi="Times New Roman" w:cs="Times New Roman"/>
          <w:sz w:val="24"/>
          <w:szCs w:val="24"/>
        </w:rPr>
        <w:t>18175,4</w:t>
      </w:r>
      <w:r w:rsidRPr="00C5056F">
        <w:rPr>
          <w:rFonts w:ascii="Times New Roman" w:hAnsi="Times New Roman" w:cs="Times New Roman"/>
          <w:sz w:val="24"/>
          <w:szCs w:val="24"/>
        </w:rPr>
        <w:t xml:space="preserve"> млн. рублей, прирост к предыдущему периоду</w:t>
      </w:r>
      <w:r>
        <w:rPr>
          <w:rFonts w:ascii="Times New Roman" w:hAnsi="Times New Roman" w:cs="Times New Roman"/>
          <w:sz w:val="24"/>
          <w:szCs w:val="24"/>
        </w:rPr>
        <w:t xml:space="preserve"> 7,9</w:t>
      </w:r>
      <w:r w:rsidRPr="00C5056F">
        <w:rPr>
          <w:rFonts w:ascii="Times New Roman" w:hAnsi="Times New Roman" w:cs="Times New Roman"/>
          <w:sz w:val="24"/>
          <w:szCs w:val="24"/>
        </w:rPr>
        <w:t>%;</w:t>
      </w:r>
    </w:p>
    <w:p w:rsidR="00D536F8" w:rsidRPr="00C5056F" w:rsidRDefault="00D536F8" w:rsidP="00D53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6F">
        <w:rPr>
          <w:rFonts w:ascii="Times New Roman" w:hAnsi="Times New Roman" w:cs="Times New Roman"/>
          <w:sz w:val="24"/>
          <w:szCs w:val="24"/>
        </w:rPr>
        <w:t xml:space="preserve">-2017 год </w:t>
      </w:r>
      <w:r>
        <w:rPr>
          <w:rFonts w:ascii="Times New Roman" w:hAnsi="Times New Roman" w:cs="Times New Roman"/>
          <w:sz w:val="24"/>
          <w:szCs w:val="24"/>
        </w:rPr>
        <w:t>19907,5</w:t>
      </w:r>
      <w:r w:rsidRPr="00C5056F">
        <w:rPr>
          <w:rFonts w:ascii="Times New Roman" w:hAnsi="Times New Roman" w:cs="Times New Roman"/>
          <w:sz w:val="24"/>
          <w:szCs w:val="24"/>
        </w:rPr>
        <w:t xml:space="preserve"> млн. рублей и 9,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056F">
        <w:rPr>
          <w:rFonts w:ascii="Times New Roman" w:hAnsi="Times New Roman" w:cs="Times New Roman"/>
          <w:sz w:val="24"/>
          <w:szCs w:val="24"/>
        </w:rPr>
        <w:t>% соответственно;</w:t>
      </w:r>
    </w:p>
    <w:p w:rsidR="00D536F8" w:rsidRPr="00C5056F" w:rsidRDefault="00D536F8" w:rsidP="00D53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6F">
        <w:rPr>
          <w:rFonts w:ascii="Times New Roman" w:hAnsi="Times New Roman" w:cs="Times New Roman"/>
          <w:sz w:val="24"/>
          <w:szCs w:val="24"/>
        </w:rPr>
        <w:t xml:space="preserve">-2018 год </w:t>
      </w:r>
      <w:r>
        <w:rPr>
          <w:rFonts w:ascii="Times New Roman" w:hAnsi="Times New Roman" w:cs="Times New Roman"/>
          <w:sz w:val="24"/>
          <w:szCs w:val="24"/>
        </w:rPr>
        <w:t>21749,3</w:t>
      </w:r>
      <w:r w:rsidRPr="00C5056F">
        <w:rPr>
          <w:rFonts w:ascii="Times New Roman" w:hAnsi="Times New Roman" w:cs="Times New Roman"/>
          <w:sz w:val="24"/>
          <w:szCs w:val="24"/>
        </w:rPr>
        <w:t xml:space="preserve"> млн. рублей и </w:t>
      </w:r>
      <w:r>
        <w:rPr>
          <w:rFonts w:ascii="Times New Roman" w:hAnsi="Times New Roman" w:cs="Times New Roman"/>
          <w:sz w:val="24"/>
          <w:szCs w:val="24"/>
        </w:rPr>
        <w:t>9,3</w:t>
      </w:r>
      <w:r w:rsidRPr="00C5056F"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D536F8" w:rsidRPr="001E12EC" w:rsidRDefault="00D536F8" w:rsidP="00D536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 xml:space="preserve">Превышение денежных доходов населения над расходами в 2015 году оценочно составит </w:t>
      </w:r>
      <w:r>
        <w:rPr>
          <w:rFonts w:ascii="Times New Roman" w:hAnsi="Times New Roman" w:cs="Times New Roman"/>
          <w:sz w:val="24"/>
          <w:szCs w:val="24"/>
        </w:rPr>
        <w:t>4090,6</w:t>
      </w:r>
      <w:r w:rsidRPr="001E12EC">
        <w:rPr>
          <w:rFonts w:ascii="Times New Roman" w:hAnsi="Times New Roman" w:cs="Times New Roman"/>
          <w:sz w:val="24"/>
          <w:szCs w:val="24"/>
        </w:rPr>
        <w:t xml:space="preserve"> млн. рублей. </w:t>
      </w:r>
    </w:p>
    <w:p w:rsidR="00D536F8" w:rsidRDefault="00D536F8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FB2" w:rsidRDefault="004437AA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 xml:space="preserve">Несмотря на достаточно высокий уровень доходов </w:t>
      </w:r>
      <w:r w:rsidR="003940AA" w:rsidRPr="001E12EC">
        <w:rPr>
          <w:rFonts w:ascii="Times New Roman" w:hAnsi="Times New Roman" w:cs="Times New Roman"/>
          <w:sz w:val="24"/>
          <w:szCs w:val="24"/>
        </w:rPr>
        <w:t xml:space="preserve">у </w:t>
      </w:r>
      <w:r w:rsidR="00CC2CB3" w:rsidRPr="001E12EC">
        <w:rPr>
          <w:rFonts w:ascii="Times New Roman" w:hAnsi="Times New Roman" w:cs="Times New Roman"/>
          <w:sz w:val="24"/>
          <w:szCs w:val="24"/>
        </w:rPr>
        <w:t>96,3% населения</w:t>
      </w:r>
      <w:r w:rsidR="003265ED">
        <w:rPr>
          <w:rFonts w:ascii="Times New Roman" w:hAnsi="Times New Roman" w:cs="Times New Roman"/>
          <w:sz w:val="24"/>
          <w:szCs w:val="24"/>
        </w:rPr>
        <w:t>, на территории городского округа город Мегион проживает</w:t>
      </w:r>
      <w:r w:rsidR="00CC2CB3" w:rsidRPr="001E12EC">
        <w:rPr>
          <w:rFonts w:ascii="Times New Roman" w:hAnsi="Times New Roman" w:cs="Times New Roman"/>
          <w:sz w:val="24"/>
          <w:szCs w:val="24"/>
        </w:rPr>
        <w:t xml:space="preserve"> </w:t>
      </w:r>
      <w:r w:rsidRPr="001E12EC">
        <w:rPr>
          <w:rFonts w:ascii="Times New Roman" w:hAnsi="Times New Roman" w:cs="Times New Roman"/>
          <w:sz w:val="24"/>
          <w:szCs w:val="24"/>
        </w:rPr>
        <w:t xml:space="preserve">категория жителей, имеющая доходы ниже прожиточного минимума, среднегодовой размер которого за 2014 год составляет 11223 рубля. </w:t>
      </w:r>
      <w:r w:rsidR="00CC2CB3" w:rsidRPr="001E12EC">
        <w:rPr>
          <w:rFonts w:ascii="Times New Roman" w:hAnsi="Times New Roman" w:cs="Times New Roman"/>
          <w:sz w:val="24"/>
          <w:szCs w:val="24"/>
        </w:rPr>
        <w:t xml:space="preserve">В данную категорию входят жители, </w:t>
      </w:r>
      <w:r w:rsidR="00E1622C" w:rsidRPr="001E12EC">
        <w:rPr>
          <w:rFonts w:ascii="Times New Roman" w:hAnsi="Times New Roman" w:cs="Times New Roman"/>
          <w:sz w:val="24"/>
          <w:szCs w:val="24"/>
        </w:rPr>
        <w:t xml:space="preserve">по </w:t>
      </w:r>
      <w:r w:rsidR="003265ED">
        <w:rPr>
          <w:rFonts w:ascii="Times New Roman" w:hAnsi="Times New Roman" w:cs="Times New Roman"/>
          <w:sz w:val="24"/>
          <w:szCs w:val="24"/>
        </w:rPr>
        <w:t>неизвестным</w:t>
      </w:r>
      <w:r w:rsidR="00E1622C" w:rsidRPr="001E12EC">
        <w:rPr>
          <w:rFonts w:ascii="Times New Roman" w:hAnsi="Times New Roman" w:cs="Times New Roman"/>
          <w:sz w:val="24"/>
          <w:szCs w:val="24"/>
        </w:rPr>
        <w:t xml:space="preserve"> причинам </w:t>
      </w:r>
      <w:r w:rsidR="00CC2CB3" w:rsidRPr="001E12EC">
        <w:rPr>
          <w:rFonts w:ascii="Times New Roman" w:hAnsi="Times New Roman" w:cs="Times New Roman"/>
          <w:sz w:val="24"/>
          <w:szCs w:val="24"/>
        </w:rPr>
        <w:t>не зарегистрированные в службах социальной защиты населения</w:t>
      </w:r>
      <w:r w:rsidR="003940AA" w:rsidRPr="001E12EC">
        <w:rPr>
          <w:rFonts w:ascii="Times New Roman" w:hAnsi="Times New Roman" w:cs="Times New Roman"/>
          <w:sz w:val="24"/>
          <w:szCs w:val="24"/>
        </w:rPr>
        <w:t xml:space="preserve">, </w:t>
      </w:r>
      <w:r w:rsidR="0055535F">
        <w:rPr>
          <w:rFonts w:ascii="Times New Roman" w:hAnsi="Times New Roman" w:cs="Times New Roman"/>
          <w:sz w:val="24"/>
          <w:szCs w:val="24"/>
        </w:rPr>
        <w:t xml:space="preserve">имея право быть зарегистрированными, </w:t>
      </w:r>
      <w:r w:rsidR="00CC2CB3" w:rsidRPr="001E12EC">
        <w:rPr>
          <w:rFonts w:ascii="Times New Roman" w:hAnsi="Times New Roman" w:cs="Times New Roman"/>
          <w:sz w:val="24"/>
          <w:szCs w:val="24"/>
        </w:rPr>
        <w:t>и не получающие социальных выплат (люди без определённого места жительства, с асоциальным поведением, не имеющие желания трудиться и т.д.)</w:t>
      </w:r>
      <w:r w:rsidR="003265ED">
        <w:rPr>
          <w:rFonts w:ascii="Times New Roman" w:hAnsi="Times New Roman" w:cs="Times New Roman"/>
          <w:sz w:val="24"/>
          <w:szCs w:val="24"/>
        </w:rPr>
        <w:t xml:space="preserve">. Тогда </w:t>
      </w:r>
      <w:r w:rsidR="00E1622C" w:rsidRPr="001E12EC">
        <w:rPr>
          <w:rFonts w:ascii="Times New Roman" w:hAnsi="Times New Roman" w:cs="Times New Roman"/>
          <w:sz w:val="24"/>
          <w:szCs w:val="24"/>
        </w:rPr>
        <w:t>как работающее население</w:t>
      </w:r>
      <w:r w:rsidR="003265ED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E1622C" w:rsidRPr="001E12EC">
        <w:rPr>
          <w:rFonts w:ascii="Times New Roman" w:hAnsi="Times New Roman" w:cs="Times New Roman"/>
          <w:sz w:val="24"/>
          <w:szCs w:val="24"/>
        </w:rPr>
        <w:t>статьи 133.1 Трудового кодекса РФ и трёхстороннего соглашения</w:t>
      </w:r>
      <w:r w:rsidR="00A92A48" w:rsidRPr="001E12EC">
        <w:rPr>
          <w:rFonts w:ascii="Times New Roman" w:hAnsi="Times New Roman" w:cs="Times New Roman"/>
          <w:sz w:val="24"/>
          <w:szCs w:val="24"/>
        </w:rPr>
        <w:t xml:space="preserve"> </w:t>
      </w:r>
      <w:r w:rsidR="00E1622C" w:rsidRPr="001E12EC">
        <w:rPr>
          <w:rFonts w:ascii="Times New Roman" w:hAnsi="Times New Roman" w:cs="Times New Roman"/>
          <w:sz w:val="24"/>
          <w:szCs w:val="24"/>
        </w:rPr>
        <w:t>«О минимальной заработной плате в Ханты-Мансийс</w:t>
      </w:r>
      <w:r w:rsidR="00B47084" w:rsidRPr="001E12EC">
        <w:rPr>
          <w:rFonts w:ascii="Times New Roman" w:hAnsi="Times New Roman" w:cs="Times New Roman"/>
          <w:sz w:val="24"/>
          <w:szCs w:val="24"/>
        </w:rPr>
        <w:t>к</w:t>
      </w:r>
      <w:r w:rsidR="00E1622C" w:rsidRPr="001E12EC">
        <w:rPr>
          <w:rFonts w:ascii="Times New Roman" w:hAnsi="Times New Roman" w:cs="Times New Roman"/>
          <w:sz w:val="24"/>
          <w:szCs w:val="24"/>
        </w:rPr>
        <w:t>ом автономном округе – Югре»</w:t>
      </w:r>
      <w:r w:rsidR="003265ED">
        <w:rPr>
          <w:rFonts w:ascii="Times New Roman" w:hAnsi="Times New Roman" w:cs="Times New Roman"/>
          <w:sz w:val="24"/>
          <w:szCs w:val="24"/>
        </w:rPr>
        <w:t>,</w:t>
      </w:r>
      <w:r w:rsidR="00B47084" w:rsidRPr="001E12EC">
        <w:rPr>
          <w:rFonts w:ascii="Times New Roman" w:hAnsi="Times New Roman" w:cs="Times New Roman"/>
          <w:sz w:val="24"/>
          <w:szCs w:val="24"/>
        </w:rPr>
        <w:t xml:space="preserve"> получает заработную плату не ниже </w:t>
      </w:r>
      <w:r w:rsidR="003940AA" w:rsidRPr="001E12EC">
        <w:rPr>
          <w:rFonts w:ascii="Times New Roman" w:hAnsi="Times New Roman" w:cs="Times New Roman"/>
          <w:sz w:val="24"/>
          <w:szCs w:val="24"/>
        </w:rPr>
        <w:t>установленного уровня</w:t>
      </w:r>
      <w:r w:rsidR="00E11382">
        <w:rPr>
          <w:rFonts w:ascii="Times New Roman" w:hAnsi="Times New Roman" w:cs="Times New Roman"/>
          <w:sz w:val="24"/>
          <w:szCs w:val="24"/>
        </w:rPr>
        <w:t xml:space="preserve"> минимальной заработной платы или же не ниже уровня прожиточного минимума для соответствующей категории населения</w:t>
      </w:r>
      <w:r w:rsidR="00C5056F">
        <w:rPr>
          <w:rFonts w:ascii="Times New Roman" w:hAnsi="Times New Roman" w:cs="Times New Roman"/>
          <w:sz w:val="24"/>
          <w:szCs w:val="24"/>
        </w:rPr>
        <w:t>.</w:t>
      </w:r>
      <w:r w:rsidR="00B47084" w:rsidRPr="001E1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557" w:rsidRPr="001E12EC" w:rsidRDefault="00B47084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Льготная категория населения в соответствии с региональным законодательством получа</w:t>
      </w:r>
      <w:r w:rsidR="000519C2" w:rsidRPr="001E12EC">
        <w:rPr>
          <w:rFonts w:ascii="Times New Roman" w:hAnsi="Times New Roman" w:cs="Times New Roman"/>
          <w:sz w:val="24"/>
          <w:szCs w:val="24"/>
        </w:rPr>
        <w:t>е</w:t>
      </w:r>
      <w:r w:rsidRPr="001E12EC">
        <w:rPr>
          <w:rFonts w:ascii="Times New Roman" w:hAnsi="Times New Roman" w:cs="Times New Roman"/>
          <w:sz w:val="24"/>
          <w:szCs w:val="24"/>
        </w:rPr>
        <w:t xml:space="preserve">т </w:t>
      </w:r>
      <w:r w:rsidR="000519C2" w:rsidRPr="001E12EC">
        <w:rPr>
          <w:rFonts w:ascii="Times New Roman" w:hAnsi="Times New Roman" w:cs="Times New Roman"/>
          <w:sz w:val="24"/>
          <w:szCs w:val="24"/>
        </w:rPr>
        <w:t>меры социальной поддержки</w:t>
      </w:r>
      <w:r w:rsidRPr="001E12EC">
        <w:rPr>
          <w:rFonts w:ascii="Times New Roman" w:hAnsi="Times New Roman" w:cs="Times New Roman"/>
          <w:sz w:val="24"/>
          <w:szCs w:val="24"/>
        </w:rPr>
        <w:t xml:space="preserve"> так же не ниже уровня прожиточного минимума.</w:t>
      </w:r>
    </w:p>
    <w:p w:rsidR="00F341B1" w:rsidRPr="001E12EC" w:rsidRDefault="00DF6DC8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В прогнозируемый период ожидается снижен</w:t>
      </w:r>
      <w:r w:rsidR="00812E68" w:rsidRPr="001E12EC">
        <w:rPr>
          <w:rFonts w:ascii="Times New Roman" w:hAnsi="Times New Roman" w:cs="Times New Roman"/>
          <w:sz w:val="24"/>
          <w:szCs w:val="24"/>
        </w:rPr>
        <w:t>ие численности бедного населения в связи с продолжением реализации мер</w:t>
      </w:r>
      <w:r w:rsidR="003265ED">
        <w:rPr>
          <w:rFonts w:ascii="Times New Roman" w:hAnsi="Times New Roman" w:cs="Times New Roman"/>
          <w:sz w:val="24"/>
          <w:szCs w:val="24"/>
        </w:rPr>
        <w:t xml:space="preserve"> социальной поддержки населения</w:t>
      </w:r>
      <w:r w:rsidR="00812E68" w:rsidRPr="001E12EC">
        <w:rPr>
          <w:rFonts w:ascii="Times New Roman" w:hAnsi="Times New Roman" w:cs="Times New Roman"/>
          <w:sz w:val="24"/>
          <w:szCs w:val="24"/>
        </w:rPr>
        <w:t>.</w:t>
      </w:r>
      <w:r w:rsidR="00812E68" w:rsidRPr="001E12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5056F" w:rsidRDefault="00C5056F" w:rsidP="001575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028D" w:rsidRPr="001E12EC" w:rsidRDefault="0058028D" w:rsidP="001575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7329" w:rsidRPr="001E12EC" w:rsidRDefault="00BD5007" w:rsidP="001575B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 И ЗАНЯТОСТЬ</w:t>
      </w:r>
    </w:p>
    <w:p w:rsidR="00DF7329" w:rsidRPr="001E12EC" w:rsidRDefault="00DF7329" w:rsidP="0015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F7329" w:rsidRPr="0093488F" w:rsidRDefault="00DF7329" w:rsidP="0015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348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Занятость </w:t>
      </w:r>
    </w:p>
    <w:p w:rsidR="00F341B1" w:rsidRPr="001E12EC" w:rsidRDefault="00DF7329" w:rsidP="001575B4">
      <w:pPr>
        <w:tabs>
          <w:tab w:val="left" w:pos="87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 городского округа город Мегион по состоянию на 01.01.201</w:t>
      </w:r>
      <w:r w:rsidR="00F341B1" w:rsidRPr="001E1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</w:t>
      </w:r>
      <w:r w:rsidRPr="001E1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проживает 5</w:t>
      </w:r>
      <w:r w:rsidR="00F341B1" w:rsidRPr="001E1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6104</w:t>
      </w:r>
      <w:r w:rsidRPr="001E1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</w:t>
      </w:r>
      <w:r w:rsidR="00F341B1" w:rsidRPr="001E1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E1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из общей численности которых 70,8% составляют жители экономически активного возраста. Из числа эконо</w:t>
      </w:r>
      <w:r w:rsidR="00F341B1" w:rsidRPr="001E1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мически активного населения 85,5</w:t>
      </w:r>
      <w:r w:rsidRPr="001E1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заняты в экономике.</w:t>
      </w:r>
      <w:r w:rsidR="00F341B1" w:rsidRPr="001E1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64,3% из всего</w:t>
      </w:r>
      <w:r w:rsidR="00DF6DC8" w:rsidRPr="001E1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работающего </w:t>
      </w:r>
      <w:r w:rsidR="00F341B1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DF6DC8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1B1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сосредоточены </w:t>
      </w:r>
      <w:r w:rsidR="00DF6DC8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341B1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крупных и средних предприятиях городского округа. </w:t>
      </w:r>
    </w:p>
    <w:p w:rsidR="00F341B1" w:rsidRPr="001E12EC" w:rsidRDefault="00F341B1" w:rsidP="0015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малого бизнеса отмечается незначительный рост</w:t>
      </w:r>
      <w:r w:rsidR="0085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численности занятых трудом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1B1" w:rsidRPr="001E12EC" w:rsidRDefault="00F341B1" w:rsidP="0014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Поотраслевая</w:t>
      </w:r>
      <w:proofErr w:type="spellEnd"/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работников среднесписочного состава</w:t>
      </w:r>
      <w:r w:rsidR="00143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крупных и средних предприятий </w:t>
      </w:r>
      <w:r w:rsidR="00143CE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изменилась в сторону сокращения в сфере «добыча полезных ископаемых»№ на 27,7%, «обрабатывающие производства» на 4,6%, «торговля» 21,4%, «строительство» 11,6% и незначительно, на 1,6-1,9% в сфере «здравоохранение» и «предоставление прочих коммунальных, социальных и персональных услуг».</w:t>
      </w:r>
    </w:p>
    <w:p w:rsidR="008513AE" w:rsidRDefault="00F341B1" w:rsidP="0014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Прирост количественного состава кадров произошёл в отрасли «Производство и распределение электроэнергии, газа и воды», «Сфера гостиниц и ресторанов», «Финансовая деятельность», «Транспорт и связь</w:t>
      </w:r>
      <w:r w:rsidRPr="001E12EC">
        <w:rPr>
          <w:rFonts w:ascii="Times New Roman" w:hAnsi="Times New Roman" w:cs="Times New Roman"/>
          <w:sz w:val="24"/>
          <w:szCs w:val="24"/>
        </w:rPr>
        <w:t>».</w:t>
      </w:r>
      <w:r w:rsidR="00AA4B40" w:rsidRPr="001E1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3AE" w:rsidRDefault="008513AE" w:rsidP="001575B4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1B1" w:rsidRPr="0093488F" w:rsidRDefault="00F341B1" w:rsidP="001575B4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4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Безработица</w:t>
      </w:r>
    </w:p>
    <w:p w:rsidR="00F341B1" w:rsidRPr="001E12EC" w:rsidRDefault="00F341B1" w:rsidP="001575B4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E12EC">
        <w:rPr>
          <w:rFonts w:ascii="Times New Roman" w:eastAsia="Calibri" w:hAnsi="Times New Roman" w:cs="Times New Roman"/>
          <w:sz w:val="24"/>
        </w:rPr>
        <w:t>Основные показатели безработицы - численность обратившихся в службу занятости населения и численность безработных граждан – за анализируемый период сни</w:t>
      </w:r>
      <w:r w:rsidR="00EC5727">
        <w:rPr>
          <w:rFonts w:ascii="Times New Roman" w:eastAsia="Calibri" w:hAnsi="Times New Roman" w:cs="Times New Roman"/>
          <w:sz w:val="24"/>
        </w:rPr>
        <w:t>зились</w:t>
      </w:r>
      <w:r w:rsidRPr="001E12EC">
        <w:rPr>
          <w:rFonts w:ascii="Times New Roman" w:eastAsia="Calibri" w:hAnsi="Times New Roman" w:cs="Times New Roman"/>
          <w:sz w:val="24"/>
        </w:rPr>
        <w:t>, свидетельствуя о достаточно стабильном положении на рынке труда.</w:t>
      </w:r>
      <w:r w:rsidR="00E926E2" w:rsidRPr="001E12EC">
        <w:rPr>
          <w:rFonts w:ascii="Times New Roman" w:eastAsia="Calibri" w:hAnsi="Times New Roman" w:cs="Times New Roman"/>
          <w:sz w:val="24"/>
        </w:rPr>
        <w:t xml:space="preserve"> </w:t>
      </w:r>
      <w:r w:rsidR="00EC5727">
        <w:rPr>
          <w:rFonts w:ascii="Times New Roman" w:eastAsia="Calibri" w:hAnsi="Times New Roman" w:cs="Times New Roman"/>
          <w:sz w:val="24"/>
        </w:rPr>
        <w:t>В течение</w:t>
      </w:r>
      <w:r w:rsidRPr="001E12EC">
        <w:rPr>
          <w:rFonts w:ascii="Times New Roman" w:eastAsia="Calibri" w:hAnsi="Times New Roman" w:cs="Times New Roman"/>
          <w:sz w:val="24"/>
        </w:rPr>
        <w:t xml:space="preserve"> 2014 год</w:t>
      </w:r>
      <w:r w:rsidR="00EC5727">
        <w:rPr>
          <w:rFonts w:ascii="Times New Roman" w:eastAsia="Calibri" w:hAnsi="Times New Roman" w:cs="Times New Roman"/>
          <w:sz w:val="24"/>
        </w:rPr>
        <w:t>а</w:t>
      </w:r>
      <w:r w:rsidRPr="001E12EC">
        <w:rPr>
          <w:rFonts w:ascii="Times New Roman" w:eastAsia="Calibri" w:hAnsi="Times New Roman" w:cs="Times New Roman"/>
          <w:sz w:val="24"/>
        </w:rPr>
        <w:t xml:space="preserve"> официально признаны безработными 691 человек, что ниже аналогичного показателя 2013 года на 4,6%.</w:t>
      </w:r>
      <w:r w:rsidR="00E926E2" w:rsidRPr="001E12EC">
        <w:rPr>
          <w:rFonts w:ascii="Times New Roman" w:eastAsia="Calibri" w:hAnsi="Times New Roman" w:cs="Times New Roman"/>
          <w:sz w:val="24"/>
        </w:rPr>
        <w:t xml:space="preserve"> </w:t>
      </w:r>
      <w:r w:rsidRPr="001E12EC">
        <w:rPr>
          <w:rFonts w:ascii="Times New Roman" w:eastAsia="Calibri" w:hAnsi="Times New Roman" w:cs="Times New Roman"/>
          <w:sz w:val="24"/>
        </w:rPr>
        <w:t xml:space="preserve">На 01.01.2015 число официально признанных безработными граждан выросло на 0,9% и составляет 235 человек против 233 на </w:t>
      </w:r>
      <w:r w:rsidR="00EC5727">
        <w:rPr>
          <w:rFonts w:ascii="Times New Roman" w:eastAsia="Calibri" w:hAnsi="Times New Roman" w:cs="Times New Roman"/>
          <w:sz w:val="24"/>
        </w:rPr>
        <w:t>01.01.2014</w:t>
      </w:r>
      <w:r w:rsidRPr="001E12EC">
        <w:rPr>
          <w:rFonts w:ascii="Times New Roman" w:eastAsia="Calibri" w:hAnsi="Times New Roman" w:cs="Times New Roman"/>
          <w:sz w:val="24"/>
        </w:rPr>
        <w:t xml:space="preserve">. </w:t>
      </w:r>
    </w:p>
    <w:p w:rsidR="00F341B1" w:rsidRPr="001E12EC" w:rsidRDefault="00F341B1" w:rsidP="001575B4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E12EC">
        <w:rPr>
          <w:rFonts w:ascii="Times New Roman" w:eastAsia="Calibri" w:hAnsi="Times New Roman" w:cs="Times New Roman"/>
          <w:sz w:val="24"/>
        </w:rPr>
        <w:t>Уровень регистрируемой безработицы составляет 0,5</w:t>
      </w:r>
      <w:r w:rsidR="00AF4D88">
        <w:rPr>
          <w:rFonts w:ascii="Times New Roman" w:eastAsia="Calibri" w:hAnsi="Times New Roman" w:cs="Times New Roman"/>
          <w:sz w:val="24"/>
        </w:rPr>
        <w:t>6% 2014 год</w:t>
      </w:r>
      <w:r w:rsidRPr="001E12EC">
        <w:rPr>
          <w:rFonts w:ascii="Times New Roman" w:eastAsia="Calibri" w:hAnsi="Times New Roman" w:cs="Times New Roman"/>
          <w:sz w:val="24"/>
        </w:rPr>
        <w:t>.</w:t>
      </w:r>
    </w:p>
    <w:p w:rsidR="00F341B1" w:rsidRPr="001E12EC" w:rsidRDefault="00F341B1" w:rsidP="001575B4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</w:t>
      </w:r>
      <w:r w:rsidRPr="001E12EC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услуг в области содействия занятости населения, 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снижения уровня безработицы и организации занятости населения на территории городского округа город Мегион реализуется программа «Содействие занятости населения </w:t>
      </w:r>
      <w:r w:rsidR="009C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Ханты-Мансийском автономном округе – Югре на 2014-2020 годы» по двум подпрограммам:</w:t>
      </w:r>
    </w:p>
    <w:p w:rsidR="00F341B1" w:rsidRPr="001E12EC" w:rsidRDefault="00F341B1" w:rsidP="0015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1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«Содействие трудоустройству граждан»;</w:t>
      </w:r>
    </w:p>
    <w:p w:rsidR="00F341B1" w:rsidRPr="001E12EC" w:rsidRDefault="00F341B1" w:rsidP="0015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-«Дополнительные мероприятия в области содействия занятости населения»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1B1" w:rsidRPr="001E12EC" w:rsidRDefault="00F341B1" w:rsidP="001575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рамках данной программы с начала 2014 года трудоустроены 1123 человека, из которых на временную занятость трудоустроены 1020 подростков в возрасте от 14 до 18 лет. </w:t>
      </w:r>
      <w:r w:rsidR="00D33AF4">
        <w:rPr>
          <w:rFonts w:ascii="Times New Roman" w:eastAsia="Calibri" w:hAnsi="Times New Roman" w:cs="Times New Roman"/>
          <w:sz w:val="24"/>
          <w:szCs w:val="24"/>
        </w:rPr>
        <w:t>По-</w:t>
      </w:r>
      <w:r w:rsidRPr="001E12EC">
        <w:rPr>
          <w:rFonts w:ascii="Times New Roman" w:eastAsia="Calibri" w:hAnsi="Times New Roman" w:cs="Times New Roman"/>
          <w:sz w:val="24"/>
          <w:szCs w:val="24"/>
        </w:rPr>
        <w:t>прежнему особое</w:t>
      </w:r>
      <w:r w:rsidRPr="001E12EC">
        <w:rPr>
          <w:rFonts w:ascii="Times New Roman" w:eastAsia="Calibri" w:hAnsi="Times New Roman" w:cs="Times New Roman"/>
          <w:sz w:val="24"/>
        </w:rPr>
        <w:t xml:space="preserve"> внимание уделялось трудоустройству подростков из льготных категорий семей: неполных, многодетных семей и семей, потерявших кормильца, семей, где родители являются безработными, дети родителей–инвалидов, подростки, состоящие на учёте в Комиссии по делам несовершеннолетних, дети-сироты и дети, оставшиеся без попечения родителей и т.д.  </w:t>
      </w:r>
    </w:p>
    <w:p w:rsidR="00F341B1" w:rsidRPr="001E12EC" w:rsidRDefault="00F341B1" w:rsidP="001575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1E12EC">
        <w:rPr>
          <w:rFonts w:ascii="Times New Roman" w:eastAsia="Calibri" w:hAnsi="Times New Roman" w:cs="Times New Roman"/>
          <w:sz w:val="24"/>
          <w:szCs w:val="24"/>
        </w:rPr>
        <w:t xml:space="preserve">За 2014 год создано </w:t>
      </w:r>
      <w:r w:rsidRPr="001E12EC">
        <w:rPr>
          <w:rFonts w:ascii="Times New Roman" w:eastAsia="Calibri" w:hAnsi="Times New Roman" w:cs="Times New Roman"/>
          <w:sz w:val="24"/>
        </w:rPr>
        <w:t xml:space="preserve">162 </w:t>
      </w:r>
      <w:r w:rsidRPr="001E12EC">
        <w:rPr>
          <w:rFonts w:ascii="Times New Roman" w:eastAsia="Calibri" w:hAnsi="Times New Roman" w:cs="Times New Roman"/>
          <w:sz w:val="24"/>
          <w:szCs w:val="24"/>
        </w:rPr>
        <w:t>постоянных р</w:t>
      </w:r>
      <w:r w:rsidRPr="001E12EC">
        <w:rPr>
          <w:rFonts w:ascii="Times New Roman" w:eastAsia="Calibri" w:hAnsi="Times New Roman" w:cs="Times New Roman"/>
          <w:sz w:val="24"/>
        </w:rPr>
        <w:t>абочих места для инвалидов</w:t>
      </w:r>
      <w:r w:rsidRPr="001E12EC">
        <w:rPr>
          <w:rFonts w:ascii="Times New Roman" w:eastAsia="Calibri" w:hAnsi="Times New Roman" w:cs="Times New Roman"/>
          <w:sz w:val="24"/>
          <w:szCs w:val="24"/>
        </w:rPr>
        <w:t>,</w:t>
      </w:r>
      <w:r w:rsidRPr="001E12EC">
        <w:rPr>
          <w:rFonts w:ascii="Times New Roman" w:eastAsia="Calibri" w:hAnsi="Times New Roman" w:cs="Times New Roman"/>
          <w:sz w:val="24"/>
        </w:rPr>
        <w:t xml:space="preserve"> в том числе 20 </w:t>
      </w:r>
      <w:r w:rsidRPr="001E12EC">
        <w:rPr>
          <w:rFonts w:ascii="Times New Roman" w:eastAsia="Calibri" w:hAnsi="Times New Roman" w:cs="Times New Roman"/>
          <w:sz w:val="24"/>
          <w:szCs w:val="24"/>
        </w:rPr>
        <w:t xml:space="preserve"> специальных рабочих мест</w:t>
      </w:r>
      <w:r w:rsidRPr="001E12EC">
        <w:rPr>
          <w:rFonts w:ascii="Times New Roman" w:eastAsia="Calibri" w:hAnsi="Times New Roman" w:cs="Times New Roman"/>
          <w:sz w:val="24"/>
        </w:rPr>
        <w:t>.</w:t>
      </w:r>
      <w:r w:rsidRPr="001E1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12EC">
        <w:rPr>
          <w:rFonts w:ascii="Times New Roman" w:eastAsia="Calibri" w:hAnsi="Times New Roman" w:cs="Times New Roman"/>
          <w:sz w:val="24"/>
        </w:rPr>
        <w:t>На созданных рабочих местах р</w:t>
      </w:r>
      <w:r w:rsidRPr="001E12EC">
        <w:rPr>
          <w:rFonts w:ascii="Times New Roman" w:eastAsia="Calibri" w:hAnsi="Times New Roman" w:cs="Times New Roman"/>
          <w:sz w:val="24"/>
          <w:szCs w:val="24"/>
        </w:rPr>
        <w:t>аботают</w:t>
      </w:r>
      <w:r w:rsidRPr="001E12EC">
        <w:rPr>
          <w:rFonts w:ascii="Times New Roman" w:eastAsia="Calibri" w:hAnsi="Times New Roman" w:cs="Times New Roman"/>
          <w:sz w:val="24"/>
        </w:rPr>
        <w:t xml:space="preserve">  92 инвалида, в том числе </w:t>
      </w:r>
      <w:r w:rsidRPr="001E12EC">
        <w:rPr>
          <w:rFonts w:ascii="Times New Roman" w:eastAsia="Calibri" w:hAnsi="Times New Roman" w:cs="Times New Roman"/>
          <w:sz w:val="24"/>
          <w:szCs w:val="24"/>
        </w:rPr>
        <w:t>17 чел</w:t>
      </w:r>
      <w:r w:rsidRPr="001E12EC">
        <w:rPr>
          <w:rFonts w:ascii="Times New Roman" w:eastAsia="Calibri" w:hAnsi="Times New Roman" w:cs="Times New Roman"/>
          <w:sz w:val="24"/>
        </w:rPr>
        <w:t>овек</w:t>
      </w:r>
      <w:r w:rsidRPr="001E12EC">
        <w:rPr>
          <w:rFonts w:ascii="Times New Roman" w:eastAsia="Calibri" w:hAnsi="Times New Roman" w:cs="Times New Roman"/>
          <w:sz w:val="24"/>
          <w:szCs w:val="24"/>
        </w:rPr>
        <w:t xml:space="preserve"> на специальных рабочих местах</w:t>
      </w:r>
      <w:r w:rsidRPr="001E12EC">
        <w:rPr>
          <w:rFonts w:ascii="Times New Roman" w:eastAsia="Calibri" w:hAnsi="Times New Roman" w:cs="Times New Roman"/>
          <w:sz w:val="24"/>
        </w:rPr>
        <w:t>. В муниципальные учреждения трудоустроены 5 человек.</w:t>
      </w:r>
    </w:p>
    <w:p w:rsidR="00F341B1" w:rsidRPr="001E12EC" w:rsidRDefault="00F341B1" w:rsidP="001575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1E12EC">
        <w:rPr>
          <w:rFonts w:ascii="Times New Roman" w:eastAsia="Calibri" w:hAnsi="Times New Roman" w:cs="Times New Roman"/>
          <w:sz w:val="24"/>
        </w:rPr>
        <w:t>Для трудоустройства лиц, освободившихся из мест лишения свободы и испытывающих трудности в поиске работы, на предприятиях города зарезервировано 6 временных  рабочих мест. В течение года трудоустроились 5 лиц данной категории.</w:t>
      </w:r>
    </w:p>
    <w:p w:rsidR="00F341B1" w:rsidRPr="001E12EC" w:rsidRDefault="00F341B1" w:rsidP="001575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1E12EC">
        <w:rPr>
          <w:rFonts w:ascii="Times New Roman" w:eastAsia="Calibri" w:hAnsi="Times New Roman" w:cs="Times New Roman"/>
          <w:sz w:val="24"/>
        </w:rPr>
        <w:t>В 2014 году дополнительно создано 5 постоянных</w:t>
      </w:r>
      <w:r w:rsidR="003265ED">
        <w:rPr>
          <w:rFonts w:ascii="Times New Roman" w:eastAsia="Calibri" w:hAnsi="Times New Roman" w:cs="Times New Roman"/>
          <w:sz w:val="24"/>
        </w:rPr>
        <w:t xml:space="preserve"> рабочих мест</w:t>
      </w:r>
      <w:r w:rsidRPr="001E12EC">
        <w:rPr>
          <w:rFonts w:ascii="Times New Roman" w:eastAsia="Calibri" w:hAnsi="Times New Roman" w:cs="Times New Roman"/>
          <w:sz w:val="24"/>
        </w:rPr>
        <w:t>.</w:t>
      </w:r>
    </w:p>
    <w:p w:rsidR="00F341B1" w:rsidRPr="001E12EC" w:rsidRDefault="00F341B1" w:rsidP="001575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1E12EC">
        <w:rPr>
          <w:rFonts w:ascii="Times New Roman" w:eastAsia="Calibri" w:hAnsi="Times New Roman" w:cs="Times New Roman"/>
          <w:sz w:val="24"/>
        </w:rPr>
        <w:t xml:space="preserve">За 2014 год 85 человек </w:t>
      </w:r>
      <w:r w:rsidR="002D2967" w:rsidRPr="001E12EC">
        <w:rPr>
          <w:rFonts w:ascii="Times New Roman" w:eastAsia="Calibri" w:hAnsi="Times New Roman" w:cs="Times New Roman"/>
          <w:sz w:val="24"/>
        </w:rPr>
        <w:t xml:space="preserve">из числа безработных граждан прошли </w:t>
      </w:r>
      <w:r w:rsidR="002D2967" w:rsidRPr="001E12EC">
        <w:rPr>
          <w:rFonts w:ascii="Times New Roman" w:eastAsia="Calibri" w:hAnsi="Times New Roman" w:cs="Times New Roman"/>
          <w:sz w:val="24"/>
          <w:szCs w:val="24"/>
        </w:rPr>
        <w:t>профессиональную подготовку, переподготовку и повышение квалификации (</w:t>
      </w:r>
      <w:r w:rsidR="00812CDB">
        <w:rPr>
          <w:rFonts w:ascii="Times New Roman" w:eastAsia="Calibri" w:hAnsi="Times New Roman" w:cs="Times New Roman"/>
          <w:sz w:val="24"/>
        </w:rPr>
        <w:t>89</w:t>
      </w:r>
      <w:r w:rsidRPr="001E12EC">
        <w:rPr>
          <w:rFonts w:ascii="Times New Roman" w:eastAsia="Calibri" w:hAnsi="Times New Roman" w:cs="Times New Roman"/>
          <w:sz w:val="24"/>
        </w:rPr>
        <w:t xml:space="preserve"> в 2013 году</w:t>
      </w:r>
      <w:r w:rsidR="002D2967" w:rsidRPr="001E12EC">
        <w:rPr>
          <w:rFonts w:ascii="Times New Roman" w:eastAsia="Calibri" w:hAnsi="Times New Roman" w:cs="Times New Roman"/>
          <w:sz w:val="24"/>
        </w:rPr>
        <w:t>)</w:t>
      </w:r>
      <w:r w:rsidRPr="001E12EC">
        <w:rPr>
          <w:rFonts w:ascii="Times New Roman" w:eastAsia="Calibri" w:hAnsi="Times New Roman" w:cs="Times New Roman"/>
          <w:sz w:val="24"/>
        </w:rPr>
        <w:t xml:space="preserve">. </w:t>
      </w:r>
    </w:p>
    <w:p w:rsidR="00F341B1" w:rsidRPr="001E12EC" w:rsidRDefault="00F341B1" w:rsidP="001575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1E12EC">
        <w:rPr>
          <w:rFonts w:ascii="Times New Roman" w:eastAsia="Calibri" w:hAnsi="Times New Roman" w:cs="Times New Roman"/>
          <w:sz w:val="24"/>
        </w:rPr>
        <w:t>Заявленная в течение 2014 года потребность в рабочей силе составила 4977 вакансий, меньше, чем  2013 году на 18,4% (6098 вакансий).</w:t>
      </w:r>
    </w:p>
    <w:p w:rsidR="00E5007D" w:rsidRDefault="00E5007D" w:rsidP="0015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7329" w:rsidRPr="0093488F" w:rsidRDefault="00DF7329" w:rsidP="0015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4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Прогноз </w:t>
      </w:r>
      <w:r w:rsidR="007C7714" w:rsidRPr="00934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показателей </w:t>
      </w:r>
      <w:r w:rsidRPr="00934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трудовых ресурсов</w:t>
      </w:r>
    </w:p>
    <w:p w:rsidR="00DF7329" w:rsidRPr="001E12EC" w:rsidRDefault="00DF7329" w:rsidP="001575B4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Оценочная и прогнозная численность трудовых ресурсов рассчитана с учётом повозрастного смещения численности поколений.</w:t>
      </w:r>
      <w:r w:rsidR="00A76E7D" w:rsidRPr="001E12EC">
        <w:rPr>
          <w:rFonts w:ascii="Times New Roman" w:hAnsi="Times New Roman" w:cs="Times New Roman"/>
          <w:sz w:val="24"/>
          <w:szCs w:val="24"/>
        </w:rPr>
        <w:t xml:space="preserve"> </w:t>
      </w:r>
      <w:r w:rsidRPr="001E12EC">
        <w:rPr>
          <w:rFonts w:ascii="Times New Roman" w:hAnsi="Times New Roman" w:cs="Times New Roman"/>
          <w:sz w:val="24"/>
          <w:szCs w:val="24"/>
        </w:rPr>
        <w:t>По оценке чи</w:t>
      </w:r>
      <w:r w:rsidR="0054381A" w:rsidRPr="001E12EC">
        <w:rPr>
          <w:rFonts w:ascii="Times New Roman" w:hAnsi="Times New Roman" w:cs="Times New Roman"/>
          <w:sz w:val="24"/>
          <w:szCs w:val="24"/>
        </w:rPr>
        <w:t>сленность трудовых ресурсов 2015</w:t>
      </w:r>
      <w:r w:rsidRPr="001E12EC">
        <w:rPr>
          <w:rFonts w:ascii="Times New Roman" w:hAnsi="Times New Roman" w:cs="Times New Roman"/>
          <w:sz w:val="24"/>
          <w:szCs w:val="24"/>
        </w:rPr>
        <w:t xml:space="preserve"> года сохранится на уровне показателя 201</w:t>
      </w:r>
      <w:r w:rsidR="0054381A" w:rsidRPr="001E12EC">
        <w:rPr>
          <w:rFonts w:ascii="Times New Roman" w:hAnsi="Times New Roman" w:cs="Times New Roman"/>
          <w:sz w:val="24"/>
          <w:szCs w:val="24"/>
        </w:rPr>
        <w:t>4</w:t>
      </w:r>
      <w:r w:rsidRPr="001E12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7329" w:rsidRPr="001E12EC" w:rsidRDefault="008F7F13" w:rsidP="001575B4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В</w:t>
      </w:r>
      <w:r w:rsidR="00DF7329" w:rsidRPr="001E12EC">
        <w:rPr>
          <w:rFonts w:ascii="Times New Roman" w:hAnsi="Times New Roman" w:cs="Times New Roman"/>
          <w:sz w:val="24"/>
          <w:szCs w:val="24"/>
        </w:rPr>
        <w:t xml:space="preserve"> прогнозные периоды существенного изменения численности трудовых ресурсов не </w:t>
      </w:r>
      <w:r w:rsidRPr="001E12EC">
        <w:rPr>
          <w:rFonts w:ascii="Times New Roman" w:hAnsi="Times New Roman" w:cs="Times New Roman"/>
          <w:sz w:val="24"/>
          <w:szCs w:val="24"/>
        </w:rPr>
        <w:t xml:space="preserve">произойдёт, </w:t>
      </w:r>
      <w:r w:rsidR="00DF7329" w:rsidRPr="001E12EC"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="0054381A" w:rsidRPr="001E12EC">
        <w:rPr>
          <w:rFonts w:ascii="Times New Roman" w:hAnsi="Times New Roman" w:cs="Times New Roman"/>
          <w:sz w:val="24"/>
          <w:szCs w:val="24"/>
        </w:rPr>
        <w:t xml:space="preserve">незначительное </w:t>
      </w:r>
      <w:r w:rsidR="00DF7329" w:rsidRPr="001E12EC">
        <w:rPr>
          <w:rFonts w:ascii="Times New Roman" w:hAnsi="Times New Roman" w:cs="Times New Roman"/>
          <w:sz w:val="24"/>
          <w:szCs w:val="24"/>
        </w:rPr>
        <w:t>увеличение численности населения</w:t>
      </w:r>
      <w:r w:rsidR="0054381A" w:rsidRPr="001E12EC">
        <w:rPr>
          <w:rFonts w:ascii="Times New Roman" w:hAnsi="Times New Roman" w:cs="Times New Roman"/>
          <w:sz w:val="24"/>
          <w:szCs w:val="24"/>
        </w:rPr>
        <w:t>, так как п</w:t>
      </w:r>
      <w:r w:rsidR="00DF7329" w:rsidRPr="001E12EC">
        <w:rPr>
          <w:rFonts w:ascii="Times New Roman" w:hAnsi="Times New Roman" w:cs="Times New Roman"/>
          <w:sz w:val="24"/>
          <w:szCs w:val="24"/>
        </w:rPr>
        <w:t xml:space="preserve">рирастать будет численность населения младше трудоспособного и старше трудоспособного возрастов. </w:t>
      </w:r>
      <w:r w:rsidR="001A3A31" w:rsidRPr="001E12EC">
        <w:rPr>
          <w:rFonts w:ascii="Times New Roman" w:hAnsi="Times New Roman" w:cs="Times New Roman"/>
          <w:sz w:val="24"/>
          <w:szCs w:val="24"/>
        </w:rPr>
        <w:t>Численность трудоспособного населения наоборот будет только снижаться</w:t>
      </w:r>
      <w:r w:rsidR="0095053C" w:rsidRPr="001E12EC">
        <w:rPr>
          <w:rFonts w:ascii="Times New Roman" w:hAnsi="Times New Roman" w:cs="Times New Roman"/>
          <w:sz w:val="24"/>
          <w:szCs w:val="24"/>
        </w:rPr>
        <w:t>,</w:t>
      </w:r>
      <w:r w:rsidR="001A3A31" w:rsidRPr="001E12EC">
        <w:rPr>
          <w:rFonts w:ascii="Times New Roman" w:hAnsi="Times New Roman" w:cs="Times New Roman"/>
          <w:sz w:val="24"/>
          <w:szCs w:val="24"/>
        </w:rPr>
        <w:t xml:space="preserve"> в пределах </w:t>
      </w:r>
      <w:r w:rsidR="008C7339">
        <w:rPr>
          <w:rFonts w:ascii="Times New Roman" w:hAnsi="Times New Roman" w:cs="Times New Roman"/>
          <w:sz w:val="24"/>
          <w:szCs w:val="24"/>
        </w:rPr>
        <w:t>0</w:t>
      </w:r>
      <w:r w:rsidR="001A3A31" w:rsidRPr="001E12EC">
        <w:rPr>
          <w:rFonts w:ascii="Times New Roman" w:hAnsi="Times New Roman" w:cs="Times New Roman"/>
          <w:sz w:val="24"/>
          <w:szCs w:val="24"/>
        </w:rPr>
        <w:t>,</w:t>
      </w:r>
      <w:r w:rsidR="008C7339">
        <w:rPr>
          <w:rFonts w:ascii="Times New Roman" w:hAnsi="Times New Roman" w:cs="Times New Roman"/>
          <w:sz w:val="24"/>
          <w:szCs w:val="24"/>
        </w:rPr>
        <w:t>5-1,</w:t>
      </w:r>
      <w:r w:rsidR="001A3A31" w:rsidRPr="001E12EC">
        <w:rPr>
          <w:rFonts w:ascii="Times New Roman" w:hAnsi="Times New Roman" w:cs="Times New Roman"/>
          <w:sz w:val="24"/>
          <w:szCs w:val="24"/>
        </w:rPr>
        <w:t>5% ежегодно.</w:t>
      </w:r>
    </w:p>
    <w:p w:rsidR="00DF7329" w:rsidRPr="001E12EC" w:rsidRDefault="00DF7329" w:rsidP="001575B4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С учётом данного фактора прогнозируемая численность трудовых ресурсов по I варианту развития составит:</w:t>
      </w:r>
    </w:p>
    <w:p w:rsidR="00DF7329" w:rsidRPr="001E12EC" w:rsidRDefault="00DF7329" w:rsidP="001575B4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-в 20</w:t>
      </w:r>
      <w:r w:rsidR="00174801" w:rsidRPr="001E12EC">
        <w:rPr>
          <w:rFonts w:ascii="Times New Roman" w:hAnsi="Times New Roman" w:cs="Times New Roman"/>
          <w:sz w:val="24"/>
          <w:szCs w:val="24"/>
        </w:rPr>
        <w:t>16</w:t>
      </w:r>
      <w:r w:rsidRPr="001E12E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74801" w:rsidRPr="001E12EC">
        <w:rPr>
          <w:rFonts w:ascii="Times New Roman" w:hAnsi="Times New Roman" w:cs="Times New Roman"/>
          <w:sz w:val="24"/>
          <w:szCs w:val="24"/>
        </w:rPr>
        <w:t>39670</w:t>
      </w:r>
      <w:r w:rsidRPr="001E12EC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DF7329" w:rsidRPr="001E12EC" w:rsidRDefault="00DF7329" w:rsidP="001575B4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-в 201</w:t>
      </w:r>
      <w:r w:rsidR="00174801" w:rsidRPr="001E12EC">
        <w:rPr>
          <w:rFonts w:ascii="Times New Roman" w:hAnsi="Times New Roman" w:cs="Times New Roman"/>
          <w:sz w:val="24"/>
          <w:szCs w:val="24"/>
        </w:rPr>
        <w:t>7</w:t>
      </w:r>
      <w:r w:rsidRPr="001E12EC">
        <w:rPr>
          <w:rFonts w:ascii="Times New Roman" w:hAnsi="Times New Roman" w:cs="Times New Roman"/>
          <w:sz w:val="24"/>
          <w:szCs w:val="24"/>
        </w:rPr>
        <w:t xml:space="preserve"> году 39</w:t>
      </w:r>
      <w:r w:rsidR="00174801" w:rsidRPr="001E12EC">
        <w:rPr>
          <w:rFonts w:ascii="Times New Roman" w:hAnsi="Times New Roman" w:cs="Times New Roman"/>
          <w:sz w:val="24"/>
          <w:szCs w:val="24"/>
        </w:rPr>
        <w:t>595</w:t>
      </w:r>
      <w:r w:rsidRPr="001E12EC">
        <w:rPr>
          <w:rFonts w:ascii="Times New Roman" w:hAnsi="Times New Roman" w:cs="Times New Roman"/>
          <w:sz w:val="24"/>
          <w:szCs w:val="24"/>
        </w:rPr>
        <w:t xml:space="preserve"> </w:t>
      </w:r>
      <w:r w:rsidR="00174801" w:rsidRPr="001E12EC">
        <w:rPr>
          <w:rFonts w:ascii="Times New Roman" w:hAnsi="Times New Roman" w:cs="Times New Roman"/>
          <w:sz w:val="24"/>
          <w:szCs w:val="24"/>
        </w:rPr>
        <w:t>человек</w:t>
      </w:r>
      <w:r w:rsidRPr="001E12EC">
        <w:rPr>
          <w:rFonts w:ascii="Times New Roman" w:hAnsi="Times New Roman" w:cs="Times New Roman"/>
          <w:sz w:val="24"/>
          <w:szCs w:val="24"/>
        </w:rPr>
        <w:t>;</w:t>
      </w:r>
    </w:p>
    <w:p w:rsidR="00DF7329" w:rsidRPr="001E12EC" w:rsidRDefault="00DF7329" w:rsidP="001575B4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-в 201</w:t>
      </w:r>
      <w:r w:rsidR="00174801" w:rsidRPr="001E12EC">
        <w:rPr>
          <w:rFonts w:ascii="Times New Roman" w:hAnsi="Times New Roman" w:cs="Times New Roman"/>
          <w:sz w:val="24"/>
          <w:szCs w:val="24"/>
        </w:rPr>
        <w:t>8</w:t>
      </w:r>
      <w:r w:rsidRPr="001E12E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74801" w:rsidRPr="001E12EC">
        <w:rPr>
          <w:rFonts w:ascii="Times New Roman" w:hAnsi="Times New Roman" w:cs="Times New Roman"/>
          <w:sz w:val="24"/>
          <w:szCs w:val="24"/>
        </w:rPr>
        <w:t>39496</w:t>
      </w:r>
      <w:r w:rsidRPr="001E12E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F7329" w:rsidRPr="001E12EC" w:rsidRDefault="00DF7329" w:rsidP="001575B4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По II варианту развития:</w:t>
      </w:r>
    </w:p>
    <w:p w:rsidR="00DF7329" w:rsidRPr="001E12EC" w:rsidRDefault="00DF7329" w:rsidP="001575B4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-в 201</w:t>
      </w:r>
      <w:r w:rsidR="00174801" w:rsidRPr="001E12EC">
        <w:rPr>
          <w:rFonts w:ascii="Times New Roman" w:hAnsi="Times New Roman" w:cs="Times New Roman"/>
          <w:sz w:val="24"/>
          <w:szCs w:val="24"/>
        </w:rPr>
        <w:t>6</w:t>
      </w:r>
      <w:r w:rsidRPr="001E12EC">
        <w:rPr>
          <w:rFonts w:ascii="Times New Roman" w:hAnsi="Times New Roman" w:cs="Times New Roman"/>
          <w:sz w:val="24"/>
          <w:szCs w:val="24"/>
        </w:rPr>
        <w:t xml:space="preserve"> году 39</w:t>
      </w:r>
      <w:r w:rsidR="00174801" w:rsidRPr="001E12EC">
        <w:rPr>
          <w:rFonts w:ascii="Times New Roman" w:hAnsi="Times New Roman" w:cs="Times New Roman"/>
          <w:sz w:val="24"/>
          <w:szCs w:val="24"/>
        </w:rPr>
        <w:t>695</w:t>
      </w:r>
      <w:r w:rsidRPr="001E12EC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DF7329" w:rsidRPr="001E12EC" w:rsidRDefault="00174801" w:rsidP="001575B4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-в 2017</w:t>
      </w:r>
      <w:r w:rsidR="00DF7329" w:rsidRPr="001E12EC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1E12EC">
        <w:rPr>
          <w:rFonts w:ascii="Times New Roman" w:hAnsi="Times New Roman" w:cs="Times New Roman"/>
          <w:sz w:val="24"/>
          <w:szCs w:val="24"/>
        </w:rPr>
        <w:t>39679</w:t>
      </w:r>
      <w:r w:rsidR="00DF7329" w:rsidRPr="001E12EC"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:rsidR="00DF7329" w:rsidRPr="001E12EC" w:rsidRDefault="00174801" w:rsidP="001575B4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-в 2018</w:t>
      </w:r>
      <w:r w:rsidR="00DF7329" w:rsidRPr="001E12EC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1E12EC">
        <w:rPr>
          <w:rFonts w:ascii="Times New Roman" w:hAnsi="Times New Roman" w:cs="Times New Roman"/>
          <w:sz w:val="24"/>
          <w:szCs w:val="24"/>
        </w:rPr>
        <w:t>39655</w:t>
      </w:r>
      <w:r w:rsidR="00DF7329" w:rsidRPr="001E12E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F7329" w:rsidRPr="001E12EC" w:rsidRDefault="00DF7329" w:rsidP="001575B4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 xml:space="preserve">В оценочном году численность занятого в экономике населения </w:t>
      </w:r>
      <w:r w:rsidR="008C7339">
        <w:rPr>
          <w:rFonts w:ascii="Times New Roman" w:hAnsi="Times New Roman" w:cs="Times New Roman"/>
          <w:sz w:val="24"/>
          <w:szCs w:val="24"/>
        </w:rPr>
        <w:t>также сохранится на уровне показателя 2014 года</w:t>
      </w:r>
      <w:r w:rsidRPr="001E12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7329" w:rsidRPr="001E12EC" w:rsidRDefault="00DF7329" w:rsidP="001575B4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12E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972A9" w:rsidRPr="001E12EC">
        <w:rPr>
          <w:rFonts w:ascii="Times New Roman" w:hAnsi="Times New Roman" w:cs="Times New Roman"/>
          <w:sz w:val="24"/>
          <w:szCs w:val="24"/>
        </w:rPr>
        <w:t xml:space="preserve">С 2016 по 2018 год численность занятого в экономике населения </w:t>
      </w:r>
      <w:r w:rsidR="000A5BBD" w:rsidRPr="001E12EC">
        <w:rPr>
          <w:rFonts w:ascii="Times New Roman" w:hAnsi="Times New Roman" w:cs="Times New Roman"/>
          <w:sz w:val="24"/>
          <w:szCs w:val="24"/>
        </w:rPr>
        <w:t>снизится на 383 человека по первому базовому варианту развития и на 220 человек по умеренно оптимистичному варианту</w:t>
      </w:r>
      <w:r w:rsidRPr="001E12EC">
        <w:rPr>
          <w:rFonts w:ascii="Times New Roman" w:hAnsi="Times New Roman" w:cs="Times New Roman"/>
          <w:sz w:val="24"/>
          <w:szCs w:val="24"/>
        </w:rPr>
        <w:t xml:space="preserve"> по годам составит:</w:t>
      </w:r>
    </w:p>
    <w:p w:rsidR="00DF7329" w:rsidRPr="001E12EC" w:rsidRDefault="00DF7329" w:rsidP="001575B4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1975"/>
        <w:gridCol w:w="1977"/>
        <w:gridCol w:w="1975"/>
        <w:gridCol w:w="1977"/>
      </w:tblGrid>
      <w:tr w:rsidR="00A9472B" w:rsidRPr="001E12EC" w:rsidTr="00A9472B">
        <w:trPr>
          <w:trHeight w:val="829"/>
        </w:trPr>
        <w:tc>
          <w:tcPr>
            <w:tcW w:w="1975" w:type="dxa"/>
            <w:shd w:val="clear" w:color="auto" w:fill="auto"/>
            <w:vAlign w:val="center"/>
          </w:tcPr>
          <w:p w:rsidR="00DF7329" w:rsidRPr="001E12EC" w:rsidRDefault="00DF7329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0945CA" w:rsidRPr="001E12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 xml:space="preserve"> год прогноз,</w:t>
            </w:r>
          </w:p>
          <w:p w:rsidR="00DF7329" w:rsidRPr="001E12EC" w:rsidRDefault="00DF7329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F7329" w:rsidRPr="001E12EC" w:rsidRDefault="00DF7329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945CA" w:rsidRPr="001E12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 xml:space="preserve"> год прогноз, тыс. человек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F7329" w:rsidRPr="001E12EC" w:rsidRDefault="00DF7329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%, 201</w:t>
            </w:r>
            <w:r w:rsidR="000945CA" w:rsidRPr="001E12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 xml:space="preserve"> к 201</w:t>
            </w:r>
            <w:r w:rsidR="000945CA" w:rsidRPr="001E12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F7329" w:rsidRPr="001E12EC" w:rsidRDefault="00DF7329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945CA" w:rsidRPr="001E12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 xml:space="preserve"> год прогноз, тыс. человек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F7329" w:rsidRPr="001E12EC" w:rsidRDefault="00DF7329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%,  201</w:t>
            </w:r>
            <w:r w:rsidR="000945CA" w:rsidRPr="001E12EC">
              <w:rPr>
                <w:rFonts w:ascii="Times New Roman" w:hAnsi="Times New Roman" w:cs="Times New Roman"/>
                <w:sz w:val="20"/>
                <w:szCs w:val="20"/>
              </w:rPr>
              <w:t>8 к 2017</w:t>
            </w:r>
          </w:p>
        </w:tc>
      </w:tr>
      <w:tr w:rsidR="00A9472B" w:rsidRPr="001E12EC" w:rsidTr="00A9472B">
        <w:trPr>
          <w:trHeight w:val="284"/>
        </w:trPr>
        <w:tc>
          <w:tcPr>
            <w:tcW w:w="1975" w:type="dxa"/>
            <w:shd w:val="clear" w:color="auto" w:fill="auto"/>
            <w:vAlign w:val="center"/>
          </w:tcPr>
          <w:p w:rsidR="00DF7329" w:rsidRPr="001E12EC" w:rsidRDefault="00A9472B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33754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F7329" w:rsidRPr="001E12EC" w:rsidRDefault="00A9472B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33551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F7329" w:rsidRPr="001E12EC" w:rsidRDefault="00A9472B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F7329" w:rsidRPr="001E12EC" w:rsidRDefault="00A9472B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33371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F7329" w:rsidRPr="001E12EC" w:rsidRDefault="00A9472B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</w:tbl>
    <w:p w:rsidR="00DF7329" w:rsidRPr="001E12EC" w:rsidRDefault="00DF7329" w:rsidP="001575B4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F7329" w:rsidRPr="001E12EC" w:rsidRDefault="00DF7329" w:rsidP="001575B4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E12EC">
        <w:rPr>
          <w:rFonts w:ascii="Times New Roman" w:hAnsi="Times New Roman" w:cs="Times New Roman"/>
          <w:sz w:val="24"/>
          <w:szCs w:val="24"/>
        </w:rPr>
        <w:t xml:space="preserve">По </w:t>
      </w:r>
      <w:r w:rsidRPr="001E12E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E12EC">
        <w:rPr>
          <w:rFonts w:ascii="Times New Roman" w:hAnsi="Times New Roman" w:cs="Times New Roman"/>
          <w:sz w:val="24"/>
          <w:szCs w:val="24"/>
        </w:rPr>
        <w:t xml:space="preserve"> варианту развития предполагается более благоприятное развитие ситуации</w:t>
      </w:r>
      <w:r w:rsidR="00A66BAB" w:rsidRPr="001E12EC">
        <w:rPr>
          <w:rFonts w:ascii="Times New Roman" w:hAnsi="Times New Roman" w:cs="Times New Roman"/>
          <w:sz w:val="24"/>
          <w:szCs w:val="24"/>
        </w:rPr>
        <w:t>,</w:t>
      </w:r>
      <w:r w:rsidR="00A9472B" w:rsidRPr="001E12EC">
        <w:rPr>
          <w:rFonts w:ascii="Times New Roman" w:hAnsi="Times New Roman" w:cs="Times New Roman"/>
          <w:sz w:val="24"/>
          <w:szCs w:val="24"/>
        </w:rPr>
        <w:t xml:space="preserve"> и</w:t>
      </w:r>
      <w:r w:rsidRPr="001E12EC">
        <w:rPr>
          <w:rFonts w:ascii="Times New Roman" w:hAnsi="Times New Roman" w:cs="Times New Roman"/>
          <w:sz w:val="24"/>
          <w:szCs w:val="24"/>
        </w:rPr>
        <w:t xml:space="preserve"> численность прогнозируется в следующих параметрах:</w:t>
      </w:r>
    </w:p>
    <w:p w:rsidR="00DF7329" w:rsidRPr="001E12EC" w:rsidRDefault="00DF7329" w:rsidP="001575B4">
      <w:pPr>
        <w:widowControl w:val="0"/>
        <w:tabs>
          <w:tab w:val="left" w:pos="7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E12EC">
        <w:rPr>
          <w:rFonts w:ascii="Times New Roman" w:hAnsi="Times New Roman" w:cs="Times New Roman"/>
          <w:sz w:val="20"/>
          <w:szCs w:val="20"/>
        </w:rPr>
        <w:t>тыс. человек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961"/>
        <w:gridCol w:w="1963"/>
        <w:gridCol w:w="1961"/>
        <w:gridCol w:w="1963"/>
      </w:tblGrid>
      <w:tr w:rsidR="004F7B9B" w:rsidRPr="001E12EC" w:rsidTr="00A9472B">
        <w:trPr>
          <w:trHeight w:val="870"/>
        </w:trPr>
        <w:tc>
          <w:tcPr>
            <w:tcW w:w="1961" w:type="dxa"/>
            <w:shd w:val="clear" w:color="auto" w:fill="auto"/>
            <w:vAlign w:val="center"/>
          </w:tcPr>
          <w:p w:rsidR="004F7B9B" w:rsidRPr="001E12EC" w:rsidRDefault="004F7B9B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2016 год прогноз,</w:t>
            </w:r>
          </w:p>
          <w:p w:rsidR="004F7B9B" w:rsidRPr="001E12EC" w:rsidRDefault="004F7B9B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F7B9B" w:rsidRPr="001E12EC" w:rsidRDefault="004F7B9B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2017 год прогноз, тыс. человек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F7B9B" w:rsidRPr="001E12EC" w:rsidRDefault="004F7B9B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%, 2017 к 2016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F7B9B" w:rsidRPr="001E12EC" w:rsidRDefault="004F7B9B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2018 год прогноз, тыс. человек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F7B9B" w:rsidRPr="001E12EC" w:rsidRDefault="004F7B9B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2EC">
              <w:rPr>
                <w:rFonts w:ascii="Times New Roman" w:hAnsi="Times New Roman" w:cs="Times New Roman"/>
                <w:sz w:val="20"/>
                <w:szCs w:val="20"/>
              </w:rPr>
              <w:t>%,  2018 к 2017</w:t>
            </w:r>
          </w:p>
        </w:tc>
      </w:tr>
      <w:tr w:rsidR="00A9472B" w:rsidRPr="001E12EC" w:rsidTr="00A9472B">
        <w:trPr>
          <w:trHeight w:val="193"/>
        </w:trPr>
        <w:tc>
          <w:tcPr>
            <w:tcW w:w="1961" w:type="dxa"/>
            <w:shd w:val="clear" w:color="auto" w:fill="auto"/>
            <w:vAlign w:val="center"/>
          </w:tcPr>
          <w:p w:rsidR="00DF7329" w:rsidRPr="001E12EC" w:rsidRDefault="00A9472B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33856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F7329" w:rsidRPr="001E12EC" w:rsidRDefault="00A9472B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33748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F7329" w:rsidRPr="001E12EC" w:rsidRDefault="00A9472B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F7329" w:rsidRPr="001E12EC" w:rsidRDefault="00A9472B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33636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F7329" w:rsidRPr="001E12EC" w:rsidRDefault="00A66BAB" w:rsidP="001575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C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</w:tbl>
    <w:p w:rsidR="00DF7329" w:rsidRPr="001E12EC" w:rsidRDefault="00DF7329" w:rsidP="001575B4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20D1" w:rsidRDefault="00DF7329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Развитие ситуации на рынке труда на прогнозируемый период целиком и полностью будет зависеть от равновесия спроса и предложения рабочей силы на рынке труда и комплексного решения проблем занятости</w:t>
      </w:r>
      <w:r w:rsidR="006820D1">
        <w:rPr>
          <w:rFonts w:ascii="Times New Roman" w:hAnsi="Times New Roman" w:cs="Times New Roman"/>
          <w:sz w:val="24"/>
          <w:szCs w:val="24"/>
        </w:rPr>
        <w:t>.</w:t>
      </w:r>
    </w:p>
    <w:p w:rsidR="008D1F32" w:rsidRDefault="006820D1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F32">
        <w:rPr>
          <w:rFonts w:ascii="Times New Roman" w:hAnsi="Times New Roman" w:cs="Times New Roman"/>
          <w:sz w:val="24"/>
          <w:szCs w:val="24"/>
        </w:rPr>
        <w:t>Учитывая низкий процент численности безработных</w:t>
      </w:r>
      <w:r w:rsidR="00201D2E">
        <w:rPr>
          <w:rFonts w:ascii="Times New Roman" w:hAnsi="Times New Roman" w:cs="Times New Roman"/>
          <w:sz w:val="24"/>
          <w:szCs w:val="24"/>
        </w:rPr>
        <w:t>, относительно высокого</w:t>
      </w:r>
      <w:r w:rsidR="008D1F32">
        <w:rPr>
          <w:rFonts w:ascii="Times New Roman" w:hAnsi="Times New Roman" w:cs="Times New Roman"/>
          <w:sz w:val="24"/>
          <w:szCs w:val="24"/>
        </w:rPr>
        <w:t xml:space="preserve"> количества вакансий</w:t>
      </w:r>
      <w:r w:rsidR="00201D2E">
        <w:rPr>
          <w:rFonts w:ascii="Times New Roman" w:hAnsi="Times New Roman" w:cs="Times New Roman"/>
          <w:sz w:val="24"/>
          <w:szCs w:val="24"/>
        </w:rPr>
        <w:t xml:space="preserve"> и</w:t>
      </w:r>
      <w:r w:rsidR="008D1F32">
        <w:rPr>
          <w:rFonts w:ascii="Times New Roman" w:hAnsi="Times New Roman" w:cs="Times New Roman"/>
          <w:sz w:val="24"/>
          <w:szCs w:val="24"/>
        </w:rPr>
        <w:t xml:space="preserve"> низк</w:t>
      </w:r>
      <w:r w:rsidR="00201D2E">
        <w:rPr>
          <w:rFonts w:ascii="Times New Roman" w:hAnsi="Times New Roman" w:cs="Times New Roman"/>
          <w:sz w:val="24"/>
          <w:szCs w:val="24"/>
        </w:rPr>
        <w:t>ого</w:t>
      </w:r>
      <w:r w:rsidR="001575B4">
        <w:rPr>
          <w:rFonts w:ascii="Times New Roman" w:hAnsi="Times New Roman" w:cs="Times New Roman"/>
          <w:sz w:val="24"/>
          <w:szCs w:val="24"/>
        </w:rPr>
        <w:t xml:space="preserve"> коэффициент</w:t>
      </w:r>
      <w:r>
        <w:rPr>
          <w:rFonts w:ascii="Times New Roman" w:hAnsi="Times New Roman" w:cs="Times New Roman"/>
          <w:sz w:val="24"/>
          <w:szCs w:val="24"/>
        </w:rPr>
        <w:t xml:space="preserve"> напряженности на рынке труда, </w:t>
      </w:r>
      <w:r w:rsidR="001575B4">
        <w:rPr>
          <w:rFonts w:ascii="Times New Roman" w:hAnsi="Times New Roman" w:cs="Times New Roman"/>
          <w:sz w:val="24"/>
          <w:szCs w:val="24"/>
        </w:rPr>
        <w:t xml:space="preserve">резкого роста численности безработных и ухудшения ситуации на рынке труда </w:t>
      </w:r>
      <w:r w:rsidR="00201D2E">
        <w:rPr>
          <w:rFonts w:ascii="Times New Roman" w:hAnsi="Times New Roman" w:cs="Times New Roman"/>
          <w:sz w:val="24"/>
          <w:szCs w:val="24"/>
        </w:rPr>
        <w:t xml:space="preserve">в прогнозируемые годы </w:t>
      </w:r>
      <w:r w:rsidR="001575B4">
        <w:rPr>
          <w:rFonts w:ascii="Times New Roman" w:hAnsi="Times New Roman" w:cs="Times New Roman"/>
          <w:sz w:val="24"/>
          <w:szCs w:val="24"/>
        </w:rPr>
        <w:t>не произойдёт.</w:t>
      </w:r>
    </w:p>
    <w:p w:rsidR="003265ED" w:rsidRPr="001E12EC" w:rsidRDefault="003265ED" w:rsidP="003265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1E12EC">
        <w:rPr>
          <w:rFonts w:ascii="Times New Roman" w:eastAsia="Calibri" w:hAnsi="Times New Roman" w:cs="Times New Roman"/>
          <w:sz w:val="24"/>
        </w:rPr>
        <w:t>Органами администрации города Мегиона продолж</w:t>
      </w:r>
      <w:r>
        <w:rPr>
          <w:rFonts w:ascii="Times New Roman" w:eastAsia="Calibri" w:hAnsi="Times New Roman" w:cs="Times New Roman"/>
          <w:sz w:val="24"/>
        </w:rPr>
        <w:t>ается</w:t>
      </w:r>
      <w:r w:rsidRPr="001E12EC">
        <w:rPr>
          <w:rFonts w:ascii="Times New Roman" w:eastAsia="Calibri" w:hAnsi="Times New Roman" w:cs="Times New Roman"/>
          <w:sz w:val="24"/>
        </w:rPr>
        <w:t xml:space="preserve"> участие в реализации мероприятий по организации занятости населения в рамках заключенных Соглашений по реализации государственной программы  «Содействие занятости населения в Ханты-Мансийском автономном округе – Югре  на 2014 – 2020   годы» утвержденной постановлением Правительства автономного округа от 09.10.2013 №409-п. </w:t>
      </w:r>
      <w:r>
        <w:rPr>
          <w:rFonts w:ascii="Times New Roman" w:eastAsia="Calibri" w:hAnsi="Times New Roman" w:cs="Times New Roman"/>
          <w:sz w:val="24"/>
        </w:rPr>
        <w:t>В прогнозный период будет</w:t>
      </w:r>
      <w:r w:rsidRPr="001E12EC">
        <w:rPr>
          <w:rFonts w:ascii="Times New Roman" w:eastAsia="Calibri" w:hAnsi="Times New Roman" w:cs="Times New Roman"/>
          <w:sz w:val="24"/>
        </w:rPr>
        <w:t xml:space="preserve"> продолжена реализация разработанных администрацией города мероприятий по содействию занятости населения на территории городского округа город Мегион.</w:t>
      </w:r>
    </w:p>
    <w:p w:rsidR="003265ED" w:rsidRPr="001E12EC" w:rsidRDefault="003265ED" w:rsidP="0015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007" w:rsidRDefault="00BD5007" w:rsidP="00BD50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5007" w:rsidRPr="00BD5007" w:rsidRDefault="00BD5007" w:rsidP="00BD5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BDF">
        <w:rPr>
          <w:rFonts w:ascii="Times New Roman" w:hAnsi="Times New Roman" w:cs="Times New Roman"/>
          <w:b/>
          <w:sz w:val="24"/>
          <w:szCs w:val="24"/>
        </w:rPr>
        <w:t>ПОСТУПЛЕНИЯ ДОХОДОВ В БЮДЖЕТНУЮ СИСТЕМУ</w:t>
      </w:r>
    </w:p>
    <w:p w:rsidR="006A68F2" w:rsidRDefault="006A68F2" w:rsidP="00BD5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925">
        <w:rPr>
          <w:rFonts w:ascii="Times New Roman" w:hAnsi="Times New Roman" w:cs="Times New Roman"/>
          <w:bCs/>
          <w:sz w:val="24"/>
          <w:szCs w:val="24"/>
        </w:rPr>
        <w:t>Прогноз поступления доходов в бюджетную систему Российской Федерации от налогоплательщиков городского округа город Мегион составлен на основе фактических данных об исполнении консолидированного бюджета за предыдущий год и предполагаемых условий социально-экономического развития страны до 2018 года, ожидаемых итогов в текущем году и основных прогнозных параметров социально-экономического развития городского округа город Мегион на 2016-2018 годы, а также с учетом реформирования налоговой и бюджетной системы.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5925">
        <w:rPr>
          <w:rFonts w:ascii="Times New Roman" w:hAnsi="Times New Roman" w:cs="Times New Roman"/>
          <w:sz w:val="24"/>
          <w:szCs w:val="24"/>
        </w:rPr>
        <w:t>За 2014 год доходы (</w:t>
      </w:r>
      <w:r w:rsidRPr="00565925">
        <w:rPr>
          <w:rFonts w:ascii="Times New Roman" w:hAnsi="Times New Roman" w:cs="Times New Roman"/>
          <w:bCs/>
          <w:sz w:val="24"/>
          <w:szCs w:val="24"/>
        </w:rPr>
        <w:t>без учета поступлений в государственные внебюджетные фонды)</w:t>
      </w:r>
      <w:r w:rsidRPr="00565925">
        <w:rPr>
          <w:rFonts w:ascii="Times New Roman" w:hAnsi="Times New Roman" w:cs="Times New Roman"/>
          <w:sz w:val="24"/>
          <w:szCs w:val="24"/>
        </w:rPr>
        <w:t xml:space="preserve"> составили 70614,3 </w:t>
      </w:r>
      <w:proofErr w:type="spellStart"/>
      <w:r w:rsidRPr="00565925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sz w:val="24"/>
          <w:szCs w:val="24"/>
        </w:rPr>
        <w:t>. Структура поступлений в уровни бюджетной системы за 2014 год выглядит следующим образом: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5925">
        <w:rPr>
          <w:rFonts w:ascii="Times New Roman" w:hAnsi="Times New Roman" w:cs="Times New Roman"/>
          <w:sz w:val="24"/>
          <w:szCs w:val="24"/>
        </w:rPr>
        <w:t>Федеральный бюджет – 94,4%;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5925">
        <w:rPr>
          <w:rFonts w:ascii="Times New Roman" w:hAnsi="Times New Roman" w:cs="Times New Roman"/>
          <w:sz w:val="24"/>
          <w:szCs w:val="24"/>
        </w:rPr>
        <w:t>Окружной бюджет – 3,4%;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5925">
        <w:rPr>
          <w:rFonts w:ascii="Times New Roman" w:hAnsi="Times New Roman" w:cs="Times New Roman"/>
          <w:sz w:val="24"/>
          <w:szCs w:val="24"/>
        </w:rPr>
        <w:t>Областной бюджет - 0,5%;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5925">
        <w:rPr>
          <w:rFonts w:ascii="Times New Roman" w:hAnsi="Times New Roman" w:cs="Times New Roman"/>
          <w:sz w:val="24"/>
          <w:szCs w:val="24"/>
        </w:rPr>
        <w:t>Бюджет городского округа – 1,7%.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925">
        <w:rPr>
          <w:rFonts w:ascii="Times New Roman" w:hAnsi="Times New Roman" w:cs="Times New Roman"/>
          <w:bCs/>
          <w:sz w:val="24"/>
          <w:szCs w:val="24"/>
        </w:rPr>
        <w:t>Доходы в бюджетную систему Российской Федерации от налогоплательщиков городского округа город Мегион формируются за счет налоговых и неналоговых поступлений бюджетов всех уровней и средств внебюджетных фондов.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5925">
        <w:rPr>
          <w:rFonts w:ascii="Times New Roman" w:hAnsi="Times New Roman" w:cs="Times New Roman"/>
          <w:bCs/>
          <w:sz w:val="24"/>
          <w:szCs w:val="24"/>
        </w:rPr>
        <w:t xml:space="preserve">Общий объем финансовых ресурсов, включающий в себя налоговые и неналоговые доходы (без учета поступлений в государственные внебюджетные фонды), по оценке в 2015 году составит 84351,3 </w:t>
      </w:r>
      <w:proofErr w:type="spellStart"/>
      <w:r w:rsidRPr="00565925">
        <w:rPr>
          <w:rFonts w:ascii="Times New Roman" w:hAnsi="Times New Roman" w:cs="Times New Roman"/>
          <w:bCs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bCs/>
          <w:sz w:val="24"/>
          <w:szCs w:val="24"/>
        </w:rPr>
        <w:t xml:space="preserve">, что на 19,5%выше уровня 2014 года. </w:t>
      </w:r>
      <w:r w:rsidRPr="00565925">
        <w:rPr>
          <w:rFonts w:ascii="Times New Roman" w:hAnsi="Times New Roman" w:cs="Times New Roman"/>
          <w:sz w:val="24"/>
          <w:szCs w:val="24"/>
        </w:rPr>
        <w:t xml:space="preserve">В 2016-2018 годы </w:t>
      </w:r>
      <w:r w:rsidRPr="00565925">
        <w:rPr>
          <w:rFonts w:ascii="Times New Roman" w:hAnsi="Times New Roman" w:cs="Times New Roman"/>
          <w:sz w:val="24"/>
          <w:szCs w:val="24"/>
        </w:rPr>
        <w:lastRenderedPageBreak/>
        <w:t xml:space="preserve">объемы поступлений прогнозируются с ростом </w:t>
      </w:r>
      <w:r w:rsidRPr="00565925">
        <w:rPr>
          <w:rFonts w:ascii="Times New Roman" w:hAnsi="Times New Roman" w:cs="Times New Roman"/>
          <w:color w:val="000000" w:themeColor="text1"/>
          <w:sz w:val="24"/>
          <w:szCs w:val="24"/>
        </w:rPr>
        <w:t>103,2-107,7</w:t>
      </w:r>
      <w:r w:rsidRPr="00565925">
        <w:rPr>
          <w:rFonts w:ascii="Times New Roman" w:hAnsi="Times New Roman" w:cs="Times New Roman"/>
          <w:sz w:val="24"/>
          <w:szCs w:val="24"/>
        </w:rPr>
        <w:t xml:space="preserve">% по первому варианту и </w:t>
      </w:r>
      <w:r w:rsidRPr="00565925">
        <w:rPr>
          <w:rFonts w:ascii="Times New Roman" w:hAnsi="Times New Roman" w:cs="Times New Roman"/>
          <w:color w:val="000000" w:themeColor="text1"/>
          <w:sz w:val="24"/>
          <w:szCs w:val="24"/>
        </w:rPr>
        <w:t>106,0-118,6</w:t>
      </w:r>
      <w:r w:rsidRPr="00565925">
        <w:rPr>
          <w:rFonts w:ascii="Times New Roman" w:hAnsi="Times New Roman" w:cs="Times New Roman"/>
          <w:sz w:val="24"/>
          <w:szCs w:val="24"/>
        </w:rPr>
        <w:t>% по второму варианту.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5925">
        <w:rPr>
          <w:rFonts w:ascii="Times New Roman" w:hAnsi="Times New Roman" w:cs="Times New Roman"/>
          <w:sz w:val="24"/>
          <w:szCs w:val="24"/>
        </w:rPr>
        <w:t xml:space="preserve">Сумма налоговых поступлений в 2015 году оценивается с ростом </w:t>
      </w:r>
      <w:r w:rsidRPr="00565925">
        <w:rPr>
          <w:rFonts w:ascii="Times New Roman" w:hAnsi="Times New Roman" w:cs="Times New Roman"/>
          <w:color w:val="000000" w:themeColor="text1"/>
          <w:sz w:val="24"/>
          <w:szCs w:val="24"/>
        </w:rPr>
        <w:t>19,6</w:t>
      </w:r>
      <w:r w:rsidRPr="00565925">
        <w:rPr>
          <w:rFonts w:ascii="Times New Roman" w:hAnsi="Times New Roman" w:cs="Times New Roman"/>
          <w:sz w:val="24"/>
          <w:szCs w:val="24"/>
        </w:rPr>
        <w:t xml:space="preserve">% к 2014 году и составит </w:t>
      </w:r>
      <w:r w:rsidRPr="00565925">
        <w:rPr>
          <w:rFonts w:ascii="Times New Roman" w:hAnsi="Times New Roman" w:cs="Times New Roman"/>
          <w:color w:val="000000" w:themeColor="text1"/>
          <w:sz w:val="24"/>
          <w:szCs w:val="24"/>
        </w:rPr>
        <w:t>84096,6</w:t>
      </w:r>
      <w:r w:rsidRPr="00565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925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sz w:val="24"/>
          <w:szCs w:val="24"/>
        </w:rPr>
        <w:t xml:space="preserve">. Общая сумма налоговых поступлений и других обязательных платежей во все уровни бюджета (к предыдущему году) по </w:t>
      </w:r>
      <w:r w:rsidRPr="005659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65925">
        <w:rPr>
          <w:rFonts w:ascii="Times New Roman" w:hAnsi="Times New Roman" w:cs="Times New Roman"/>
          <w:sz w:val="24"/>
          <w:szCs w:val="24"/>
        </w:rPr>
        <w:t xml:space="preserve">  и </w:t>
      </w:r>
      <w:r w:rsidRPr="0056592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65925">
        <w:rPr>
          <w:rFonts w:ascii="Times New Roman" w:hAnsi="Times New Roman" w:cs="Times New Roman"/>
          <w:sz w:val="24"/>
          <w:szCs w:val="24"/>
        </w:rPr>
        <w:t xml:space="preserve"> вариантам прогноза по годам составит: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5925">
        <w:rPr>
          <w:rFonts w:ascii="Times New Roman" w:hAnsi="Times New Roman" w:cs="Times New Roman"/>
          <w:sz w:val="24"/>
          <w:szCs w:val="24"/>
        </w:rPr>
        <w:t xml:space="preserve">в 2016 году – 89261,0 </w:t>
      </w:r>
      <w:proofErr w:type="spellStart"/>
      <w:r w:rsidRPr="00565925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sz w:val="24"/>
          <w:szCs w:val="24"/>
        </w:rPr>
        <w:t xml:space="preserve"> (106,1%) и 99838,1 </w:t>
      </w:r>
      <w:proofErr w:type="spellStart"/>
      <w:r w:rsidRPr="00565925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sz w:val="24"/>
          <w:szCs w:val="24"/>
        </w:rPr>
        <w:t xml:space="preserve"> (118,7%);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5925">
        <w:rPr>
          <w:rFonts w:ascii="Times New Roman" w:hAnsi="Times New Roman" w:cs="Times New Roman"/>
          <w:sz w:val="24"/>
          <w:szCs w:val="24"/>
        </w:rPr>
        <w:t xml:space="preserve">в 2017 году – 96119,1 </w:t>
      </w:r>
      <w:proofErr w:type="spellStart"/>
      <w:r w:rsidRPr="00565925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sz w:val="24"/>
          <w:szCs w:val="24"/>
        </w:rPr>
        <w:t xml:space="preserve"> (107,7%) и 115199,6 </w:t>
      </w:r>
      <w:proofErr w:type="spellStart"/>
      <w:r w:rsidRPr="00565925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sz w:val="24"/>
          <w:szCs w:val="24"/>
        </w:rPr>
        <w:t xml:space="preserve"> (115,4%);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5925">
        <w:rPr>
          <w:rFonts w:ascii="Times New Roman" w:hAnsi="Times New Roman" w:cs="Times New Roman"/>
          <w:sz w:val="24"/>
          <w:szCs w:val="24"/>
        </w:rPr>
        <w:t xml:space="preserve">в 2018 году – 99159,2 </w:t>
      </w:r>
      <w:proofErr w:type="spellStart"/>
      <w:r w:rsidRPr="00565925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sz w:val="24"/>
          <w:szCs w:val="24"/>
        </w:rPr>
        <w:t xml:space="preserve"> (103,2%) и 123863,5 </w:t>
      </w:r>
      <w:proofErr w:type="spellStart"/>
      <w:r w:rsidRPr="00565925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sz w:val="24"/>
          <w:szCs w:val="24"/>
        </w:rPr>
        <w:t xml:space="preserve"> (107,5%).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925">
        <w:rPr>
          <w:rFonts w:ascii="Times New Roman" w:hAnsi="Times New Roman" w:cs="Times New Roman"/>
          <w:sz w:val="24"/>
          <w:szCs w:val="24"/>
        </w:rPr>
        <w:t xml:space="preserve">Основным налогом в структуре налоговых поступлений остается налог на добычу полезных ископаемых – 74,0% (2014 год). Учитывая уровень цен текущего года согласно сценарным условиям, сумма поступлений налога в 2015 году оценивается на уровне 66766,0 </w:t>
      </w:r>
      <w:proofErr w:type="spellStart"/>
      <w:r w:rsidRPr="00565925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sz w:val="24"/>
          <w:szCs w:val="24"/>
        </w:rPr>
        <w:t xml:space="preserve">, с ростом 28,5% к 2014 году. В 2016 году темп роста поступлений налога на добычу полезных ископаемых по первому варианту составит </w:t>
      </w:r>
      <w:r w:rsidRPr="00565925">
        <w:rPr>
          <w:rFonts w:ascii="Times New Roman" w:hAnsi="Times New Roman" w:cs="Times New Roman"/>
          <w:color w:val="000000"/>
          <w:sz w:val="24"/>
          <w:szCs w:val="24"/>
        </w:rPr>
        <w:t xml:space="preserve">107,5%, по второму варианту – 123,2%. В 2017-2018 годы поступление налога прогнозируется на уровне 103,4-109,35 по первому варианту,108,7-118,4% по второму варианту. 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5925">
        <w:rPr>
          <w:rFonts w:ascii="Times New Roman" w:hAnsi="Times New Roman" w:cs="Times New Roman"/>
          <w:sz w:val="24"/>
          <w:szCs w:val="24"/>
        </w:rPr>
        <w:t xml:space="preserve">Сумма неналоговых доходов в 2015 году </w:t>
      </w:r>
      <w:proofErr w:type="gramStart"/>
      <w:r w:rsidRPr="00565925">
        <w:rPr>
          <w:rFonts w:ascii="Times New Roman" w:hAnsi="Times New Roman" w:cs="Times New Roman"/>
          <w:sz w:val="24"/>
          <w:szCs w:val="24"/>
        </w:rPr>
        <w:t>снизятся</w:t>
      </w:r>
      <w:proofErr w:type="gramEnd"/>
      <w:r w:rsidRPr="00565925">
        <w:rPr>
          <w:rFonts w:ascii="Times New Roman" w:hAnsi="Times New Roman" w:cs="Times New Roman"/>
          <w:sz w:val="24"/>
          <w:szCs w:val="24"/>
        </w:rPr>
        <w:t xml:space="preserve"> на 20,4% по сравнению с 2014 годом и составят 254,7 </w:t>
      </w:r>
      <w:proofErr w:type="spellStart"/>
      <w:r w:rsidRPr="00565925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565925">
        <w:rPr>
          <w:rFonts w:ascii="Times New Roman" w:hAnsi="Times New Roman" w:cs="Times New Roman"/>
          <w:color w:val="000000" w:themeColor="text1"/>
          <w:sz w:val="24"/>
          <w:szCs w:val="24"/>
        </w:rPr>
        <w:t>0,3</w:t>
      </w:r>
      <w:r w:rsidRPr="00565925">
        <w:rPr>
          <w:rFonts w:ascii="Times New Roman" w:hAnsi="Times New Roman" w:cs="Times New Roman"/>
          <w:sz w:val="24"/>
          <w:szCs w:val="24"/>
        </w:rPr>
        <w:t>% от общей суммы доходов.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5925">
        <w:rPr>
          <w:rFonts w:ascii="Times New Roman" w:hAnsi="Times New Roman" w:cs="Times New Roman"/>
          <w:sz w:val="24"/>
          <w:szCs w:val="24"/>
        </w:rPr>
        <w:t>Основную долю неналоговых поступлений составляют доходы от использования имущества, находящегося в муниципальной собственности и платежи при пользовании природными ресурсами. В прогнозный период ожидается снижение неналоговых поступлений.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925"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Поступления налогов, сборов и иных обязательных платежей в бюджет городского округа город Мегион в 2015 году оцениваются в сумме 1082,9 </w:t>
      </w:r>
      <w:proofErr w:type="spellStart"/>
      <w:r w:rsidRPr="00565925">
        <w:rPr>
          <w:rFonts w:ascii="Times New Roman" w:hAnsi="Times New Roman" w:cs="Times New Roman"/>
          <w:color w:val="000000"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color w:val="000000"/>
          <w:sz w:val="24"/>
          <w:szCs w:val="24"/>
        </w:rPr>
        <w:t>, или 92,4% к уровню 2014 года.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925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источником собственных доходов городского округа город Мегион является налог на доходы физических лиц, доля которого составляет 58,4% (2014 год) собственных доходов бюджета. В 2015 году сумма налога на доходы физических лиц по оценке составит 665,0 </w:t>
      </w:r>
      <w:proofErr w:type="spellStart"/>
      <w:r w:rsidRPr="00565925">
        <w:rPr>
          <w:rFonts w:ascii="Times New Roman" w:hAnsi="Times New Roman" w:cs="Times New Roman"/>
          <w:color w:val="000000"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color w:val="000000"/>
          <w:sz w:val="24"/>
          <w:szCs w:val="24"/>
        </w:rPr>
        <w:t xml:space="preserve">, или 97,1% к уровню 2014 года. В 2014 году </w:t>
      </w:r>
      <w:r w:rsidRPr="00565925">
        <w:rPr>
          <w:rFonts w:ascii="Times New Roman" w:hAnsi="Times New Roman" w:cs="Times New Roman"/>
          <w:color w:val="000000" w:themeColor="text1"/>
          <w:sz w:val="24"/>
          <w:szCs w:val="24"/>
        </w:rPr>
        <w:t>норматив отчислений от налога на доходы физических лиц в местный бюджет составил 38,5%. В прогнозный период единый норматив отчислений от налога на доходы</w:t>
      </w:r>
      <w:r w:rsidRPr="00565925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физических лиц в бюджет городского округа город Мегион составит 34,0%.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925">
        <w:rPr>
          <w:rFonts w:ascii="Times New Roman" w:hAnsi="Times New Roman" w:cs="Times New Roman"/>
          <w:color w:val="000000"/>
          <w:sz w:val="24"/>
          <w:szCs w:val="24"/>
        </w:rPr>
        <w:t xml:space="preserve">На 2016-2018 годы, прогнозируется рост поступлений налога на доходы физических лиц: по первому варианту на уровне 104,0-104,8%, по второму варианту 104,3-105,0%. Данный прогноз рассчитан исходя из складывающихся изменений средней заработной платы и динамики численности работников организаций и предприятий городского округа город Мегион. Поступления от налога спрогнозированы исходя из изменений фонда оплаты труда предприятий города. Прогноз поступлений суммы налога на доходы физических лиц в местный бюджет на 2016-2018 годы был произведен исходя из норматива зачисления налога в бюджеты муниципальных образований в размере 34,0%. 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925">
        <w:rPr>
          <w:rFonts w:ascii="Times New Roman" w:hAnsi="Times New Roman" w:cs="Times New Roman"/>
          <w:color w:val="000000"/>
          <w:sz w:val="24"/>
          <w:szCs w:val="24"/>
        </w:rPr>
        <w:t xml:space="preserve">Налоги на совокупный доход в 2015 году по оценке составят 118,6 </w:t>
      </w:r>
      <w:proofErr w:type="spellStart"/>
      <w:r w:rsidRPr="00565925">
        <w:rPr>
          <w:rFonts w:ascii="Times New Roman" w:hAnsi="Times New Roman" w:cs="Times New Roman"/>
          <w:color w:val="000000"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color w:val="000000"/>
          <w:sz w:val="24"/>
          <w:szCs w:val="24"/>
        </w:rPr>
        <w:t>, что на 3,8% выше поступлений в 2014 году.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925">
        <w:rPr>
          <w:rFonts w:ascii="Times New Roman" w:hAnsi="Times New Roman" w:cs="Times New Roman"/>
          <w:color w:val="000000"/>
          <w:sz w:val="24"/>
          <w:szCs w:val="24"/>
        </w:rPr>
        <w:t xml:space="preserve">Рост субъектов малого и среднего бизнеса, а также их финансовая поддержка, в рамках действующих и принимаемых программ всех уровней власти, позволяет прогнозировать положительную динамику поступления налогов на совокупный доход. Так в 2016-2017 годах прогнозируются поступления налога на совокупный доход на уровне 100,3-100,8% по первому варианту, 101,0-101,1% - по второму варианту. Поступления налога в 2018 году спрогнозированы в соответствии с изменениями в налоговом законодательстве. </w:t>
      </w:r>
      <w:r w:rsidRPr="00565925">
        <w:rPr>
          <w:rFonts w:ascii="Times New Roman" w:hAnsi="Times New Roman" w:cs="Times New Roman"/>
          <w:color w:val="000000" w:themeColor="text1"/>
          <w:sz w:val="24"/>
          <w:szCs w:val="24"/>
        </w:rPr>
        <w:t>При прогнозе поступления налогов на совокупный доход учитывались изменения налоговой политики РФ, согласно которым в 2018 году предусмотрена отмена единого налога на вмененный доход.</w:t>
      </w:r>
      <w:r w:rsidRPr="00565925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дальнейшем, предприниматели, применявшие данный режим </w:t>
      </w:r>
      <w:r w:rsidRPr="005659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налогообложения, должны будут выбрать один из двух вариантов, в зависимости от размера бизнеса: патентная система налогообложения или упрощенная система </w:t>
      </w:r>
      <w:proofErr w:type="spellStart"/>
      <w:r w:rsidRPr="00565925">
        <w:rPr>
          <w:rFonts w:ascii="Times New Roman" w:hAnsi="Times New Roman" w:cs="Times New Roman"/>
          <w:color w:val="000000"/>
          <w:sz w:val="24"/>
          <w:szCs w:val="24"/>
        </w:rPr>
        <w:t>налогобложения</w:t>
      </w:r>
      <w:proofErr w:type="spellEnd"/>
      <w:r w:rsidRPr="005659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5925" w:rsidRPr="00565925" w:rsidRDefault="00565925" w:rsidP="00565925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5925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 и Бюджетным кодексом Российской Федерации, транспортный налог является  региональным налогом и до 2014 года передавался из бюджета  Ханты-Мансийского автономного округа-Югры в бюджет города в размере 100%.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5925">
        <w:rPr>
          <w:rFonts w:ascii="Times New Roman" w:hAnsi="Times New Roman" w:cs="Times New Roman"/>
          <w:sz w:val="24"/>
          <w:szCs w:val="24"/>
        </w:rPr>
        <w:t xml:space="preserve">С 01.01.2014 транспортный налог не передается в бюджет городского округа город Мегион, что, соответственно, отразится на уменьшении поступлений налоговых доходов. 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925">
        <w:rPr>
          <w:rFonts w:ascii="Times New Roman" w:hAnsi="Times New Roman" w:cs="Times New Roman"/>
          <w:sz w:val="24"/>
          <w:szCs w:val="24"/>
        </w:rPr>
        <w:t xml:space="preserve">С 2014 года в бюджет городского округа город Мегион переданы налоги на товары (работы, услуги), реализуемые на территории Российской Федерации. Поступления данного налога в 2014 году составили 6,0 </w:t>
      </w:r>
      <w:proofErr w:type="spellStart"/>
      <w:r w:rsidRPr="00565925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sz w:val="24"/>
          <w:szCs w:val="24"/>
        </w:rPr>
        <w:t xml:space="preserve">, в 2015 году оценивается в сумме 5,8 </w:t>
      </w:r>
      <w:proofErr w:type="spellStart"/>
      <w:r w:rsidRPr="00565925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sz w:val="24"/>
          <w:szCs w:val="24"/>
        </w:rPr>
        <w:t xml:space="preserve">, и снизится к уровню 2014 года на 3,3%. В прогнозный период 2016-2018 годы данные отчисления в бюджет городского округа город Мегион составят 5,6-5,8 </w:t>
      </w:r>
      <w:proofErr w:type="spellStart"/>
      <w:r w:rsidRPr="00565925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5925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925"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Поступления земельного налога в 2015 году оценивается в сумме 16,4 </w:t>
      </w:r>
      <w:proofErr w:type="spellStart"/>
      <w:r w:rsidRPr="00565925">
        <w:rPr>
          <w:rFonts w:ascii="Times New Roman" w:hAnsi="Times New Roman" w:cs="Times New Roman"/>
          <w:color w:val="000000"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color w:val="000000"/>
          <w:sz w:val="24"/>
          <w:szCs w:val="24"/>
        </w:rPr>
        <w:t>, и снизится к уровню 2014 года на 9,9%. Прогнозируется, что поступления данного налога  будут сохранены на период до 2018 года на уровне 2015 года.</w:t>
      </w:r>
    </w:p>
    <w:p w:rsidR="00565925" w:rsidRPr="00565925" w:rsidRDefault="00565925" w:rsidP="0056592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925">
        <w:rPr>
          <w:rFonts w:ascii="Times New Roman" w:hAnsi="Times New Roman" w:cs="Times New Roman"/>
          <w:color w:val="000000"/>
          <w:sz w:val="24"/>
          <w:szCs w:val="24"/>
        </w:rPr>
        <w:t xml:space="preserve">Оценочное поступление налога на имущество физических лиц в 2015 году составит 11,7 </w:t>
      </w:r>
      <w:proofErr w:type="spellStart"/>
      <w:r w:rsidRPr="00565925">
        <w:rPr>
          <w:rFonts w:ascii="Times New Roman" w:hAnsi="Times New Roman" w:cs="Times New Roman"/>
          <w:color w:val="000000"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color w:val="000000"/>
          <w:sz w:val="24"/>
          <w:szCs w:val="24"/>
        </w:rPr>
        <w:t xml:space="preserve">, и снизится на 18,7% по отношению к 2014 году. В последующие годы поступления данного налога прогнозируются на уровне 2015 года и составят 11,5-11,7 </w:t>
      </w:r>
      <w:proofErr w:type="spellStart"/>
      <w:r w:rsidRPr="00565925">
        <w:rPr>
          <w:rFonts w:ascii="Times New Roman" w:hAnsi="Times New Roman" w:cs="Times New Roman"/>
          <w:color w:val="000000"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color w:val="000000"/>
          <w:sz w:val="24"/>
          <w:szCs w:val="24"/>
        </w:rPr>
        <w:t xml:space="preserve"> по первому варианту, 11,7-11,8 </w:t>
      </w:r>
      <w:proofErr w:type="spellStart"/>
      <w:r w:rsidRPr="00565925">
        <w:rPr>
          <w:rFonts w:ascii="Times New Roman" w:hAnsi="Times New Roman" w:cs="Times New Roman"/>
          <w:color w:val="000000"/>
          <w:sz w:val="24"/>
          <w:szCs w:val="24"/>
        </w:rPr>
        <w:t>млн.рублей</w:t>
      </w:r>
      <w:proofErr w:type="spellEnd"/>
      <w:r w:rsidRPr="00565925">
        <w:rPr>
          <w:rFonts w:ascii="Times New Roman" w:hAnsi="Times New Roman" w:cs="Times New Roman"/>
          <w:color w:val="000000"/>
          <w:sz w:val="24"/>
          <w:szCs w:val="24"/>
        </w:rPr>
        <w:t xml:space="preserve"> – по второму варианту.</w:t>
      </w:r>
    </w:p>
    <w:p w:rsidR="00565925" w:rsidRPr="00565925" w:rsidRDefault="00565925" w:rsidP="005659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925">
        <w:rPr>
          <w:rFonts w:ascii="Times New Roman" w:hAnsi="Times New Roman" w:cs="Times New Roman"/>
          <w:color w:val="000000"/>
          <w:sz w:val="24"/>
          <w:szCs w:val="24"/>
        </w:rPr>
        <w:t>Неналоговые доходы включают в себя доходы от имущества, находящегося в муниципальной собственности, или от деятельности муниципальных организаций, административные платежи и сборы, штрафные санкции и прочие неналоговые доходы. Наибольшую долю неналоговых доходов в 2014 году составили доходы от использования имущества, находящегося в государственной и муниципальной собственности – 77,9%, доходы от продажи материальных и нематериальных активов составили 15,4%. По оценке в 2015</w:t>
      </w:r>
      <w:r w:rsidR="00812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925">
        <w:rPr>
          <w:rFonts w:ascii="Times New Roman" w:hAnsi="Times New Roman" w:cs="Times New Roman"/>
          <w:color w:val="000000"/>
          <w:sz w:val="24"/>
          <w:szCs w:val="24"/>
        </w:rPr>
        <w:t>году ожидается снижение неналоговых доходов - на 20,4%. В 2016-2018 годах прогнозируется снижение неналоговых доходов (доходы от использования муниципального имущества, от продажи активов и прочие неналоговые доходы), что обусловлено уменьшением стоимости муниципальных активов.</w:t>
      </w:r>
    </w:p>
    <w:p w:rsidR="00565925" w:rsidRPr="00565925" w:rsidRDefault="00565925" w:rsidP="00565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925">
        <w:rPr>
          <w:rFonts w:ascii="Times New Roman" w:hAnsi="Times New Roman" w:cs="Times New Roman"/>
          <w:color w:val="000000"/>
          <w:sz w:val="24"/>
          <w:szCs w:val="24"/>
        </w:rPr>
        <w:t>В целях мобилизации и увеличения доходной части бюджета городского округа на территории муниципального образования на постоянной основе осуществляет свою деятельность комиссия по мобилизации доходов в бюджет. В состав комиссии вошли представители налоговых органов и органов муниципальной власти. Основными задачами комиссии по мобилизации доходов в бюджет города является принятие мер по сокращению налоговой недоимки, повышение собираемости налоговых и неналоговых платежей, а также разрешение проблемных вопросов уплаты и исчисления налогов и сборов на территории муниципального образования.</w:t>
      </w:r>
    </w:p>
    <w:p w:rsidR="00BD5007" w:rsidRDefault="00BD5007" w:rsidP="00565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925" w:rsidRPr="00565925" w:rsidRDefault="00565925" w:rsidP="00565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007" w:rsidRPr="001E12EC" w:rsidRDefault="00BD5007" w:rsidP="00BD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СОЦИАЛЬНОЙ СФЕРЫ</w:t>
      </w:r>
    </w:p>
    <w:p w:rsidR="00BD5007" w:rsidRDefault="00BD5007" w:rsidP="001575B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5540C" w:rsidRDefault="00C474B7" w:rsidP="00C47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4B7">
        <w:rPr>
          <w:rFonts w:ascii="Times New Roman" w:hAnsi="Times New Roman" w:cs="Times New Roman"/>
          <w:sz w:val="24"/>
          <w:szCs w:val="24"/>
        </w:rPr>
        <w:t>ОБРАЗОВАНИЕ</w:t>
      </w:r>
    </w:p>
    <w:p w:rsidR="00C474B7" w:rsidRPr="00C474B7" w:rsidRDefault="00C474B7" w:rsidP="001575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12EC" w:rsidRPr="00C474B7" w:rsidRDefault="001E12EC" w:rsidP="001575B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474B7">
        <w:rPr>
          <w:rFonts w:ascii="Times New Roman" w:hAnsi="Times New Roman" w:cs="Times New Roman"/>
          <w:i/>
          <w:sz w:val="24"/>
          <w:szCs w:val="24"/>
        </w:rPr>
        <w:t>Дошкольное образование</w:t>
      </w:r>
    </w:p>
    <w:p w:rsidR="00946BB5" w:rsidRDefault="001E12EC" w:rsidP="00157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На 01.01.2015 на территории городского округа город Мегион функционируют  1</w:t>
      </w:r>
      <w:r w:rsidR="00946BB5">
        <w:rPr>
          <w:rFonts w:ascii="Times New Roman" w:hAnsi="Times New Roman" w:cs="Times New Roman"/>
          <w:sz w:val="24"/>
          <w:szCs w:val="24"/>
        </w:rPr>
        <w:t>4</w:t>
      </w:r>
      <w:r w:rsidRPr="001E12EC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</w:t>
      </w:r>
      <w:r w:rsidR="00946BB5">
        <w:rPr>
          <w:rFonts w:ascii="Times New Roman" w:hAnsi="Times New Roman" w:cs="Times New Roman"/>
          <w:sz w:val="24"/>
          <w:szCs w:val="24"/>
        </w:rPr>
        <w:t>, в том числе одно структурное подразделение общеобразовательного учреждения.</w:t>
      </w:r>
      <w:r w:rsidR="00946BB5" w:rsidRPr="00946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2EC" w:rsidRPr="001E12EC" w:rsidRDefault="00946BB5" w:rsidP="00157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функционируют </w:t>
      </w:r>
      <w:r w:rsidRPr="001E12EC">
        <w:rPr>
          <w:rFonts w:ascii="Times New Roman" w:hAnsi="Times New Roman" w:cs="Times New Roman"/>
          <w:sz w:val="24"/>
          <w:szCs w:val="24"/>
        </w:rPr>
        <w:t>3 пришкольные группы для детей дошкольного возраста, по состоянию на 01.01.2015 их посещает 61 ребёнок</w:t>
      </w:r>
    </w:p>
    <w:p w:rsidR="007A3DF7" w:rsidRPr="001E12EC" w:rsidRDefault="007A3DF7" w:rsidP="007A3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коммерческих групп, организуемых индивидуальными предпринимателями в целях присмотра и ухода за детьми, составило 3 против 8 в 2013 году. Численность детей в этих группах соответственно сократилось на 60,8%. </w:t>
      </w:r>
    </w:p>
    <w:p w:rsidR="007A3DF7" w:rsidRPr="001E12EC" w:rsidRDefault="007A3DF7" w:rsidP="007A3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E12EC">
        <w:rPr>
          <w:rFonts w:ascii="Times New Roman" w:hAnsi="Times New Roman" w:cs="Times New Roman"/>
          <w:sz w:val="24"/>
          <w:szCs w:val="24"/>
        </w:rPr>
        <w:t>С 13.05.2014 на территории городского округа открылось частное дошкольное учреждение - детский сад «Планета», получивш</w:t>
      </w:r>
      <w:r w:rsidR="00D2364D">
        <w:rPr>
          <w:rFonts w:ascii="Times New Roman" w:hAnsi="Times New Roman" w:cs="Times New Roman"/>
          <w:sz w:val="24"/>
          <w:szCs w:val="24"/>
        </w:rPr>
        <w:t>ий</w:t>
      </w:r>
      <w:r w:rsidRPr="001E12EC">
        <w:rPr>
          <w:rFonts w:ascii="Times New Roman" w:hAnsi="Times New Roman" w:cs="Times New Roman"/>
          <w:sz w:val="24"/>
          <w:szCs w:val="24"/>
        </w:rPr>
        <w:t xml:space="preserve"> право оказывать образовательные услуги. На 01.01.2015 число воспитанников </w:t>
      </w:r>
      <w:r w:rsidR="0025556B">
        <w:rPr>
          <w:rFonts w:ascii="Times New Roman" w:hAnsi="Times New Roman" w:cs="Times New Roman"/>
          <w:sz w:val="24"/>
          <w:szCs w:val="24"/>
        </w:rPr>
        <w:t xml:space="preserve">данного учреждения </w:t>
      </w:r>
      <w:r w:rsidRPr="001E12EC">
        <w:rPr>
          <w:rFonts w:ascii="Times New Roman" w:hAnsi="Times New Roman" w:cs="Times New Roman"/>
          <w:sz w:val="24"/>
          <w:szCs w:val="24"/>
        </w:rPr>
        <w:t>составляет 60 детей в возрасте 2,5-3,5 лет.</w:t>
      </w:r>
    </w:p>
    <w:p w:rsidR="001E12EC" w:rsidRPr="001E12EC" w:rsidRDefault="001E12EC" w:rsidP="00750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>Общая численность детей дошкольного возраста, посещающих детские сады</w:t>
      </w:r>
      <w:r w:rsidR="00D2364D">
        <w:rPr>
          <w:rFonts w:ascii="Times New Roman" w:hAnsi="Times New Roman" w:cs="Times New Roman"/>
          <w:sz w:val="24"/>
          <w:szCs w:val="24"/>
        </w:rPr>
        <w:t xml:space="preserve"> всех форм собственности</w:t>
      </w:r>
      <w:r w:rsidRPr="001E12EC">
        <w:rPr>
          <w:rFonts w:ascii="Times New Roman" w:hAnsi="Times New Roman" w:cs="Times New Roman"/>
          <w:sz w:val="24"/>
          <w:szCs w:val="24"/>
        </w:rPr>
        <w:t>, составляет 34</w:t>
      </w:r>
      <w:r w:rsidR="00B4592B">
        <w:rPr>
          <w:rFonts w:ascii="Times New Roman" w:hAnsi="Times New Roman" w:cs="Times New Roman"/>
          <w:sz w:val="24"/>
          <w:szCs w:val="24"/>
        </w:rPr>
        <w:t>67</w:t>
      </w:r>
      <w:r w:rsidRPr="001E12E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509A3">
        <w:rPr>
          <w:rFonts w:ascii="Times New Roman" w:hAnsi="Times New Roman" w:cs="Times New Roman"/>
          <w:sz w:val="24"/>
          <w:szCs w:val="24"/>
        </w:rPr>
        <w:t>.</w:t>
      </w:r>
    </w:p>
    <w:p w:rsidR="001E12EC" w:rsidRPr="001E12EC" w:rsidRDefault="001E12EC" w:rsidP="00157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E12EC">
        <w:rPr>
          <w:rFonts w:ascii="Times New Roman" w:hAnsi="Times New Roman" w:cs="Times New Roman"/>
          <w:sz w:val="24"/>
          <w:szCs w:val="24"/>
        </w:rPr>
        <w:t>За 2014 год на 6,4%</w:t>
      </w:r>
      <w:r w:rsidR="0025556B">
        <w:rPr>
          <w:rFonts w:ascii="Times New Roman" w:hAnsi="Times New Roman" w:cs="Times New Roman"/>
          <w:sz w:val="24"/>
          <w:szCs w:val="24"/>
        </w:rPr>
        <w:t xml:space="preserve"> сократилась </w:t>
      </w:r>
      <w:r w:rsidR="00D2364D">
        <w:rPr>
          <w:rFonts w:ascii="Times New Roman" w:hAnsi="Times New Roman" w:cs="Times New Roman"/>
          <w:sz w:val="24"/>
          <w:szCs w:val="24"/>
        </w:rPr>
        <w:t>численность детей</w:t>
      </w:r>
      <w:r w:rsidRPr="001E12EC">
        <w:rPr>
          <w:rFonts w:ascii="Times New Roman" w:hAnsi="Times New Roman" w:cs="Times New Roman"/>
          <w:sz w:val="24"/>
          <w:szCs w:val="24"/>
        </w:rPr>
        <w:t>, состоящих в очереди на получение мест в дошкольных образовательных учреждениях городского округа и составила 2269 человек. Сокращению очерёдности способствует ввод новых мощностей</w:t>
      </w:r>
      <w:r w:rsidR="006A40D7">
        <w:rPr>
          <w:rFonts w:ascii="Times New Roman" w:hAnsi="Times New Roman" w:cs="Times New Roman"/>
          <w:sz w:val="24"/>
          <w:szCs w:val="24"/>
        </w:rPr>
        <w:t>. В</w:t>
      </w:r>
      <w:r w:rsidRPr="001E12EC">
        <w:rPr>
          <w:rFonts w:ascii="Times New Roman" w:hAnsi="Times New Roman" w:cs="Times New Roman"/>
          <w:sz w:val="24"/>
          <w:szCs w:val="24"/>
        </w:rPr>
        <w:t xml:space="preserve"> 2014 год</w:t>
      </w:r>
      <w:r w:rsidR="006A40D7">
        <w:rPr>
          <w:rFonts w:ascii="Times New Roman" w:hAnsi="Times New Roman" w:cs="Times New Roman"/>
          <w:sz w:val="24"/>
          <w:szCs w:val="24"/>
        </w:rPr>
        <w:t xml:space="preserve">у введено в действие </w:t>
      </w:r>
      <w:r w:rsidRPr="001E12EC">
        <w:rPr>
          <w:rFonts w:ascii="Times New Roman" w:hAnsi="Times New Roman" w:cs="Times New Roman"/>
          <w:sz w:val="24"/>
          <w:szCs w:val="24"/>
        </w:rPr>
        <w:t xml:space="preserve"> </w:t>
      </w:r>
      <w:r w:rsidR="006A40D7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6A40D7" w:rsidRPr="001E12EC">
        <w:rPr>
          <w:rFonts w:ascii="Times New Roman" w:hAnsi="Times New Roman" w:cs="Times New Roman"/>
          <w:sz w:val="24"/>
          <w:szCs w:val="24"/>
        </w:rPr>
        <w:t>детск</w:t>
      </w:r>
      <w:r w:rsidR="006A40D7">
        <w:rPr>
          <w:rFonts w:ascii="Times New Roman" w:hAnsi="Times New Roman" w:cs="Times New Roman"/>
          <w:sz w:val="24"/>
          <w:szCs w:val="24"/>
        </w:rPr>
        <w:t>ого</w:t>
      </w:r>
      <w:r w:rsidR="006A40D7" w:rsidRPr="001E12EC">
        <w:rPr>
          <w:rFonts w:ascii="Times New Roman" w:hAnsi="Times New Roman" w:cs="Times New Roman"/>
          <w:sz w:val="24"/>
          <w:szCs w:val="24"/>
        </w:rPr>
        <w:t xml:space="preserve"> сада «Теремок»</w:t>
      </w:r>
      <w:r w:rsidR="006A40D7">
        <w:rPr>
          <w:rFonts w:ascii="Times New Roman" w:hAnsi="Times New Roman" w:cs="Times New Roman"/>
          <w:sz w:val="24"/>
          <w:szCs w:val="24"/>
        </w:rPr>
        <w:t xml:space="preserve">, </w:t>
      </w:r>
      <w:r w:rsidR="006A40D7" w:rsidRPr="001E12EC">
        <w:rPr>
          <w:rFonts w:ascii="Times New Roman" w:hAnsi="Times New Roman" w:cs="Times New Roman"/>
          <w:sz w:val="24"/>
          <w:szCs w:val="24"/>
        </w:rPr>
        <w:t>реконстру</w:t>
      </w:r>
      <w:r w:rsidR="006A40D7">
        <w:rPr>
          <w:rFonts w:ascii="Times New Roman" w:hAnsi="Times New Roman" w:cs="Times New Roman"/>
          <w:sz w:val="24"/>
          <w:szCs w:val="24"/>
        </w:rPr>
        <w:t>ированное</w:t>
      </w:r>
      <w:r w:rsidR="006A40D7" w:rsidRPr="001E12EC">
        <w:rPr>
          <w:rFonts w:ascii="Times New Roman" w:hAnsi="Times New Roman" w:cs="Times New Roman"/>
          <w:sz w:val="24"/>
          <w:szCs w:val="24"/>
        </w:rPr>
        <w:t xml:space="preserve"> </w:t>
      </w:r>
      <w:r w:rsidRPr="001E12EC">
        <w:rPr>
          <w:rFonts w:ascii="Times New Roman" w:hAnsi="Times New Roman" w:cs="Times New Roman"/>
          <w:sz w:val="24"/>
          <w:szCs w:val="24"/>
        </w:rPr>
        <w:t>в рамках государственной программы Ханты-Мансийского автономного округа – Югры «Развитие образования в Ханты-Мансийском автономном округе – Югре на 2014-2020 годы</w:t>
      </w:r>
      <w:r w:rsidR="006A40D7">
        <w:rPr>
          <w:rFonts w:ascii="Times New Roman" w:hAnsi="Times New Roman" w:cs="Times New Roman"/>
          <w:sz w:val="24"/>
          <w:szCs w:val="24"/>
        </w:rPr>
        <w:t>».</w:t>
      </w:r>
    </w:p>
    <w:p w:rsidR="001E12EC" w:rsidRPr="001E12EC" w:rsidRDefault="001E12EC" w:rsidP="00157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2EC" w:rsidRPr="0093488F" w:rsidRDefault="001E12EC" w:rsidP="001575B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3488F">
        <w:rPr>
          <w:rFonts w:ascii="Times New Roman" w:hAnsi="Times New Roman" w:cs="Times New Roman"/>
          <w:i/>
          <w:sz w:val="24"/>
          <w:szCs w:val="24"/>
        </w:rPr>
        <w:t>Общее образование</w:t>
      </w:r>
    </w:p>
    <w:p w:rsidR="001E12EC" w:rsidRPr="001E12EC" w:rsidRDefault="001E12EC" w:rsidP="006A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 xml:space="preserve">Система общего образования городского округа включает в себя  6 муниципальных бюджетных и 2 муниципальных автономных общеобразовательных учреждения. </w:t>
      </w:r>
    </w:p>
    <w:p w:rsidR="001E12EC" w:rsidRPr="001E12EC" w:rsidRDefault="001E12EC" w:rsidP="00AE40F6">
      <w:pPr>
        <w:pStyle w:val="a6"/>
        <w:ind w:firstLine="708"/>
        <w:jc w:val="both"/>
        <w:rPr>
          <w:sz w:val="24"/>
          <w:szCs w:val="24"/>
          <w:highlight w:val="yellow"/>
        </w:rPr>
      </w:pPr>
      <w:r w:rsidRPr="001E12EC">
        <w:rPr>
          <w:sz w:val="24"/>
          <w:szCs w:val="24"/>
        </w:rPr>
        <w:t xml:space="preserve">На </w:t>
      </w:r>
      <w:r w:rsidR="006A40D7">
        <w:rPr>
          <w:sz w:val="24"/>
          <w:szCs w:val="24"/>
        </w:rPr>
        <w:t>01.01.2015</w:t>
      </w:r>
      <w:r w:rsidR="0058028D">
        <w:rPr>
          <w:sz w:val="24"/>
          <w:szCs w:val="24"/>
        </w:rPr>
        <w:t xml:space="preserve"> в муниципальных </w:t>
      </w:r>
      <w:r w:rsidRPr="001E12EC">
        <w:rPr>
          <w:sz w:val="24"/>
          <w:szCs w:val="24"/>
        </w:rPr>
        <w:t>о</w:t>
      </w:r>
      <w:r w:rsidR="0058028D">
        <w:rPr>
          <w:sz w:val="24"/>
          <w:szCs w:val="24"/>
        </w:rPr>
        <w:t xml:space="preserve">бщеобразовательных учреждениях </w:t>
      </w:r>
      <w:r w:rsidRPr="001E12EC">
        <w:rPr>
          <w:sz w:val="24"/>
          <w:szCs w:val="24"/>
        </w:rPr>
        <w:t>сформировано 298 классов, в кото</w:t>
      </w:r>
      <w:r w:rsidR="00D2364D">
        <w:rPr>
          <w:sz w:val="24"/>
          <w:szCs w:val="24"/>
        </w:rPr>
        <w:t>рых обучаю</w:t>
      </w:r>
      <w:r w:rsidR="00AE40F6">
        <w:rPr>
          <w:sz w:val="24"/>
          <w:szCs w:val="24"/>
        </w:rPr>
        <w:t xml:space="preserve">тся </w:t>
      </w:r>
      <w:r w:rsidR="008043DF">
        <w:rPr>
          <w:sz w:val="24"/>
          <w:szCs w:val="24"/>
        </w:rPr>
        <w:t>6979</w:t>
      </w:r>
      <w:r w:rsidR="0058028D">
        <w:rPr>
          <w:sz w:val="24"/>
          <w:szCs w:val="24"/>
        </w:rPr>
        <w:t xml:space="preserve"> обучающихся,</w:t>
      </w:r>
      <w:r w:rsidRPr="001E12EC">
        <w:rPr>
          <w:sz w:val="24"/>
          <w:szCs w:val="24"/>
        </w:rPr>
        <w:t xml:space="preserve"> </w:t>
      </w:r>
      <w:r w:rsidRPr="008043DF">
        <w:rPr>
          <w:sz w:val="24"/>
          <w:szCs w:val="24"/>
        </w:rPr>
        <w:t>525</w:t>
      </w:r>
      <w:r w:rsidR="008043DF" w:rsidRPr="008043DF">
        <w:rPr>
          <w:sz w:val="24"/>
          <w:szCs w:val="24"/>
        </w:rPr>
        <w:t>4</w:t>
      </w:r>
      <w:r w:rsidRPr="008043DF">
        <w:rPr>
          <w:sz w:val="24"/>
          <w:szCs w:val="24"/>
        </w:rPr>
        <w:t xml:space="preserve"> или </w:t>
      </w:r>
      <w:r w:rsidR="008043DF" w:rsidRPr="008043DF">
        <w:rPr>
          <w:sz w:val="24"/>
          <w:szCs w:val="24"/>
        </w:rPr>
        <w:t>75,3</w:t>
      </w:r>
      <w:r w:rsidRPr="008043DF">
        <w:rPr>
          <w:sz w:val="24"/>
          <w:szCs w:val="24"/>
        </w:rPr>
        <w:t>%</w:t>
      </w:r>
      <w:r w:rsidRPr="008B23A5">
        <w:rPr>
          <w:sz w:val="24"/>
          <w:szCs w:val="24"/>
        </w:rPr>
        <w:t xml:space="preserve"> </w:t>
      </w:r>
      <w:r w:rsidRPr="001E12EC">
        <w:rPr>
          <w:sz w:val="24"/>
          <w:szCs w:val="24"/>
        </w:rPr>
        <w:t>из них обучаются в первую смену</w:t>
      </w:r>
      <w:r w:rsidRPr="008043DF">
        <w:rPr>
          <w:sz w:val="24"/>
          <w:szCs w:val="24"/>
        </w:rPr>
        <w:t>, 172</w:t>
      </w:r>
      <w:r w:rsidR="008043DF" w:rsidRPr="008043DF">
        <w:rPr>
          <w:sz w:val="24"/>
          <w:szCs w:val="24"/>
        </w:rPr>
        <w:t>5 или 24,7</w:t>
      </w:r>
      <w:r w:rsidRPr="008043DF">
        <w:rPr>
          <w:sz w:val="24"/>
          <w:szCs w:val="24"/>
        </w:rPr>
        <w:t>%</w:t>
      </w:r>
      <w:r w:rsidRPr="001E12EC">
        <w:rPr>
          <w:sz w:val="24"/>
          <w:szCs w:val="24"/>
        </w:rPr>
        <w:t xml:space="preserve"> от общего числа контингента во вторую. </w:t>
      </w:r>
    </w:p>
    <w:p w:rsidR="001E12EC" w:rsidRPr="001E12EC" w:rsidRDefault="001E12EC" w:rsidP="00AE40F6">
      <w:pPr>
        <w:pStyle w:val="a6"/>
        <w:ind w:firstLine="708"/>
        <w:jc w:val="both"/>
        <w:rPr>
          <w:color w:val="FF0000"/>
          <w:sz w:val="24"/>
          <w:szCs w:val="24"/>
        </w:rPr>
      </w:pPr>
      <w:r w:rsidRPr="001E12EC">
        <w:rPr>
          <w:sz w:val="24"/>
          <w:szCs w:val="24"/>
        </w:rPr>
        <w:t>В 2014 году 22,4% школьников, это  809 первоклассников и 758 второклассников, обучаются по новым Федеральным Государственным образовательным стандартам. 100% учеников 1-2 классов имеют курсовую подготовку по работе с новыми учебными программами.</w:t>
      </w:r>
    </w:p>
    <w:p w:rsidR="001E12EC" w:rsidRPr="001E12EC" w:rsidRDefault="001E12EC" w:rsidP="00AE4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EC">
        <w:rPr>
          <w:rFonts w:ascii="Times New Roman" w:hAnsi="Times New Roman" w:cs="Times New Roman"/>
          <w:sz w:val="24"/>
          <w:szCs w:val="24"/>
        </w:rPr>
        <w:t xml:space="preserve">Удельный вес лиц, сдавших </w:t>
      </w:r>
      <w:r w:rsidR="00D2364D">
        <w:rPr>
          <w:rFonts w:ascii="Times New Roman" w:hAnsi="Times New Roman" w:cs="Times New Roman"/>
          <w:sz w:val="24"/>
          <w:szCs w:val="24"/>
        </w:rPr>
        <w:t>единый государственный экзаме</w:t>
      </w:r>
      <w:r w:rsidRPr="001E12EC">
        <w:rPr>
          <w:rFonts w:ascii="Times New Roman" w:hAnsi="Times New Roman" w:cs="Times New Roman"/>
          <w:sz w:val="24"/>
          <w:szCs w:val="24"/>
        </w:rPr>
        <w:t>н и в 2013  и в 2014 году</w:t>
      </w:r>
      <w:r w:rsidR="00D2364D">
        <w:rPr>
          <w:rFonts w:ascii="Times New Roman" w:hAnsi="Times New Roman" w:cs="Times New Roman"/>
          <w:sz w:val="24"/>
          <w:szCs w:val="24"/>
        </w:rPr>
        <w:t>,</w:t>
      </w:r>
      <w:r w:rsidRPr="001E12EC">
        <w:rPr>
          <w:rFonts w:ascii="Times New Roman" w:hAnsi="Times New Roman" w:cs="Times New Roman"/>
          <w:sz w:val="24"/>
          <w:szCs w:val="24"/>
        </w:rPr>
        <w:t xml:space="preserve"> составил по 99,7%.</w:t>
      </w:r>
    </w:p>
    <w:p w:rsidR="001E12EC" w:rsidRDefault="001E12EC" w:rsidP="0015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2EC" w:rsidRPr="0093488F" w:rsidRDefault="001E12EC" w:rsidP="00AE40F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4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Дополнительное образование</w:t>
      </w:r>
    </w:p>
    <w:p w:rsidR="001E12EC" w:rsidRPr="0093488F" w:rsidRDefault="001E12EC" w:rsidP="0093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348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Учреждения дополнительного образования в сфере культуры</w:t>
      </w:r>
    </w:p>
    <w:p w:rsidR="001E12EC" w:rsidRPr="001E12EC" w:rsidRDefault="001E12EC" w:rsidP="00D56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последних трёх  лет контингент обучающихся сохраняется, кроме того с целью обеспечения высокого качества образования с 2013 – 2014 учебного года учреждения реализуют предпрофессиональные образовательные программы</w:t>
      </w:r>
      <w:r w:rsidR="00D56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году </w:t>
      </w:r>
      <w:r w:rsidR="00D568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приняты 124 человека</w:t>
      </w:r>
      <w:r w:rsidR="00D56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12EC" w:rsidRPr="001E12EC" w:rsidRDefault="001E12EC" w:rsidP="00D56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2014 год учащиеся и преподаватели школ искусств города подготовили и провели 255 концертно-выставочных мероприятий, в которых приняли участие 96% обучающихся. </w:t>
      </w:r>
    </w:p>
    <w:p w:rsidR="001E12EC" w:rsidRPr="001E12EC" w:rsidRDefault="001E12EC" w:rsidP="00D56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2014 </w:t>
      </w:r>
      <w:proofErr w:type="gramStart"/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школ приняли активное участие в мероприятиях различного уровня. Показатели по данному направлению работы увеличились в 4 раза, в 2013 году участие в конкурсах и фестивалях различного уровня принимали 88 коллективов, в 2014 году их число составило 358. </w:t>
      </w:r>
    </w:p>
    <w:p w:rsidR="001E12EC" w:rsidRPr="001E12EC" w:rsidRDefault="001E12EC" w:rsidP="00D56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изменились показатели по числу поступивших в высшие и средние профессиональные учебные заведения:</w:t>
      </w:r>
    </w:p>
    <w:p w:rsidR="001E12EC" w:rsidRPr="001E12EC" w:rsidRDefault="001E12EC" w:rsidP="00D568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 2013 год 8 выпускников поступили в высшие учебные и 7 выпускников в средние учебные заведения; </w:t>
      </w:r>
    </w:p>
    <w:p w:rsidR="001E12EC" w:rsidRPr="001E12EC" w:rsidRDefault="001E12EC" w:rsidP="00D56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 2014 год 9 выпускников поступили только в высшие учебные заведения.  </w:t>
      </w:r>
    </w:p>
    <w:p w:rsidR="001E12EC" w:rsidRPr="001E12EC" w:rsidRDefault="001E12EC" w:rsidP="001575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2EC" w:rsidRPr="0093488F" w:rsidRDefault="001E12EC" w:rsidP="0093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348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Дополнительное образование детей в сфере физической культуры и спорта</w:t>
      </w:r>
    </w:p>
    <w:p w:rsidR="001E12EC" w:rsidRPr="001E12EC" w:rsidRDefault="001E12EC" w:rsidP="00310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Общее число занимающихся в 2014 году  в спортивных школах составило 2174 человека, в том числе 6-15 летнего возраста 1766 человек. </w:t>
      </w:r>
    </w:p>
    <w:p w:rsidR="001E12EC" w:rsidRPr="001E12EC" w:rsidRDefault="001E12EC" w:rsidP="00310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занимающихся в спортивных школах в 2014 году выросло на 252 человека, в том числе 6-15</w:t>
      </w:r>
      <w:r w:rsidR="0039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летнего возраста на 133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Прирост численности занимающихся в 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спортивных школах связан с передачей 4 видов спорта (прыжки на батуте, спортивная акробатика, каратэ, дзюдо) из муниципального бюджетного учреждения «Спорт-Альтаир» в </w:t>
      </w:r>
      <w:proofErr w:type="spellStart"/>
      <w:proofErr w:type="gramStart"/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</w:t>
      </w:r>
      <w:r w:rsidR="007252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2529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</w:t>
      </w:r>
      <w:proofErr w:type="spellEnd"/>
      <w:proofErr w:type="gramEnd"/>
      <w:r w:rsidR="00725292">
        <w:rPr>
          <w:rFonts w:ascii="Times New Roman" w:eastAsia="Times New Roman" w:hAnsi="Times New Roman" w:cs="Times New Roman"/>
          <w:sz w:val="24"/>
          <w:szCs w:val="24"/>
          <w:lang w:eastAsia="ru-RU"/>
        </w:rPr>
        <w:t>-юношеская спортивная школа №1»</w:t>
      </w: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12EC" w:rsidRPr="001E12EC" w:rsidRDefault="001E12EC" w:rsidP="00310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2014 год увеличилась численность занимающихся боксом на 18 человек, волейболом 71 человек, гиревым спортом 15 человек,  дзюдо 40 человек, пауэрлифтингом 82 человека, плаванием 140 человек,  хоккеем 51 человек и художественной гимнастикой 72 человека.</w:t>
      </w:r>
    </w:p>
    <w:p w:rsidR="001E12EC" w:rsidRPr="001E12EC" w:rsidRDefault="001E12EC" w:rsidP="00310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2014 в целом на 85,1% выросло общее число спортсменов, имеющих разряды:</w:t>
      </w:r>
    </w:p>
    <w:p w:rsidR="001E12EC" w:rsidRPr="001E12EC" w:rsidRDefault="001E12EC" w:rsidP="00310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-в 8,3 раза число спортсменов первого разряда;</w:t>
      </w:r>
    </w:p>
    <w:p w:rsidR="001E12EC" w:rsidRPr="001E12EC" w:rsidRDefault="001E12EC" w:rsidP="00310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-в 6 раз число кандидатов в мастера спорта;</w:t>
      </w:r>
    </w:p>
    <w:p w:rsidR="001E12EC" w:rsidRPr="001E12EC" w:rsidRDefault="001E12EC" w:rsidP="00310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62% число спортсменов, имеющих массовый разряд;</w:t>
      </w:r>
    </w:p>
    <w:p w:rsidR="001E12EC" w:rsidRPr="001E12EC" w:rsidRDefault="00725292" w:rsidP="00310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 </w:t>
      </w:r>
      <w:r w:rsidR="001E12EC"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3 человека получили звание «мастер спорта».</w:t>
      </w:r>
    </w:p>
    <w:p w:rsidR="00725292" w:rsidRDefault="00725292" w:rsidP="001575B4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2EC" w:rsidRPr="0093488F" w:rsidRDefault="001E12EC" w:rsidP="0093488F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348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Профессиональное образование</w:t>
      </w:r>
    </w:p>
    <w:p w:rsidR="001E12EC" w:rsidRPr="001E12EC" w:rsidRDefault="001E12EC" w:rsidP="0039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город Мегион начальное и среднее профессиональное обучение осуществляется на базе бюджетного учреждения профессионального образования Ханты-Мансийского автономного округа – Югры «Мегионский политехнический колледж».</w:t>
      </w:r>
    </w:p>
    <w:p w:rsidR="001E12EC" w:rsidRPr="001E12EC" w:rsidRDefault="001E12EC" w:rsidP="0039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на 01.01.2015 составляет 606 человек, из них обучающихся в очном отделении 576 человек, в заочном 30 человек.</w:t>
      </w:r>
    </w:p>
    <w:p w:rsidR="001E12EC" w:rsidRPr="001E12EC" w:rsidRDefault="001E12EC" w:rsidP="0039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ведётся по следующим направлениям:</w:t>
      </w:r>
    </w:p>
    <w:p w:rsidR="001E12EC" w:rsidRPr="001E12EC" w:rsidRDefault="001E12EC" w:rsidP="0039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-техническое обслуживание и ремонт автомобильного транспорта, число обучающихся 71 человек;</w:t>
      </w:r>
    </w:p>
    <w:p w:rsidR="001E12EC" w:rsidRPr="001E12EC" w:rsidRDefault="001E12EC" w:rsidP="0039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-экономика и бухгалтерский учёт, 61 человек;</w:t>
      </w:r>
    </w:p>
    <w:p w:rsidR="001E12EC" w:rsidRPr="001E12EC" w:rsidRDefault="001E12EC" w:rsidP="0039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-программирование в компьютерных системах, 53 человека;</w:t>
      </w:r>
    </w:p>
    <w:p w:rsidR="001E12EC" w:rsidRPr="001E12EC" w:rsidRDefault="001E12EC" w:rsidP="0039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-разработка и эксплуатация нефтяных и газовых месторождений, 144 человека;</w:t>
      </w:r>
    </w:p>
    <w:p w:rsidR="001E12EC" w:rsidRPr="001E12EC" w:rsidRDefault="001E12EC" w:rsidP="0039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-техническая эксплуатация и обслуживание электрического и электромеханического оборудования, 17 человек;</w:t>
      </w:r>
    </w:p>
    <w:p w:rsidR="001E12EC" w:rsidRPr="001E12EC" w:rsidRDefault="001E12EC" w:rsidP="0039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-документационное обеспечение управления и архивоведение, 18 человек;</w:t>
      </w:r>
    </w:p>
    <w:p w:rsidR="001E12EC" w:rsidRPr="001E12EC" w:rsidRDefault="001E12EC" w:rsidP="0039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-товароведение и экспертиза качества потребительских товаров, 21 человек;</w:t>
      </w:r>
    </w:p>
    <w:p w:rsidR="001E12EC" w:rsidRPr="001E12EC" w:rsidRDefault="001E12EC" w:rsidP="0039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-технология продукции общественного питания, 14 человек;</w:t>
      </w:r>
    </w:p>
    <w:p w:rsidR="001E12EC" w:rsidRPr="001E12EC" w:rsidRDefault="001E12EC" w:rsidP="0039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-автомеханик, 46 человек;</w:t>
      </w:r>
    </w:p>
    <w:p w:rsidR="001E12EC" w:rsidRPr="001E12EC" w:rsidRDefault="001E12EC" w:rsidP="0039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-повар, кондитер, 44 человека;</w:t>
      </w:r>
    </w:p>
    <w:p w:rsidR="001E12EC" w:rsidRPr="001E12EC" w:rsidRDefault="001E12EC" w:rsidP="0039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-оператор нефтяных и газовых скважин, 72 человека;</w:t>
      </w:r>
    </w:p>
    <w:p w:rsidR="001E12EC" w:rsidRPr="001E12EC" w:rsidRDefault="001E12EC" w:rsidP="0039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-электромонтер по ремонту и обслуживанию электрооборудования, 11 человек;</w:t>
      </w:r>
    </w:p>
    <w:p w:rsidR="001E12EC" w:rsidRPr="001E12EC" w:rsidRDefault="001E12EC" w:rsidP="0039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-парикмахер, 11 человек;</w:t>
      </w:r>
    </w:p>
    <w:p w:rsidR="001E12EC" w:rsidRPr="001E12EC" w:rsidRDefault="001E12EC" w:rsidP="0039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-контролер сберегательного банка, 23 человека.</w:t>
      </w:r>
    </w:p>
    <w:p w:rsidR="001E12EC" w:rsidRPr="001E12EC" w:rsidRDefault="001E12EC" w:rsidP="0039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выпускников в 2014 году составляет 168 человек.</w:t>
      </w:r>
    </w:p>
    <w:p w:rsidR="001E12EC" w:rsidRPr="001E12EC" w:rsidRDefault="001E12EC" w:rsidP="0039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учреждения функционируют курсы повышения квалификации специалистов учреждений, организаций городского округа. За 2014 год повышение квалификации прошли 164 человека.</w:t>
      </w:r>
    </w:p>
    <w:p w:rsidR="001E6E56" w:rsidRDefault="001E6E56" w:rsidP="001E6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E56" w:rsidRPr="00C474B7" w:rsidRDefault="001E6E56" w:rsidP="00C4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</w:p>
    <w:p w:rsidR="001E6E56" w:rsidRPr="001E6E56" w:rsidRDefault="001E6E56" w:rsidP="001E6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E56" w:rsidRPr="001E6E56" w:rsidRDefault="001E6E56" w:rsidP="001E6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культуры городского округа город Мегион включает в свой состав 4 учреждения культуры:</w:t>
      </w:r>
    </w:p>
    <w:p w:rsidR="001E6E56" w:rsidRPr="001E6E56" w:rsidRDefault="001E6E56" w:rsidP="001E6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-муниципальное бюджетное учреждение «Централизованная библиотечная система»;</w:t>
      </w:r>
    </w:p>
    <w:p w:rsidR="001E6E56" w:rsidRPr="001E6E56" w:rsidRDefault="001E6E56" w:rsidP="001E6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-муниципальное автономное учреждение «Региональный историко-культурный и экологический центр»;</w:t>
      </w:r>
    </w:p>
    <w:p w:rsidR="001E6E56" w:rsidRPr="001E6E56" w:rsidRDefault="001E6E56" w:rsidP="001E6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муниципальное автономное учреждение «Театр музыки»;</w:t>
      </w:r>
    </w:p>
    <w:p w:rsidR="001E6E56" w:rsidRPr="001E6E56" w:rsidRDefault="001E6E56" w:rsidP="001E6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-муниципальное автономное учреждение «Дворец искусств»;</w:t>
      </w:r>
    </w:p>
    <w:p w:rsidR="001E6E56" w:rsidRPr="001E6E56" w:rsidRDefault="001E6E56" w:rsidP="001E6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 учреждения дополнительного образования детей:</w:t>
      </w:r>
    </w:p>
    <w:p w:rsidR="001E6E56" w:rsidRPr="001E6E56" w:rsidRDefault="001E6E56" w:rsidP="001E6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-муниципальное бюджетное учреждения дополнительного образования детей «Детская школа искусств имени </w:t>
      </w:r>
      <w:proofErr w:type="spellStart"/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А.М.Кузьмина</w:t>
      </w:r>
      <w:proofErr w:type="spellEnd"/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E6E56" w:rsidRPr="001E6E56" w:rsidRDefault="001E6E56" w:rsidP="001E6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-муниципальное бюджетное учреждения дополнительного образования детей «Детская школа искусств №2»;</w:t>
      </w:r>
    </w:p>
    <w:p w:rsidR="001E6E56" w:rsidRPr="001E6E56" w:rsidRDefault="001E6E56" w:rsidP="001E6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-муниципальное бюджетное учреждения дополнительного образования детей «Детская художественная школа.</w:t>
      </w:r>
    </w:p>
    <w:p w:rsidR="001E6E56" w:rsidRDefault="001E6E56" w:rsidP="001E6E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E56" w:rsidRPr="0093488F" w:rsidRDefault="001E6E56" w:rsidP="001E6E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4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Библиотечное дело</w:t>
      </w:r>
    </w:p>
    <w:p w:rsidR="001E6E56" w:rsidRPr="001E6E56" w:rsidRDefault="001E6E56" w:rsidP="001E6E5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6E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Библиотечное обслуживание населения городского округа город Мегион осуществляет муниципальное учреждение «Централизованная библиотечная система». </w:t>
      </w:r>
    </w:p>
    <w:p w:rsidR="001E6E56" w:rsidRPr="001E6E56" w:rsidRDefault="001E6E56" w:rsidP="001E6E5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6E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01.01.2015 в библиотеках численность контингента составляет 14302 читателя, книговыдача  266027,  количество посещений 95 436. </w:t>
      </w:r>
    </w:p>
    <w:p w:rsidR="001E6E56" w:rsidRPr="001E6E56" w:rsidRDefault="001E6E56" w:rsidP="001E6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E6E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Совокупный книжный фонд централизованной библиотечной системы на 01.01.2015 составляет  </w:t>
      </w: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166402 экземпляра. Прирост фонда за год составил 3,1%, обращаемость 1,6%. Всего в 2014 году поступило 10811 экземпляров, на 1336 экземпляров больше, чем в 2013 году. Ежегодно увеличивается </w:t>
      </w:r>
      <w:r w:rsidRPr="001E6E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объём новых поступлений в фонды, за 2014 год поступило 193 книги на 1000  жителей, тогда как в  2013 году 169 книг, в 2012 году 119 книг. Нормативный показатель, 250 книг, пока не достигнут. </w:t>
      </w:r>
    </w:p>
    <w:p w:rsidR="001E6E56" w:rsidRPr="001E6E56" w:rsidRDefault="001E6E56" w:rsidP="001E6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1E6E56" w:rsidRPr="0093488F" w:rsidRDefault="001E6E56" w:rsidP="001E6E56">
      <w:pPr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4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Досуговые учреждения</w:t>
      </w:r>
    </w:p>
    <w:p w:rsidR="001E6E56" w:rsidRPr="001E6E56" w:rsidRDefault="001E6E56" w:rsidP="001E6E56">
      <w:pPr>
        <w:spacing w:after="0" w:line="240" w:lineRule="auto"/>
        <w:ind w:right="-57" w:firstLine="8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E56">
        <w:rPr>
          <w:rFonts w:ascii="Times New Roman" w:eastAsia="Calibri" w:hAnsi="Times New Roman" w:cs="Times New Roman"/>
          <w:sz w:val="24"/>
          <w:szCs w:val="24"/>
        </w:rPr>
        <w:t>Культурно-досуговые учреждения на территории городского округа город Мегион представлены двумя учреждениями:</w:t>
      </w:r>
    </w:p>
    <w:p w:rsidR="001E6E56" w:rsidRPr="001E6E56" w:rsidRDefault="001E6E56" w:rsidP="001E6E56">
      <w:pPr>
        <w:spacing w:after="0" w:line="240" w:lineRule="auto"/>
        <w:ind w:right="-57" w:firstLine="8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E56">
        <w:rPr>
          <w:rFonts w:ascii="Times New Roman" w:eastAsia="Calibri" w:hAnsi="Times New Roman" w:cs="Times New Roman"/>
          <w:sz w:val="24"/>
          <w:szCs w:val="24"/>
        </w:rPr>
        <w:t>-муниципальное автономное учреждение «Центр культуры и досуга»;</w:t>
      </w:r>
    </w:p>
    <w:p w:rsidR="001E6E56" w:rsidRPr="001E6E56" w:rsidRDefault="001E6E56" w:rsidP="001E6E56">
      <w:pPr>
        <w:spacing w:after="0" w:line="240" w:lineRule="auto"/>
        <w:ind w:right="-57" w:firstLine="8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E56">
        <w:rPr>
          <w:rFonts w:ascii="Times New Roman" w:eastAsia="Calibri" w:hAnsi="Times New Roman" w:cs="Times New Roman"/>
          <w:sz w:val="24"/>
          <w:szCs w:val="24"/>
        </w:rPr>
        <w:t>-муниципальное бюджетное учреждение «Дворец искусств».</w:t>
      </w:r>
    </w:p>
    <w:p w:rsidR="001E6E56" w:rsidRPr="001E6E56" w:rsidRDefault="001E6E56" w:rsidP="001E6E56">
      <w:pPr>
        <w:autoSpaceDE w:val="0"/>
        <w:autoSpaceDN w:val="0"/>
        <w:adjustRightInd w:val="0"/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6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запланированные городские мероприятия проведены в соответствии с планом работы на 2014 год. </w:t>
      </w: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крупными являются мероприятия: Праздник Масленицы, День города, День Победы, День нефтяника, День округа, Новогодние и Рождественские праздники.</w:t>
      </w:r>
      <w:r w:rsidRPr="001E6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E6E56" w:rsidRPr="001E6E56" w:rsidRDefault="001E6E56" w:rsidP="001E6E56">
      <w:p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коллективы муниципального автономного учреждения «Дворец искусств» приняли участие в 2 межрегиональных фестивалях, </w:t>
      </w:r>
      <w:proofErr w:type="gramStart"/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в  5</w:t>
      </w:r>
      <w:proofErr w:type="gramEnd"/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фестивалях окружного значения,  в 7 городских фестивалях и конкурсах.</w:t>
      </w:r>
    </w:p>
    <w:p w:rsidR="001E6E56" w:rsidRPr="001E6E56" w:rsidRDefault="001E6E56" w:rsidP="001E6E56">
      <w:pPr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клубных формирований в 2014 году выросло на 1 единицу и составило 36, участников в них 480 человек против 389 в 2013 году, в том числе детей –186 (136 в 2013 году). Клубные формирования функционируют на бесплатной основе.</w:t>
      </w:r>
    </w:p>
    <w:p w:rsidR="001E6E56" w:rsidRPr="001E6E56" w:rsidRDefault="001E6E56" w:rsidP="001E6E56">
      <w:pPr>
        <w:spacing w:after="0" w:line="240" w:lineRule="auto"/>
        <w:ind w:right="-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E56" w:rsidRPr="0093488F" w:rsidRDefault="001E6E56" w:rsidP="001E6E56">
      <w:pPr>
        <w:spacing w:after="0" w:line="240" w:lineRule="auto"/>
        <w:ind w:right="-57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4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Музейное дело</w:t>
      </w:r>
    </w:p>
    <w:p w:rsidR="001E6E56" w:rsidRPr="001E6E56" w:rsidRDefault="001E6E56" w:rsidP="001E6E56">
      <w:pPr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сохранению историко-культурного наследия в городе Мегионе осуществляет муниципальное учреждение «Региональный историко-культурный и экологический центр». В сравнении с прошлым годом количество посещений увеличилось на 627, выставок на 5 единиц. </w:t>
      </w:r>
    </w:p>
    <w:p w:rsidR="001E6E56" w:rsidRPr="001E6E56" w:rsidRDefault="001E6E56" w:rsidP="001E6E56">
      <w:p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Музейное собрание увеличилось на 839 предметов по сравнению с 2013 годом и составило 16685 единиц хранения,  в том числе основной фонд увеличился на 559 единиц и составил 12092. В течение года из основного фонда экспонировал</w:t>
      </w:r>
      <w:r w:rsidR="007252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5231 единица музейных предметов основного фонда, </w:t>
      </w:r>
      <w:r w:rsidR="0072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чем в прошлом году на 3056 единиц.</w:t>
      </w:r>
    </w:p>
    <w:p w:rsidR="001E6E56" w:rsidRPr="001E6E56" w:rsidRDefault="001E6E56" w:rsidP="001E6E56">
      <w:pPr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электронную базу «</w:t>
      </w:r>
      <w:proofErr w:type="spellStart"/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Камис</w:t>
      </w:r>
      <w:proofErr w:type="spellEnd"/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внесено 16685 записей, что составляет 100% от общего фонда, из них за 2014 год внесено 3661 предмет. </w:t>
      </w:r>
    </w:p>
    <w:p w:rsidR="001E6E56" w:rsidRDefault="001E6E56" w:rsidP="001E6E5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E56" w:rsidRPr="0093488F" w:rsidRDefault="001E6E56" w:rsidP="001E6E56">
      <w:pPr>
        <w:spacing w:after="0" w:line="240" w:lineRule="auto"/>
        <w:ind w:right="-57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4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Концертная деятельность</w:t>
      </w:r>
    </w:p>
    <w:p w:rsidR="001E6E56" w:rsidRPr="001E6E56" w:rsidRDefault="001E6E56" w:rsidP="001E6E56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 коллектива муниципального автономного учреждения «Театр музыки», занимающегося данным видом деятельности, разнообразен. В течение 2014 года было проведено  76  мероприятий, среди которых наиболее знаковыми явились:</w:t>
      </w:r>
    </w:p>
    <w:p w:rsidR="001E6E56" w:rsidRPr="001E6E56" w:rsidRDefault="001E6E56" w:rsidP="001E6E56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-премьера музыкального действа «</w:t>
      </w:r>
      <w:r w:rsidRPr="001E6E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Cabaret</w:t>
      </w: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«Бродячая собака»; </w:t>
      </w:r>
    </w:p>
    <w:p w:rsidR="001E6E56" w:rsidRPr="001E6E56" w:rsidRDefault="001E6E56" w:rsidP="001E6E56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-премьера спектакля «Ты»;</w:t>
      </w:r>
    </w:p>
    <w:p w:rsidR="001E6E56" w:rsidRPr="001E6E56" w:rsidRDefault="001E6E56" w:rsidP="001E6E56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5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-премьера музыкального спектакля для семейного просмотра «Ну и дела-а-а-а!».</w:t>
      </w:r>
    </w:p>
    <w:p w:rsidR="001E6E56" w:rsidRDefault="001E6E56" w:rsidP="001E6E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6E56" w:rsidRPr="001E6E56" w:rsidRDefault="001E6E56" w:rsidP="001E6E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6E56">
        <w:rPr>
          <w:rFonts w:ascii="Times New Roman" w:eastAsia="Calibri" w:hAnsi="Times New Roman" w:cs="Times New Roman"/>
          <w:sz w:val="24"/>
          <w:szCs w:val="24"/>
        </w:rPr>
        <w:t>Показатели обеспеченности учреждениями культуры</w:t>
      </w:r>
    </w:p>
    <w:p w:rsidR="001E6E56" w:rsidRPr="001E6E56" w:rsidRDefault="001E6E56" w:rsidP="001E6E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6"/>
        <w:gridCol w:w="1984"/>
        <w:gridCol w:w="1064"/>
        <w:gridCol w:w="1065"/>
        <w:gridCol w:w="1315"/>
      </w:tblGrid>
      <w:tr w:rsidR="001E6E56" w:rsidRPr="001E6E56" w:rsidTr="00D37EEF">
        <w:trPr>
          <w:trHeight w:val="24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E5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E56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Социальные нормативы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E56">
              <w:rPr>
                <w:rFonts w:ascii="Times New Roman" w:eastAsia="Calibri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E56">
              <w:rPr>
                <w:rFonts w:ascii="Times New Roman" w:eastAsia="Calibri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E56">
              <w:rPr>
                <w:rFonts w:ascii="Times New Roman" w:eastAsia="Calibri" w:hAnsi="Times New Roman" w:cs="Times New Roman"/>
                <w:sz w:val="20"/>
                <w:szCs w:val="20"/>
              </w:rPr>
              <w:t>%,</w:t>
            </w:r>
          </w:p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E56">
              <w:rPr>
                <w:rFonts w:ascii="Times New Roman" w:eastAsia="Calibri" w:hAnsi="Times New Roman" w:cs="Times New Roman"/>
                <w:sz w:val="20"/>
                <w:szCs w:val="20"/>
              </w:rPr>
              <w:t>2014 к 2013</w:t>
            </w:r>
          </w:p>
        </w:tc>
      </w:tr>
      <w:tr w:rsidR="001E6E56" w:rsidRPr="001E6E56" w:rsidTr="00D37EEF">
        <w:trPr>
          <w:trHeight w:val="245"/>
          <w:jc w:val="center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 на конец года, человек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55 980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56104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100,2</w:t>
            </w:r>
          </w:p>
        </w:tc>
      </w:tr>
      <w:tr w:rsidR="001E6E56" w:rsidRPr="001E6E56" w:rsidTr="00D37EEF">
        <w:trPr>
          <w:trHeight w:val="245"/>
          <w:jc w:val="center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Клубные учреждения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6E56" w:rsidRPr="001E6E56" w:rsidTr="00D37EEF">
        <w:trPr>
          <w:trHeight w:val="24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*необходимая мощность по нормативу</w:t>
            </w:r>
          </w:p>
          <w:p w:rsidR="001E6E56" w:rsidRPr="001E6E56" w:rsidRDefault="001E6E56" w:rsidP="001E6E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E56">
              <w:rPr>
                <w:rFonts w:ascii="Times New Roman" w:eastAsia="Calibri" w:hAnsi="Times New Roman" w:cs="Times New Roman"/>
                <w:sz w:val="20"/>
                <w:szCs w:val="20"/>
              </w:rPr>
              <w:t>(с учетом +500 мест на городской округ с населением свыше 50 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E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 посадочных мест  на 1000 населения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2179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2183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100,2</w:t>
            </w:r>
          </w:p>
        </w:tc>
      </w:tr>
      <w:tr w:rsidR="001E6E56" w:rsidRPr="001E6E56" w:rsidTr="00D37EEF">
        <w:trPr>
          <w:trHeight w:val="24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фактически располагаемые мощности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E56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1E6E56" w:rsidRPr="001E6E56" w:rsidTr="00D37EEF">
        <w:trPr>
          <w:trHeight w:val="24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E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-0,1 </w:t>
            </w:r>
            <w:r w:rsidRPr="001E6E56">
              <w:rPr>
                <w:rFonts w:ascii="Times New Roman" w:eastAsia="Calibri" w:hAnsi="Times New Roman" w:cs="Times New Roman"/>
                <w:sz w:val="16"/>
                <w:szCs w:val="16"/>
              </w:rPr>
              <w:t>процентных пунктов</w:t>
            </w:r>
          </w:p>
        </w:tc>
      </w:tr>
      <w:tr w:rsidR="001E6E56" w:rsidRPr="001E6E56" w:rsidTr="00D37EEF">
        <w:trPr>
          <w:trHeight w:val="245"/>
          <w:jc w:val="center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Библиотечная система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6E56" w:rsidRPr="001E6E56" w:rsidTr="00D37EEF">
        <w:trPr>
          <w:trHeight w:val="307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* необходимая мощность по нормативу</w:t>
            </w:r>
          </w:p>
          <w:p w:rsidR="001E6E56" w:rsidRPr="001E6E56" w:rsidRDefault="001E6E56" w:rsidP="001E6E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E6E56">
              <w:rPr>
                <w:rFonts w:ascii="Times New Roman" w:eastAsia="Calibri" w:hAnsi="Times New Roman" w:cs="Times New Roman"/>
                <w:sz w:val="16"/>
                <w:szCs w:val="16"/>
              </w:rPr>
              <w:t>в расчёт количества библиотек дополнительно включается 1 детская библиотека на 4-7 тыс. школьников и дошкольников на городской округ с численностью жителей свыше 50 .тыс.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E56">
              <w:rPr>
                <w:rFonts w:ascii="Times New Roman" w:eastAsia="Calibri" w:hAnsi="Times New Roman" w:cs="Times New Roman"/>
                <w:sz w:val="20"/>
                <w:szCs w:val="20"/>
              </w:rPr>
              <w:t>1,3 библиотеки на 10,0 тыс. населения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1E6E56" w:rsidRPr="001E6E56" w:rsidTr="00D37EEF">
        <w:trPr>
          <w:trHeight w:val="15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* фактически располагаемые мощности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E56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1E6E56" w:rsidRPr="001E6E56" w:rsidTr="00D37EEF">
        <w:trPr>
          <w:trHeight w:val="24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обеспеченности без учета передвижных библиотек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E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E6E56" w:rsidRPr="001E6E56" w:rsidTr="00D37EEF">
        <w:trPr>
          <w:trHeight w:val="24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обеспеченности с учетом передвижных библиотек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E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E6E56" w:rsidRPr="001E6E56" w:rsidTr="00D37EEF">
        <w:trPr>
          <w:trHeight w:val="245"/>
          <w:jc w:val="center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Музеи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6E56" w:rsidRPr="001E6E56" w:rsidTr="00D37EEF">
        <w:trPr>
          <w:trHeight w:val="32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* необходимая мощность по нормативу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E56">
              <w:rPr>
                <w:rFonts w:ascii="Times New Roman" w:eastAsia="Calibri" w:hAnsi="Times New Roman" w:cs="Times New Roman"/>
                <w:sz w:val="20"/>
                <w:szCs w:val="20"/>
              </w:rPr>
              <w:t>0,4 музея на 10 000 населения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1E6E56" w:rsidRPr="001E6E56" w:rsidTr="00D37EEF">
        <w:trPr>
          <w:trHeight w:val="22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* фактически располагаемые мощности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E56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1E6E56" w:rsidRPr="001E6E56" w:rsidTr="00D37EEF">
        <w:trPr>
          <w:trHeight w:val="24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E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6" w:rsidRPr="001E6E56" w:rsidRDefault="001E6E56" w:rsidP="001E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5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1E6E56" w:rsidRPr="001E6E56" w:rsidRDefault="001E6E56" w:rsidP="001E6E5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6E56" w:rsidRPr="001E6E56" w:rsidRDefault="001E6E56" w:rsidP="001E6E5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E56">
        <w:rPr>
          <w:rFonts w:ascii="Times New Roman" w:eastAsia="Calibri" w:hAnsi="Times New Roman" w:cs="Times New Roman"/>
          <w:sz w:val="24"/>
          <w:szCs w:val="24"/>
        </w:rPr>
        <w:tab/>
        <w:t>Для полного обеспечения объектами культуры и досуга на территории городского округа город Мегион необходимо дополнительно ввести 860 посадочных мест в клубных учреждениях, 2 библиотечных учреждения, 1 музейное учреждение в типовых зданиях.</w:t>
      </w:r>
    </w:p>
    <w:p w:rsidR="0025540C" w:rsidRDefault="001E6E56" w:rsidP="001E6E5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E56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F2425D" w:rsidRPr="00C474B7" w:rsidRDefault="00F2425D" w:rsidP="00C474B7">
      <w:pPr>
        <w:pStyle w:val="af0"/>
        <w:spacing w:after="0" w:line="240" w:lineRule="auto"/>
        <w:ind w:left="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474B7">
        <w:rPr>
          <w:rFonts w:ascii="Times New Roman" w:hAnsi="Times New Roman" w:cs="Times New Roman"/>
          <w:bCs/>
          <w:sz w:val="24"/>
          <w:szCs w:val="24"/>
        </w:rPr>
        <w:t xml:space="preserve">ФИЗИЧЕСКАЯ КУЛЬТУРА И СПОРТ </w:t>
      </w:r>
    </w:p>
    <w:p w:rsidR="00F2425D" w:rsidRPr="00F2425D" w:rsidRDefault="00F2425D" w:rsidP="00F2425D">
      <w:pPr>
        <w:pStyle w:val="af0"/>
        <w:spacing w:after="0" w:line="240" w:lineRule="auto"/>
        <w:ind w:left="0" w:firstLine="53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425D" w:rsidRPr="00F2425D" w:rsidRDefault="00F2425D" w:rsidP="00F2425D">
      <w:pPr>
        <w:pStyle w:val="af0"/>
        <w:spacing w:after="0" w:line="240" w:lineRule="auto"/>
        <w:ind w:left="0" w:firstLine="539"/>
        <w:rPr>
          <w:sz w:val="24"/>
          <w:szCs w:val="24"/>
        </w:rPr>
      </w:pPr>
      <w:r w:rsidRPr="00F2425D">
        <w:rPr>
          <w:rFonts w:ascii="Times New Roman" w:hAnsi="Times New Roman" w:cs="Times New Roman"/>
          <w:bCs/>
          <w:sz w:val="24"/>
          <w:szCs w:val="24"/>
        </w:rPr>
        <w:t>Отрасль «физическая культура и спорт» городского округа город Мегион  включает в свой состав муниципальное бюджетное учреждения «Центр спортивной подготовки «Спорт-Альтаир» 3 учреждения дополнительного образования детей.</w:t>
      </w:r>
    </w:p>
    <w:p w:rsidR="00F2425D" w:rsidRDefault="00F2425D" w:rsidP="00F242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Положительным является факт увеличения занимающихся спортом жителей городского округа. </w:t>
      </w:r>
    </w:p>
    <w:p w:rsidR="009A5BFE" w:rsidRPr="00816E62" w:rsidRDefault="009A5BFE" w:rsidP="009A5BFE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816E62">
        <w:rPr>
          <w:rFonts w:ascii="Times New Roman" w:hAnsi="Times New Roman"/>
          <w:sz w:val="24"/>
          <w:szCs w:val="24"/>
        </w:rPr>
        <w:t>За отчетный период на территории города было организовано и проведено 162 спортивно-массовых мероприятия, в которых участвовали 9921 человек,  из них детей до 18 лет 7923 человека.</w:t>
      </w:r>
    </w:p>
    <w:p w:rsidR="009A5BFE" w:rsidRDefault="009A5BFE" w:rsidP="00F2425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74B7" w:rsidRDefault="00C474B7" w:rsidP="00F2425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2425D" w:rsidRPr="0093488F" w:rsidRDefault="00F2425D" w:rsidP="00F2425D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3488F">
        <w:rPr>
          <w:rFonts w:ascii="Times New Roman" w:hAnsi="Times New Roman"/>
          <w:i/>
          <w:sz w:val="24"/>
          <w:szCs w:val="24"/>
        </w:rPr>
        <w:t>Работа со студенческой и учащейся молодежью</w:t>
      </w:r>
    </w:p>
    <w:p w:rsidR="00F2425D" w:rsidRPr="00816E62" w:rsidRDefault="00B05BB7" w:rsidP="00F24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2425D" w:rsidRPr="00816E62">
        <w:rPr>
          <w:rFonts w:ascii="Times New Roman" w:hAnsi="Times New Roman"/>
          <w:sz w:val="24"/>
          <w:szCs w:val="24"/>
        </w:rPr>
        <w:t>а базе Центра гражданского и военно-патриотического воспитания молодёжи «Форпост» согласно  плану мероприятий</w:t>
      </w:r>
      <w:r w:rsidRPr="00B05BB7">
        <w:rPr>
          <w:rFonts w:ascii="Times New Roman" w:hAnsi="Times New Roman"/>
          <w:sz w:val="24"/>
          <w:szCs w:val="24"/>
        </w:rPr>
        <w:t xml:space="preserve"> </w:t>
      </w:r>
      <w:r w:rsidRPr="00816E62">
        <w:rPr>
          <w:rFonts w:ascii="Times New Roman" w:hAnsi="Times New Roman"/>
          <w:sz w:val="24"/>
          <w:szCs w:val="24"/>
        </w:rPr>
        <w:t>проводится</w:t>
      </w:r>
      <w:r w:rsidRPr="00B05B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 w:rsidRPr="00816E62">
        <w:rPr>
          <w:rFonts w:ascii="Times New Roman" w:hAnsi="Times New Roman"/>
          <w:sz w:val="24"/>
          <w:szCs w:val="24"/>
        </w:rPr>
        <w:t>еленаправленная работа с призывной и допризывной молодежью</w:t>
      </w:r>
      <w:r w:rsidR="00F2425D" w:rsidRPr="00816E62">
        <w:rPr>
          <w:rFonts w:ascii="Times New Roman" w:hAnsi="Times New Roman"/>
          <w:sz w:val="24"/>
          <w:szCs w:val="24"/>
        </w:rPr>
        <w:t>.</w:t>
      </w:r>
    </w:p>
    <w:p w:rsidR="00F2425D" w:rsidRPr="00816E62" w:rsidRDefault="00F2425D" w:rsidP="00F24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E62">
        <w:rPr>
          <w:rFonts w:ascii="Times New Roman" w:hAnsi="Times New Roman"/>
          <w:sz w:val="24"/>
          <w:szCs w:val="24"/>
        </w:rPr>
        <w:lastRenderedPageBreak/>
        <w:t xml:space="preserve">По состоянию на </w:t>
      </w:r>
      <w:r>
        <w:rPr>
          <w:rFonts w:ascii="Times New Roman" w:hAnsi="Times New Roman"/>
          <w:sz w:val="24"/>
          <w:szCs w:val="24"/>
        </w:rPr>
        <w:t>01.01.2015</w:t>
      </w:r>
      <w:r w:rsidRPr="00816E62">
        <w:rPr>
          <w:rFonts w:ascii="Times New Roman" w:hAnsi="Times New Roman"/>
          <w:sz w:val="24"/>
          <w:szCs w:val="24"/>
        </w:rPr>
        <w:t xml:space="preserve"> в Центре «Форпост» занимается  155 человек. Всего за 2014 год 37 мероприятий различного характера и направленности, в которых приняло участие 1115 человек. В 2013 году было проведено 34 мероприятия, приняло участие 990 человек.</w:t>
      </w:r>
    </w:p>
    <w:p w:rsidR="00F2425D" w:rsidRPr="00816E62" w:rsidRDefault="00F2425D" w:rsidP="00F24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E62">
        <w:rPr>
          <w:rFonts w:ascii="Times New Roman" w:hAnsi="Times New Roman"/>
          <w:sz w:val="24"/>
          <w:szCs w:val="24"/>
        </w:rPr>
        <w:t>Работа с молодежью организована также в Муниципальном молодёжном автономном учреждении «Старт». По состоянию на 31.12.2014 в ММАУ «Старт» работают 2 клуба физкультурного направления:</w:t>
      </w:r>
    </w:p>
    <w:p w:rsidR="00F2425D" w:rsidRPr="00816E62" w:rsidRDefault="00F2425D" w:rsidP="00F24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E62">
        <w:rPr>
          <w:rFonts w:ascii="Times New Roman" w:hAnsi="Times New Roman"/>
          <w:sz w:val="24"/>
          <w:szCs w:val="24"/>
        </w:rPr>
        <w:t>-казачий патриотический клуб «Богатырь», рассчитанный на 30 человек</w:t>
      </w:r>
      <w:r>
        <w:rPr>
          <w:rFonts w:ascii="Times New Roman" w:hAnsi="Times New Roman"/>
          <w:sz w:val="24"/>
          <w:szCs w:val="24"/>
        </w:rPr>
        <w:t xml:space="preserve"> единовременного посещения</w:t>
      </w:r>
      <w:r w:rsidRPr="00816E62">
        <w:rPr>
          <w:rFonts w:ascii="Times New Roman" w:hAnsi="Times New Roman"/>
          <w:sz w:val="24"/>
          <w:szCs w:val="24"/>
        </w:rPr>
        <w:t>, в казачьем патриотическом клубе проходят занятия по привитию навыков единоборств, прикладных видов спорта;</w:t>
      </w:r>
    </w:p>
    <w:p w:rsidR="00F2425D" w:rsidRPr="00816E62" w:rsidRDefault="00F2425D" w:rsidP="00F24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E62">
        <w:rPr>
          <w:rFonts w:ascii="Times New Roman" w:hAnsi="Times New Roman"/>
          <w:sz w:val="24"/>
          <w:szCs w:val="24"/>
        </w:rPr>
        <w:t>-конный клуб «Мустанг» на 18 человек</w:t>
      </w:r>
      <w:r>
        <w:rPr>
          <w:rFonts w:ascii="Times New Roman" w:hAnsi="Times New Roman"/>
          <w:sz w:val="24"/>
          <w:szCs w:val="24"/>
        </w:rPr>
        <w:t xml:space="preserve"> единовременного посещения</w:t>
      </w:r>
      <w:r w:rsidRPr="00816E62">
        <w:rPr>
          <w:rFonts w:ascii="Times New Roman" w:hAnsi="Times New Roman"/>
          <w:sz w:val="24"/>
          <w:szCs w:val="24"/>
        </w:rPr>
        <w:t xml:space="preserve">, проводятся занятия по привитию навыков верховой езды. </w:t>
      </w:r>
    </w:p>
    <w:p w:rsidR="00F2425D" w:rsidRPr="00816E62" w:rsidRDefault="00F2425D" w:rsidP="00F2425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A5BFE" w:rsidRPr="00816E62" w:rsidRDefault="00F2425D" w:rsidP="009A5B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E62">
        <w:rPr>
          <w:rFonts w:ascii="Times New Roman" w:hAnsi="Times New Roman"/>
          <w:sz w:val="24"/>
          <w:szCs w:val="24"/>
        </w:rPr>
        <w:t xml:space="preserve">В соответствии с учебным планом в конце учебного года в школах проводятся учебно-полевые сборы для </w:t>
      </w:r>
      <w:r w:rsidR="00B05BB7">
        <w:rPr>
          <w:rFonts w:ascii="Times New Roman" w:hAnsi="Times New Roman"/>
          <w:sz w:val="24"/>
          <w:szCs w:val="24"/>
        </w:rPr>
        <w:t>о</w:t>
      </w:r>
      <w:r w:rsidR="00B05BB7" w:rsidRPr="00816E62">
        <w:rPr>
          <w:rFonts w:ascii="Times New Roman" w:hAnsi="Times New Roman"/>
          <w:sz w:val="24"/>
          <w:szCs w:val="24"/>
        </w:rPr>
        <w:t>рганизаци</w:t>
      </w:r>
      <w:r w:rsidR="00B05BB7">
        <w:rPr>
          <w:rFonts w:ascii="Times New Roman" w:hAnsi="Times New Roman"/>
          <w:sz w:val="24"/>
          <w:szCs w:val="24"/>
        </w:rPr>
        <w:t>и</w:t>
      </w:r>
      <w:r w:rsidR="00B05BB7" w:rsidRPr="00816E62">
        <w:rPr>
          <w:rFonts w:ascii="Times New Roman" w:hAnsi="Times New Roman"/>
          <w:sz w:val="24"/>
          <w:szCs w:val="24"/>
        </w:rPr>
        <w:t xml:space="preserve"> работы с молодежью призывного и допризывного возраста</w:t>
      </w:r>
      <w:r w:rsidR="00B05BB7">
        <w:rPr>
          <w:rFonts w:ascii="Times New Roman" w:hAnsi="Times New Roman"/>
          <w:sz w:val="24"/>
          <w:szCs w:val="24"/>
        </w:rPr>
        <w:t xml:space="preserve">. </w:t>
      </w:r>
      <w:r w:rsidRPr="00816E62">
        <w:rPr>
          <w:rFonts w:ascii="Times New Roman" w:hAnsi="Times New Roman"/>
          <w:sz w:val="24"/>
          <w:szCs w:val="24"/>
        </w:rPr>
        <w:t>В течение учебного года проводятся практические занятия по основам военной службы с молодёжью допризывного возраста</w:t>
      </w:r>
      <w:r w:rsidR="009A5BFE">
        <w:rPr>
          <w:rFonts w:ascii="Times New Roman" w:hAnsi="Times New Roman"/>
          <w:sz w:val="24"/>
          <w:szCs w:val="24"/>
        </w:rPr>
        <w:t xml:space="preserve"> совместно с отделом </w:t>
      </w:r>
      <w:r w:rsidRPr="00816E62">
        <w:rPr>
          <w:rFonts w:ascii="Times New Roman" w:hAnsi="Times New Roman"/>
          <w:sz w:val="24"/>
          <w:szCs w:val="24"/>
        </w:rPr>
        <w:t>военного комиссариата</w:t>
      </w:r>
      <w:r w:rsidR="009A5BFE">
        <w:rPr>
          <w:rFonts w:ascii="Times New Roman" w:hAnsi="Times New Roman"/>
          <w:sz w:val="24"/>
          <w:szCs w:val="24"/>
        </w:rPr>
        <w:t>.</w:t>
      </w:r>
    </w:p>
    <w:p w:rsidR="00F2425D" w:rsidRPr="00816E62" w:rsidRDefault="00F2425D" w:rsidP="00F24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E62">
        <w:rPr>
          <w:rFonts w:ascii="Times New Roman" w:hAnsi="Times New Roman"/>
          <w:sz w:val="24"/>
          <w:szCs w:val="24"/>
        </w:rPr>
        <w:t xml:space="preserve"> </w:t>
      </w:r>
      <w:r w:rsidR="00B05BB7">
        <w:rPr>
          <w:rFonts w:ascii="Times New Roman" w:hAnsi="Times New Roman"/>
          <w:sz w:val="24"/>
          <w:szCs w:val="24"/>
        </w:rPr>
        <w:t>Также о</w:t>
      </w:r>
      <w:r w:rsidRPr="00816E62">
        <w:rPr>
          <w:rFonts w:ascii="Times New Roman" w:hAnsi="Times New Roman"/>
          <w:sz w:val="24"/>
          <w:szCs w:val="24"/>
        </w:rPr>
        <w:t>ргани</w:t>
      </w:r>
      <w:r w:rsidR="00B05BB7">
        <w:rPr>
          <w:rFonts w:ascii="Times New Roman" w:hAnsi="Times New Roman"/>
          <w:sz w:val="24"/>
          <w:szCs w:val="24"/>
        </w:rPr>
        <w:t>зуется</w:t>
      </w:r>
      <w:r w:rsidRPr="00816E62">
        <w:rPr>
          <w:rFonts w:ascii="Times New Roman" w:hAnsi="Times New Roman"/>
          <w:sz w:val="24"/>
          <w:szCs w:val="24"/>
        </w:rPr>
        <w:t xml:space="preserve"> физкультурно-оздоровительн</w:t>
      </w:r>
      <w:r w:rsidR="00B05BB7">
        <w:rPr>
          <w:rFonts w:ascii="Times New Roman" w:hAnsi="Times New Roman"/>
          <w:sz w:val="24"/>
          <w:szCs w:val="24"/>
        </w:rPr>
        <w:t>ая</w:t>
      </w:r>
      <w:r w:rsidRPr="00816E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6E62">
        <w:rPr>
          <w:rFonts w:ascii="Times New Roman" w:hAnsi="Times New Roman"/>
          <w:sz w:val="24"/>
          <w:szCs w:val="24"/>
        </w:rPr>
        <w:t>работ</w:t>
      </w:r>
      <w:r w:rsidR="00B05BB7">
        <w:rPr>
          <w:rFonts w:ascii="Times New Roman" w:hAnsi="Times New Roman"/>
          <w:sz w:val="24"/>
          <w:szCs w:val="24"/>
        </w:rPr>
        <w:t>а</w:t>
      </w:r>
      <w:r w:rsidRPr="00816E62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816E62">
        <w:rPr>
          <w:rFonts w:ascii="Times New Roman" w:hAnsi="Times New Roman"/>
          <w:sz w:val="24"/>
          <w:szCs w:val="24"/>
        </w:rPr>
        <w:t xml:space="preserve"> учреждениях, организациях и предприятиях городского округа</w:t>
      </w:r>
      <w:r w:rsidR="00B05BB7">
        <w:rPr>
          <w:rFonts w:ascii="Times New Roman" w:hAnsi="Times New Roman"/>
          <w:sz w:val="24"/>
          <w:szCs w:val="24"/>
        </w:rPr>
        <w:t xml:space="preserve"> на базе спортивных мощностей</w:t>
      </w:r>
      <w:r w:rsidRPr="00816E62">
        <w:rPr>
          <w:rFonts w:ascii="Times New Roman" w:hAnsi="Times New Roman"/>
          <w:sz w:val="24"/>
          <w:szCs w:val="24"/>
        </w:rPr>
        <w:t xml:space="preserve"> градообразующе</w:t>
      </w:r>
      <w:r w:rsidR="00B05BB7">
        <w:rPr>
          <w:rFonts w:ascii="Times New Roman" w:hAnsi="Times New Roman"/>
          <w:sz w:val="24"/>
          <w:szCs w:val="24"/>
        </w:rPr>
        <w:t>го</w:t>
      </w:r>
      <w:r w:rsidRPr="00816E62">
        <w:rPr>
          <w:rFonts w:ascii="Times New Roman" w:hAnsi="Times New Roman"/>
          <w:sz w:val="24"/>
          <w:szCs w:val="24"/>
        </w:rPr>
        <w:t xml:space="preserve"> открыто</w:t>
      </w:r>
      <w:r w:rsidR="00B05BB7">
        <w:rPr>
          <w:rFonts w:ascii="Times New Roman" w:hAnsi="Times New Roman"/>
          <w:sz w:val="24"/>
          <w:szCs w:val="24"/>
        </w:rPr>
        <w:t>го</w:t>
      </w:r>
      <w:r w:rsidRPr="00816E62">
        <w:rPr>
          <w:rFonts w:ascii="Times New Roman" w:hAnsi="Times New Roman"/>
          <w:sz w:val="24"/>
          <w:szCs w:val="24"/>
        </w:rPr>
        <w:t xml:space="preserve"> акционерно</w:t>
      </w:r>
      <w:r w:rsidR="00B05BB7">
        <w:rPr>
          <w:rFonts w:ascii="Times New Roman" w:hAnsi="Times New Roman"/>
          <w:sz w:val="24"/>
          <w:szCs w:val="24"/>
        </w:rPr>
        <w:t>го</w:t>
      </w:r>
      <w:r w:rsidRPr="00816E62">
        <w:rPr>
          <w:rFonts w:ascii="Times New Roman" w:hAnsi="Times New Roman"/>
          <w:sz w:val="24"/>
          <w:szCs w:val="24"/>
        </w:rPr>
        <w:t xml:space="preserve"> обществ</w:t>
      </w:r>
      <w:r w:rsidR="00B05BB7">
        <w:rPr>
          <w:rFonts w:ascii="Times New Roman" w:hAnsi="Times New Roman"/>
          <w:sz w:val="24"/>
          <w:szCs w:val="24"/>
        </w:rPr>
        <w:t>а</w:t>
      </w:r>
      <w:r w:rsidRPr="00816E6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16E62">
        <w:rPr>
          <w:rFonts w:ascii="Times New Roman" w:hAnsi="Times New Roman"/>
          <w:sz w:val="24"/>
          <w:szCs w:val="24"/>
        </w:rPr>
        <w:t>Славнефть</w:t>
      </w:r>
      <w:proofErr w:type="spellEnd"/>
      <w:r w:rsidRPr="00816E62">
        <w:rPr>
          <w:rFonts w:ascii="Times New Roman" w:hAnsi="Times New Roman"/>
          <w:sz w:val="24"/>
          <w:szCs w:val="24"/>
        </w:rPr>
        <w:t>-Мегионнефтегаз».</w:t>
      </w:r>
      <w:r w:rsidR="00543FA2">
        <w:rPr>
          <w:rFonts w:ascii="Times New Roman" w:hAnsi="Times New Roman"/>
          <w:sz w:val="24"/>
          <w:szCs w:val="24"/>
        </w:rPr>
        <w:t xml:space="preserve"> </w:t>
      </w:r>
      <w:r w:rsidRPr="00816E62">
        <w:rPr>
          <w:rFonts w:ascii="Times New Roman" w:hAnsi="Times New Roman"/>
          <w:sz w:val="24"/>
          <w:szCs w:val="24"/>
        </w:rPr>
        <w:t xml:space="preserve">Основной деятельностью спорткомплекса является предоставление качественных оздоровительных платных услуг работникам предприятия и жителям города. Ежедневно спорткомплекс посещают свыше 300 человек. </w:t>
      </w:r>
    </w:p>
    <w:p w:rsidR="00F2425D" w:rsidRPr="00D6020D" w:rsidRDefault="00543FA2" w:rsidP="00543F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осуществляется р</w:t>
      </w:r>
      <w:r w:rsidR="00F2425D" w:rsidRPr="00D6212F">
        <w:rPr>
          <w:rFonts w:ascii="Times New Roman" w:hAnsi="Times New Roman"/>
          <w:sz w:val="24"/>
          <w:szCs w:val="24"/>
        </w:rPr>
        <w:t xml:space="preserve">абота по организации физкультурно-оздоровительных и </w:t>
      </w:r>
      <w:r>
        <w:rPr>
          <w:rFonts w:ascii="Times New Roman" w:hAnsi="Times New Roman"/>
          <w:sz w:val="24"/>
          <w:szCs w:val="24"/>
        </w:rPr>
        <w:t>сп</w:t>
      </w:r>
      <w:r w:rsidR="00F2425D" w:rsidRPr="00D6212F">
        <w:rPr>
          <w:rFonts w:ascii="Times New Roman" w:hAnsi="Times New Roman"/>
          <w:sz w:val="24"/>
          <w:szCs w:val="24"/>
        </w:rPr>
        <w:t xml:space="preserve">ортивных мероприятий с </w:t>
      </w:r>
      <w:r w:rsidR="00F2425D" w:rsidRPr="00D6020D">
        <w:rPr>
          <w:rFonts w:ascii="Times New Roman" w:hAnsi="Times New Roman"/>
          <w:sz w:val="24"/>
          <w:szCs w:val="24"/>
        </w:rPr>
        <w:t>инвалидами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F2425D" w:rsidRPr="00D6020D">
        <w:rPr>
          <w:rFonts w:ascii="Times New Roman" w:hAnsi="Times New Roman"/>
          <w:sz w:val="24"/>
          <w:szCs w:val="24"/>
        </w:rPr>
        <w:t xml:space="preserve"> базе муниципально</w:t>
      </w:r>
      <w:r>
        <w:rPr>
          <w:rFonts w:ascii="Times New Roman" w:hAnsi="Times New Roman"/>
          <w:sz w:val="24"/>
          <w:szCs w:val="24"/>
        </w:rPr>
        <w:t>го</w:t>
      </w:r>
      <w:r w:rsidR="00F2425D" w:rsidRPr="00D6020D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="00F2425D" w:rsidRPr="00D6020D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="00F2425D" w:rsidRPr="00D6020D">
        <w:rPr>
          <w:rFonts w:ascii="Times New Roman" w:hAnsi="Times New Roman"/>
          <w:sz w:val="24"/>
          <w:szCs w:val="24"/>
        </w:rPr>
        <w:t xml:space="preserve"> «Центр спортивной подготовки «Спорт-Альтаир».</w:t>
      </w:r>
    </w:p>
    <w:p w:rsidR="00F2425D" w:rsidRPr="00D6020D" w:rsidRDefault="00F2425D" w:rsidP="00F242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6020D">
        <w:rPr>
          <w:rFonts w:ascii="Times New Roman" w:hAnsi="Times New Roman"/>
          <w:bCs/>
          <w:sz w:val="24"/>
          <w:szCs w:val="24"/>
        </w:rPr>
        <w:t>Развитие физической культуры и спорта инвалидов направлено на повышение их двигательной активности и является непременным и определяющим условием всесторонней реабилитации и социальной адаптации инвалидов.</w:t>
      </w:r>
    </w:p>
    <w:p w:rsidR="00F2425D" w:rsidRPr="00D6020D" w:rsidRDefault="00AC047E" w:rsidP="00F242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группах</w:t>
      </w:r>
      <w:r w:rsidR="00F2425D" w:rsidRPr="00D6020D">
        <w:rPr>
          <w:rFonts w:ascii="Times New Roman" w:hAnsi="Times New Roman"/>
          <w:sz w:val="24"/>
          <w:szCs w:val="24"/>
        </w:rPr>
        <w:t xml:space="preserve"> адаптивной физической культуры и спорта занимаются и проходят реабилитацию 88 человек. </w:t>
      </w:r>
    </w:p>
    <w:p w:rsidR="00F2425D" w:rsidRPr="00D6020D" w:rsidRDefault="00F2425D" w:rsidP="00F24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20D">
        <w:rPr>
          <w:rFonts w:ascii="Times New Roman" w:hAnsi="Times New Roman"/>
          <w:sz w:val="24"/>
          <w:szCs w:val="24"/>
        </w:rPr>
        <w:t xml:space="preserve">Для реабилитации людей с ограниченными возможностями проводятся тренировочные занятия в спортивно-оздоровительных </w:t>
      </w:r>
      <w:proofErr w:type="gramStart"/>
      <w:r w:rsidRPr="00D6020D">
        <w:rPr>
          <w:rFonts w:ascii="Times New Roman" w:hAnsi="Times New Roman"/>
          <w:sz w:val="24"/>
          <w:szCs w:val="24"/>
        </w:rPr>
        <w:t>группах  по</w:t>
      </w:r>
      <w:proofErr w:type="gramEnd"/>
      <w:r w:rsidRPr="00D6020D">
        <w:rPr>
          <w:rFonts w:ascii="Times New Roman" w:hAnsi="Times New Roman"/>
          <w:sz w:val="24"/>
          <w:szCs w:val="24"/>
        </w:rPr>
        <w:t xml:space="preserve"> лёгкой атлетике, пауэрлифтингу, плаванию, настольному теннису, </w:t>
      </w:r>
      <w:proofErr w:type="spellStart"/>
      <w:r w:rsidRPr="00D6020D">
        <w:rPr>
          <w:rFonts w:ascii="Times New Roman" w:hAnsi="Times New Roman"/>
          <w:sz w:val="24"/>
          <w:szCs w:val="24"/>
        </w:rPr>
        <w:t>бочче</w:t>
      </w:r>
      <w:proofErr w:type="spellEnd"/>
      <w:r w:rsidRPr="00D6020D">
        <w:rPr>
          <w:rFonts w:ascii="Times New Roman" w:hAnsi="Times New Roman"/>
          <w:sz w:val="24"/>
          <w:szCs w:val="24"/>
        </w:rPr>
        <w:t xml:space="preserve">.           </w:t>
      </w:r>
    </w:p>
    <w:p w:rsidR="002D51E9" w:rsidRDefault="002D51E9" w:rsidP="00F242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1E9" w:rsidRPr="0093488F" w:rsidRDefault="002D51E9" w:rsidP="00F2425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x-none"/>
        </w:rPr>
      </w:pPr>
      <w:r w:rsidRPr="0093488F">
        <w:rPr>
          <w:rFonts w:ascii="Times New Roman" w:hAnsi="Times New Roman"/>
          <w:i/>
          <w:sz w:val="24"/>
          <w:szCs w:val="24"/>
          <w:lang w:val="x-none" w:eastAsia="x-none"/>
        </w:rPr>
        <w:t xml:space="preserve">Показатели обеспеченности спортивными сооружениями </w:t>
      </w:r>
    </w:p>
    <w:p w:rsidR="00F2425D" w:rsidRDefault="00F2425D" w:rsidP="00F242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2014 год выросла нормативная потребность в спортивных объектах на фоне прироста численности населения на 0,2%.</w:t>
      </w:r>
    </w:p>
    <w:p w:rsidR="002D51E9" w:rsidRDefault="002D51E9" w:rsidP="00F242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1843"/>
        <w:gridCol w:w="1275"/>
        <w:gridCol w:w="1276"/>
        <w:gridCol w:w="2281"/>
      </w:tblGrid>
      <w:tr w:rsidR="00F2425D" w:rsidRPr="009C20C0" w:rsidTr="00D37EEF">
        <w:trPr>
          <w:trHeight w:val="255"/>
          <w:tblHeader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0C0">
              <w:rPr>
                <w:rFonts w:ascii="Times New Roman" w:hAnsi="Times New Roman"/>
                <w:sz w:val="24"/>
                <w:szCs w:val="24"/>
              </w:rPr>
              <w:t>Социальные нормативы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0C0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0C0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%,</w:t>
            </w:r>
          </w:p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EBB">
              <w:rPr>
                <w:rFonts w:ascii="Times New Roman" w:hAnsi="Times New Roman"/>
                <w:sz w:val="16"/>
                <w:szCs w:val="16"/>
              </w:rPr>
              <w:t>2014 к 2013</w:t>
            </w:r>
          </w:p>
        </w:tc>
      </w:tr>
      <w:tr w:rsidR="00F2425D" w:rsidRPr="009C20C0" w:rsidTr="00D37EEF">
        <w:trPr>
          <w:trHeight w:val="322"/>
          <w:jc w:val="center"/>
        </w:trPr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C0">
              <w:rPr>
                <w:rFonts w:ascii="Times New Roman" w:hAnsi="Times New Roman"/>
                <w:sz w:val="24"/>
                <w:szCs w:val="24"/>
              </w:rPr>
              <w:t>Численность населения на конец года,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9C20C0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56104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</w:tr>
      <w:tr w:rsidR="00F2425D" w:rsidRPr="00027EBB" w:rsidTr="00D37EEF">
        <w:trPr>
          <w:trHeight w:val="179"/>
          <w:jc w:val="center"/>
        </w:trPr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027EBB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7EBB">
              <w:rPr>
                <w:rFonts w:ascii="Times New Roman" w:hAnsi="Times New Roman"/>
                <w:i/>
                <w:sz w:val="24"/>
                <w:szCs w:val="24"/>
              </w:rPr>
              <w:t>Спортивные сооружения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027EBB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027EBB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027EBB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425D" w:rsidRPr="009C20C0" w:rsidTr="00D37EEF">
        <w:trPr>
          <w:trHeight w:val="741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C0">
              <w:rPr>
                <w:rFonts w:ascii="Times New Roman" w:hAnsi="Times New Roman"/>
                <w:sz w:val="24"/>
                <w:szCs w:val="24"/>
              </w:rPr>
              <w:t xml:space="preserve">* необходимая мощность по нормативу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027EBB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EBB">
              <w:rPr>
                <w:rFonts w:ascii="Times New Roman" w:hAnsi="Times New Roman"/>
                <w:sz w:val="20"/>
                <w:szCs w:val="20"/>
              </w:rPr>
              <w:t>1 900 человек единовременного посещения на 10 000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10660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</w:tr>
      <w:tr w:rsidR="00F2425D" w:rsidRPr="009C20C0" w:rsidTr="00D37EEF">
        <w:trPr>
          <w:trHeight w:val="244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C0">
              <w:rPr>
                <w:rFonts w:ascii="Times New Roman" w:hAnsi="Times New Roman"/>
                <w:sz w:val="24"/>
                <w:szCs w:val="24"/>
              </w:rPr>
              <w:t xml:space="preserve">*фактически располагаемые мощности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027EBB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EB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F2425D" w:rsidRPr="009C20C0" w:rsidTr="00D37EEF">
        <w:trPr>
          <w:trHeight w:val="207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C0">
              <w:rPr>
                <w:rFonts w:ascii="Times New Roman" w:hAnsi="Times New Roman"/>
                <w:sz w:val="24"/>
                <w:szCs w:val="24"/>
              </w:rPr>
              <w:t>Уровень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027EBB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E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92">
              <w:rPr>
                <w:rFonts w:ascii="Times New Roman" w:hAnsi="Times New Roman"/>
                <w:sz w:val="16"/>
                <w:szCs w:val="16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  <w:p w:rsidR="00F2425D" w:rsidRPr="00EE3492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492">
              <w:rPr>
                <w:rFonts w:ascii="Times New Roman" w:hAnsi="Times New Roman"/>
                <w:sz w:val="20"/>
                <w:szCs w:val="20"/>
              </w:rPr>
              <w:t>процентных пунктов</w:t>
            </w:r>
          </w:p>
        </w:tc>
      </w:tr>
      <w:tr w:rsidR="00F2425D" w:rsidRPr="00027EBB" w:rsidTr="00D37EEF">
        <w:trPr>
          <w:trHeight w:val="207"/>
          <w:jc w:val="center"/>
        </w:trPr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027EBB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7EBB">
              <w:rPr>
                <w:rFonts w:ascii="Times New Roman" w:hAnsi="Times New Roman"/>
                <w:i/>
                <w:sz w:val="24"/>
                <w:szCs w:val="24"/>
              </w:rPr>
              <w:t>Бассейны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027EBB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027EBB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027EBB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425D" w:rsidRPr="009C20C0" w:rsidTr="00D37EEF">
        <w:trPr>
          <w:trHeight w:val="291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C0">
              <w:rPr>
                <w:rFonts w:ascii="Times New Roman" w:hAnsi="Times New Roman"/>
                <w:sz w:val="24"/>
                <w:szCs w:val="24"/>
              </w:rPr>
              <w:t xml:space="preserve">* необходимая мощность по </w:t>
            </w:r>
            <w:r w:rsidRPr="009C20C0">
              <w:rPr>
                <w:rFonts w:ascii="Times New Roman" w:hAnsi="Times New Roman"/>
                <w:sz w:val="24"/>
                <w:szCs w:val="24"/>
              </w:rPr>
              <w:lastRenderedPageBreak/>
              <w:t>нормативу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027EBB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50 м²"/>
              </w:smartTagPr>
              <w:r w:rsidRPr="00027EBB">
                <w:rPr>
                  <w:rFonts w:ascii="Times New Roman" w:hAnsi="Times New Roman"/>
                  <w:sz w:val="20"/>
                  <w:szCs w:val="20"/>
                </w:rPr>
                <w:lastRenderedPageBreak/>
                <w:t>750 м²</w:t>
              </w:r>
            </w:smartTag>
            <w:r w:rsidRPr="00027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зеркала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воды </w:t>
            </w:r>
            <w:r w:rsidRPr="00027EBB">
              <w:rPr>
                <w:rFonts w:ascii="Times New Roman" w:hAnsi="Times New Roman"/>
                <w:sz w:val="20"/>
                <w:szCs w:val="20"/>
              </w:rPr>
              <w:t>на 10 000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4207,8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</w:tr>
      <w:tr w:rsidR="00F2425D" w:rsidRPr="009C20C0" w:rsidTr="00D37EEF">
        <w:trPr>
          <w:trHeight w:val="179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C0">
              <w:rPr>
                <w:rFonts w:ascii="Times New Roman" w:hAnsi="Times New Roman"/>
                <w:sz w:val="24"/>
                <w:szCs w:val="24"/>
              </w:rPr>
              <w:t>* фактически располагаемые мощности</w:t>
            </w:r>
          </w:p>
          <w:p w:rsidR="00F2425D" w:rsidRPr="00EE3492" w:rsidRDefault="00F2425D" w:rsidP="00D37E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3492">
              <w:rPr>
                <w:rFonts w:ascii="Times New Roman" w:hAnsi="Times New Roman"/>
                <w:sz w:val="16"/>
                <w:szCs w:val="16"/>
              </w:rPr>
              <w:t>(с учетом ведомственных мощностей и спортсооружений школ)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027EBB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EB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2425D" w:rsidRPr="009C20C0" w:rsidTr="00D37EEF">
        <w:trPr>
          <w:trHeight w:val="52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0C0">
              <w:rPr>
                <w:rFonts w:ascii="Times New Roman" w:hAnsi="Times New Roman"/>
                <w:sz w:val="24"/>
                <w:szCs w:val="24"/>
              </w:rPr>
              <w:t>Уровень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027EBB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E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5D" w:rsidRPr="009C20C0" w:rsidRDefault="00F2425D" w:rsidP="00D3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2425D" w:rsidRPr="009C20C0" w:rsidRDefault="00F2425D" w:rsidP="00F242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25D" w:rsidRPr="00CE0844" w:rsidRDefault="00F2425D" w:rsidP="00F242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Планами градостроительства предусмотрен ввод в 2016 году физкультурно-спортивного комплекса с ледовой ареной с установленной мощностью единовременного посещения  50 человек в час, что обеспечит прирост показателя обеспеченности на 0,4%.</w:t>
      </w:r>
    </w:p>
    <w:p w:rsidR="00F2425D" w:rsidRPr="009C20C0" w:rsidRDefault="00F2425D" w:rsidP="00F2425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E6CE4" w:rsidRPr="0093488F" w:rsidRDefault="003E6CE4" w:rsidP="001575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88F">
        <w:rPr>
          <w:rFonts w:ascii="Times New Roman" w:hAnsi="Times New Roman" w:cs="Times New Roman"/>
          <w:i/>
          <w:sz w:val="24"/>
          <w:szCs w:val="24"/>
        </w:rPr>
        <w:t>Развитие социальной сферы</w:t>
      </w:r>
    </w:p>
    <w:p w:rsidR="009254C9" w:rsidRPr="00647D06" w:rsidRDefault="009254C9" w:rsidP="00157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CE4" w:rsidRPr="00647D06" w:rsidRDefault="003E6CE4" w:rsidP="003E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06">
        <w:rPr>
          <w:rFonts w:ascii="Times New Roman" w:hAnsi="Times New Roman" w:cs="Times New Roman"/>
          <w:sz w:val="24"/>
          <w:szCs w:val="24"/>
        </w:rPr>
        <w:t>В оценочном 2015 году численность детей в дошкольных образовательных учреждениях вырастет на 5,5%</w:t>
      </w:r>
      <w:r w:rsidR="00647D06" w:rsidRPr="00647D06">
        <w:rPr>
          <w:rFonts w:ascii="Times New Roman" w:hAnsi="Times New Roman" w:cs="Times New Roman"/>
          <w:sz w:val="24"/>
          <w:szCs w:val="24"/>
        </w:rPr>
        <w:t xml:space="preserve"> в связи с</w:t>
      </w:r>
      <w:r w:rsidR="00806555">
        <w:rPr>
          <w:rFonts w:ascii="Times New Roman" w:hAnsi="Times New Roman" w:cs="Times New Roman"/>
          <w:sz w:val="24"/>
          <w:szCs w:val="24"/>
        </w:rPr>
        <w:t xml:space="preserve"> вводом детского сада на 26</w:t>
      </w:r>
      <w:r w:rsidRPr="00647D06">
        <w:rPr>
          <w:rFonts w:ascii="Times New Roman" w:hAnsi="Times New Roman" w:cs="Times New Roman"/>
          <w:sz w:val="24"/>
          <w:szCs w:val="24"/>
        </w:rPr>
        <w:t>0 мест.</w:t>
      </w:r>
    </w:p>
    <w:p w:rsidR="00647D06" w:rsidRDefault="00647D06" w:rsidP="003E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06">
        <w:rPr>
          <w:rFonts w:ascii="Times New Roman" w:hAnsi="Times New Roman" w:cs="Times New Roman"/>
          <w:sz w:val="24"/>
          <w:szCs w:val="24"/>
        </w:rPr>
        <w:t>В прогнозный период численность детей в дошкольных образовательных учреждениях увеличится как за счёт роста численности детей, на 1,5% ежегодно, так и за счёт увеличения мест, в 201</w:t>
      </w:r>
      <w:r w:rsidR="00806555">
        <w:rPr>
          <w:rFonts w:ascii="Times New Roman" w:hAnsi="Times New Roman" w:cs="Times New Roman"/>
          <w:sz w:val="24"/>
          <w:szCs w:val="24"/>
        </w:rPr>
        <w:t>6</w:t>
      </w:r>
      <w:r w:rsidRPr="00647D06">
        <w:rPr>
          <w:rFonts w:ascii="Times New Roman" w:hAnsi="Times New Roman" w:cs="Times New Roman"/>
          <w:sz w:val="24"/>
          <w:szCs w:val="24"/>
        </w:rPr>
        <w:t xml:space="preserve"> год</w:t>
      </w:r>
      <w:r w:rsidR="00806555">
        <w:rPr>
          <w:rFonts w:ascii="Times New Roman" w:hAnsi="Times New Roman" w:cs="Times New Roman"/>
          <w:sz w:val="24"/>
          <w:szCs w:val="24"/>
        </w:rPr>
        <w:t>у будет введено дополнительно 32</w:t>
      </w:r>
      <w:r w:rsidRPr="00647D06">
        <w:rPr>
          <w:rFonts w:ascii="Times New Roman" w:hAnsi="Times New Roman" w:cs="Times New Roman"/>
          <w:sz w:val="24"/>
          <w:szCs w:val="24"/>
        </w:rPr>
        <w:t xml:space="preserve">0 мест за счёт </w:t>
      </w:r>
      <w:proofErr w:type="spellStart"/>
      <w:r w:rsidRPr="00647D06">
        <w:rPr>
          <w:rFonts w:ascii="Times New Roman" w:hAnsi="Times New Roman" w:cs="Times New Roman"/>
          <w:sz w:val="24"/>
          <w:szCs w:val="24"/>
        </w:rPr>
        <w:t>новостроя</w:t>
      </w:r>
      <w:proofErr w:type="spellEnd"/>
      <w:r w:rsidRPr="00647D06">
        <w:rPr>
          <w:rFonts w:ascii="Times New Roman" w:hAnsi="Times New Roman" w:cs="Times New Roman"/>
          <w:sz w:val="24"/>
          <w:szCs w:val="24"/>
        </w:rPr>
        <w:t>.</w:t>
      </w:r>
    </w:p>
    <w:p w:rsidR="00647D06" w:rsidRDefault="00647D06" w:rsidP="0064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обучающихся в общеобразовательных учреждениях также будет увеличиваться за счёт вступления в данную возрастную категорию детей более многочисленного поколения.  Прирост их численности за 2016-2018 годы составит 4,13% по первому варианту, на 4,61% по второму варианту. Улучшение показателей в </w:t>
      </w:r>
      <w:r w:rsidR="00E5007D">
        <w:rPr>
          <w:rFonts w:ascii="Times New Roman" w:hAnsi="Times New Roman" w:cs="Times New Roman"/>
          <w:sz w:val="24"/>
          <w:szCs w:val="24"/>
        </w:rPr>
        <w:t>незначительной</w:t>
      </w:r>
      <w:r>
        <w:rPr>
          <w:rFonts w:ascii="Times New Roman" w:hAnsi="Times New Roman" w:cs="Times New Roman"/>
          <w:sz w:val="24"/>
          <w:szCs w:val="24"/>
        </w:rPr>
        <w:t xml:space="preserve"> мере будет обеспечиваться </w:t>
      </w:r>
      <w:r w:rsidR="002A34C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за счёт </w:t>
      </w:r>
      <w:r w:rsidR="002A34CF">
        <w:rPr>
          <w:rFonts w:ascii="Times New Roman" w:hAnsi="Times New Roman" w:cs="Times New Roman"/>
          <w:sz w:val="24"/>
          <w:szCs w:val="24"/>
        </w:rPr>
        <w:t xml:space="preserve">входящей </w:t>
      </w:r>
      <w:r>
        <w:rPr>
          <w:rFonts w:ascii="Times New Roman" w:hAnsi="Times New Roman" w:cs="Times New Roman"/>
          <w:sz w:val="24"/>
          <w:szCs w:val="24"/>
        </w:rPr>
        <w:t>миграци</w:t>
      </w:r>
      <w:r w:rsidR="002A34C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4CF" w:rsidRDefault="002D63D0" w:rsidP="0022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профессионального образования в прогнозируемые периоды </w:t>
      </w:r>
      <w:r w:rsidR="0022625F">
        <w:rPr>
          <w:rFonts w:ascii="Times New Roman" w:hAnsi="Times New Roman" w:cs="Times New Roman"/>
          <w:sz w:val="24"/>
          <w:szCs w:val="24"/>
        </w:rPr>
        <w:t xml:space="preserve">численность обучающихся </w:t>
      </w:r>
      <w:r w:rsidR="002A34CF">
        <w:rPr>
          <w:rFonts w:ascii="Times New Roman" w:hAnsi="Times New Roman" w:cs="Times New Roman"/>
          <w:sz w:val="24"/>
          <w:szCs w:val="24"/>
        </w:rPr>
        <w:t>в</w:t>
      </w:r>
      <w:r w:rsidR="0022625F">
        <w:rPr>
          <w:rFonts w:ascii="Times New Roman" w:hAnsi="Times New Roman" w:cs="Times New Roman"/>
          <w:sz w:val="24"/>
          <w:szCs w:val="24"/>
        </w:rPr>
        <w:t xml:space="preserve"> начальной ступени будет</w:t>
      </w:r>
      <w:r w:rsidR="0025556B">
        <w:rPr>
          <w:rFonts w:ascii="Times New Roman" w:hAnsi="Times New Roman" w:cs="Times New Roman"/>
          <w:sz w:val="24"/>
          <w:szCs w:val="24"/>
        </w:rPr>
        <w:t xml:space="preserve"> увеличиваться. И по первому и </w:t>
      </w:r>
      <w:r w:rsidR="0022625F">
        <w:rPr>
          <w:rFonts w:ascii="Times New Roman" w:hAnsi="Times New Roman" w:cs="Times New Roman"/>
          <w:sz w:val="24"/>
          <w:szCs w:val="24"/>
        </w:rPr>
        <w:t xml:space="preserve">по второму варианту за </w:t>
      </w:r>
      <w:r w:rsidR="00812CDB">
        <w:rPr>
          <w:rFonts w:ascii="Times New Roman" w:hAnsi="Times New Roman" w:cs="Times New Roman"/>
          <w:sz w:val="24"/>
          <w:szCs w:val="24"/>
        </w:rPr>
        <w:t>2016-2018 год число обучающихся</w:t>
      </w:r>
      <w:r w:rsidR="0022625F">
        <w:rPr>
          <w:rFonts w:ascii="Times New Roman" w:hAnsi="Times New Roman" w:cs="Times New Roman"/>
          <w:sz w:val="24"/>
          <w:szCs w:val="24"/>
        </w:rPr>
        <w:t xml:space="preserve"> вырастет на 9,3%. </w:t>
      </w:r>
    </w:p>
    <w:p w:rsidR="00647D06" w:rsidRPr="00647D06" w:rsidRDefault="00026702" w:rsidP="0022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студентов</w:t>
      </w:r>
      <w:r w:rsidR="0022625F">
        <w:rPr>
          <w:rFonts w:ascii="Times New Roman" w:hAnsi="Times New Roman" w:cs="Times New Roman"/>
          <w:sz w:val="24"/>
          <w:szCs w:val="24"/>
        </w:rPr>
        <w:t xml:space="preserve"> </w:t>
      </w:r>
      <w:r w:rsidR="00A5504F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="0022625F">
        <w:rPr>
          <w:rFonts w:ascii="Times New Roman" w:hAnsi="Times New Roman" w:cs="Times New Roman"/>
          <w:sz w:val="24"/>
          <w:szCs w:val="24"/>
        </w:rPr>
        <w:t xml:space="preserve">ступени профобразования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постепенно будут снижаться и за 2016-2018 прогнозные годы </w:t>
      </w:r>
      <w:r w:rsidR="00226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сократ</w:t>
      </w:r>
      <w:r w:rsidR="00492DC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тся на 9,8% по первому вари</w:t>
      </w:r>
      <w:r w:rsidR="00634921">
        <w:rPr>
          <w:rFonts w:ascii="Times New Roman" w:hAnsi="Times New Roman" w:cs="Times New Roman"/>
          <w:sz w:val="24"/>
          <w:szCs w:val="24"/>
        </w:rPr>
        <w:t>анту и  5,2% по второму</w:t>
      </w:r>
      <w:r w:rsidR="00BA7E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6CE4" w:rsidRDefault="003E6CE4" w:rsidP="003E6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6CE4" w:rsidRPr="0093488F" w:rsidRDefault="003E6CE4" w:rsidP="003E6C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348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Прогнозные показатели обеспеченности социальными объектами</w:t>
      </w:r>
    </w:p>
    <w:p w:rsidR="007A55F2" w:rsidRDefault="00CE61B5" w:rsidP="003E6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Обеспеченность населения</w:t>
      </w:r>
      <w:r w:rsidR="00BE6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социальными объектами </w:t>
      </w:r>
      <w:r w:rsidR="00F52293">
        <w:rPr>
          <w:rFonts w:ascii="Times New Roman" w:hAnsi="Times New Roman" w:cs="Times New Roman"/>
          <w:color w:val="000000" w:themeColor="text1"/>
          <w:sz w:val="24"/>
          <w:szCs w:val="24"/>
        </w:rPr>
        <w:t>снижается на фоне роста общей численности населения</w:t>
      </w:r>
      <w:r w:rsidR="002555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A0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56B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1A0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634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2015-2018 годы </w:t>
      </w:r>
      <w:r w:rsidR="00255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обеспеченность населения городского округа город Мегион </w:t>
      </w:r>
      <w:r w:rsidR="0063492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A08E0">
        <w:rPr>
          <w:rFonts w:ascii="Times New Roman" w:hAnsi="Times New Roman" w:cs="Times New Roman"/>
          <w:color w:val="000000" w:themeColor="text1"/>
          <w:sz w:val="24"/>
          <w:szCs w:val="24"/>
        </w:rPr>
        <w:t>о первому варианту составит 2,0</w:t>
      </w:r>
      <w:r w:rsidR="00634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по второму варианту </w:t>
      </w:r>
      <w:r w:rsidR="001A08E0">
        <w:rPr>
          <w:rFonts w:ascii="Times New Roman" w:hAnsi="Times New Roman" w:cs="Times New Roman"/>
          <w:color w:val="000000" w:themeColor="text1"/>
          <w:sz w:val="24"/>
          <w:szCs w:val="24"/>
        </w:rPr>
        <w:t>2,6</w:t>
      </w:r>
      <w:r w:rsidR="0063492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F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A55F2" w:rsidRDefault="00F52293" w:rsidP="003E6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учётом </w:t>
      </w:r>
      <w:r w:rsidR="007A5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роста численности населения  </w:t>
      </w:r>
      <w:r w:rsidR="00A13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7A5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отсутствием вновь вводимых мощностей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28A">
        <w:rPr>
          <w:rFonts w:ascii="Times New Roman" w:hAnsi="Times New Roman" w:cs="Times New Roman"/>
          <w:color w:val="000000" w:themeColor="text1"/>
          <w:sz w:val="24"/>
          <w:szCs w:val="24"/>
        </w:rPr>
        <w:t>за 2015</w:t>
      </w:r>
      <w:r w:rsidR="007A55F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1428A">
        <w:rPr>
          <w:rFonts w:ascii="Times New Roman" w:hAnsi="Times New Roman" w:cs="Times New Roman"/>
          <w:color w:val="000000" w:themeColor="text1"/>
          <w:sz w:val="24"/>
          <w:szCs w:val="24"/>
        </w:rPr>
        <w:t>2018 год</w:t>
      </w:r>
      <w:r w:rsidR="007A55F2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214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будет постепенно снижаться обеспеченность</w:t>
      </w:r>
      <w:r w:rsidR="00A13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следующими </w:t>
      </w:r>
      <w:r w:rsidR="007A55F2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социальными объектами:</w:t>
      </w:r>
    </w:p>
    <w:p w:rsidR="007A55F2" w:rsidRDefault="007A55F2" w:rsidP="003E6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52293">
        <w:rPr>
          <w:rFonts w:ascii="Times New Roman" w:hAnsi="Times New Roman" w:cs="Times New Roman"/>
          <w:color w:val="000000" w:themeColor="text1"/>
          <w:sz w:val="24"/>
          <w:szCs w:val="24"/>
        </w:rPr>
        <w:t>больничными койками круглосуточного стационара</w:t>
      </w:r>
      <w:r w:rsidR="00B06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2,0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B06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первому варианту и на 2,9% по второму</w:t>
      </w:r>
      <w:r w:rsidR="00A1348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A55F2" w:rsidRDefault="007A55F2" w:rsidP="003E6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02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поликлиническими учреждениями на </w:t>
      </w:r>
      <w:r w:rsidR="00B06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2,0% и </w:t>
      </w:r>
      <w:r w:rsidR="0070213A">
        <w:rPr>
          <w:rFonts w:ascii="Times New Roman" w:hAnsi="Times New Roman" w:cs="Times New Roman"/>
          <w:color w:val="000000" w:themeColor="text1"/>
          <w:sz w:val="24"/>
          <w:szCs w:val="24"/>
        </w:rPr>
        <w:t>2,9%</w:t>
      </w:r>
      <w:r w:rsidR="00B06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Пр</w:t>
      </w:r>
      <w:r w:rsidR="00702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этом </w:t>
      </w:r>
      <w:r w:rsidR="00634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снижение </w:t>
      </w:r>
      <w:r w:rsidR="0070213A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обеспеченност</w:t>
      </w:r>
      <w:r w:rsidR="0063492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02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поликлиническими учреждениями </w:t>
      </w:r>
      <w:r w:rsidR="00634921">
        <w:rPr>
          <w:rFonts w:ascii="Times New Roman" w:hAnsi="Times New Roman" w:cs="Times New Roman"/>
          <w:color w:val="000000" w:themeColor="text1"/>
          <w:sz w:val="24"/>
          <w:szCs w:val="24"/>
        </w:rPr>
        <w:t>не будут иметь отрицательного влияния,</w:t>
      </w:r>
      <w:r w:rsidR="003E6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поскольку на 01.01.2015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 </w:t>
      </w:r>
      <w:r w:rsidR="003E62C3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12</w:t>
      </w:r>
      <w:r w:rsidR="001A08E0">
        <w:rPr>
          <w:rFonts w:ascii="Times New Roman" w:hAnsi="Times New Roman" w:cs="Times New Roman"/>
          <w:color w:val="000000" w:themeColor="text1"/>
          <w:sz w:val="24"/>
          <w:szCs w:val="24"/>
        </w:rPr>
        <w:t>3,9% от нормативной потребности;</w:t>
      </w:r>
      <w:r w:rsidR="00634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E62C3" w:rsidRDefault="007A55F2" w:rsidP="003E6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E6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учреждениями культурно-досугового </w:t>
      </w:r>
      <w:r w:rsidR="00B0605F">
        <w:rPr>
          <w:rFonts w:ascii="Times New Roman" w:hAnsi="Times New Roman" w:cs="Times New Roman"/>
          <w:color w:val="000000" w:themeColor="text1"/>
          <w:sz w:val="24"/>
          <w:szCs w:val="24"/>
        </w:rPr>
        <w:t>типа на 5,6% по обоим вариантам;</w:t>
      </w:r>
    </w:p>
    <w:p w:rsidR="00B0605F" w:rsidRDefault="00B0605F" w:rsidP="003E6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-библиотеками на 2,4% по первому варианту и 3,2% по второму варианту.</w:t>
      </w:r>
    </w:p>
    <w:p w:rsidR="009856C2" w:rsidRDefault="00B0605F" w:rsidP="00985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Но, при этом вырастет показатель обеспеченности детскими садами-</w:t>
      </w:r>
      <w:r w:rsidR="003A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4,5% по первому варианту и на 3,8% по второму </w:t>
      </w:r>
      <w:r w:rsidR="007B6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варианту в связи с вводом </w:t>
      </w:r>
      <w:r w:rsidR="00636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2015-2016 годах </w:t>
      </w:r>
      <w:r w:rsidR="00D72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 </w:t>
      </w:r>
      <w:r w:rsidR="00426AA7">
        <w:rPr>
          <w:rFonts w:ascii="Times New Roman" w:hAnsi="Times New Roman" w:cs="Times New Roman"/>
          <w:color w:val="000000" w:themeColor="text1"/>
          <w:sz w:val="24"/>
          <w:szCs w:val="24"/>
        </w:rPr>
        <w:t>детских садов на 58</w:t>
      </w:r>
      <w:r w:rsidR="007B6480">
        <w:rPr>
          <w:rFonts w:ascii="Times New Roman" w:hAnsi="Times New Roman" w:cs="Times New Roman"/>
          <w:color w:val="000000" w:themeColor="text1"/>
          <w:sz w:val="24"/>
          <w:szCs w:val="24"/>
        </w:rPr>
        <w:t>0 мест</w:t>
      </w:r>
      <w:r w:rsidR="001A0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целом.</w:t>
      </w:r>
      <w:r w:rsidR="007B6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Показатель по второму варианту ниже показателя первого </w:t>
      </w:r>
      <w:r w:rsidR="007B6480" w:rsidRPr="003A5185">
        <w:rPr>
          <w:rFonts w:ascii="Times New Roman" w:hAnsi="Times New Roman" w:cs="Times New Roman"/>
          <w:color w:val="000000" w:themeColor="text1"/>
          <w:sz w:val="24"/>
          <w:szCs w:val="24"/>
        </w:rPr>
        <w:t>варианта с учётом возможного роста численн</w:t>
      </w:r>
      <w:r w:rsidR="009856C2">
        <w:rPr>
          <w:rFonts w:ascii="Times New Roman" w:hAnsi="Times New Roman" w:cs="Times New Roman"/>
          <w:color w:val="000000" w:themeColor="text1"/>
          <w:sz w:val="24"/>
          <w:szCs w:val="24"/>
        </w:rPr>
        <w:t>ости детей дошкольного возраст</w:t>
      </w:r>
      <w:r w:rsidR="001A08E0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="009856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72426" w:rsidRPr="009856C2" w:rsidRDefault="002918D5" w:rsidP="00985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Улучшится обеспеченность спортивными мощностями, так как п</w:t>
      </w:r>
      <w:r w:rsidR="003A5185" w:rsidRPr="00D72426">
        <w:rPr>
          <w:rFonts w:ascii="Times New Roman" w:hAnsi="Times New Roman" w:cs="Times New Roman"/>
          <w:sz w:val="24"/>
          <w:szCs w:val="24"/>
        </w:rPr>
        <w:t>ланами градостроительства предусмотрен</w:t>
      </w:r>
      <w:r w:rsidR="00D72426" w:rsidRPr="00D72426">
        <w:rPr>
          <w:rFonts w:ascii="Times New Roman" w:hAnsi="Times New Roman" w:cs="Times New Roman"/>
          <w:sz w:val="24"/>
          <w:szCs w:val="24"/>
        </w:rPr>
        <w:t>о строительство и ввод в действие двух спортивных объектов</w:t>
      </w:r>
      <w:r w:rsidR="00531885">
        <w:rPr>
          <w:rFonts w:ascii="Times New Roman" w:hAnsi="Times New Roman" w:cs="Times New Roman"/>
          <w:sz w:val="24"/>
          <w:szCs w:val="24"/>
        </w:rPr>
        <w:t>:</w:t>
      </w:r>
    </w:p>
    <w:p w:rsidR="00D72426" w:rsidRPr="00D72426" w:rsidRDefault="00D72426" w:rsidP="00157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426">
        <w:rPr>
          <w:rFonts w:ascii="Times New Roman" w:hAnsi="Times New Roman" w:cs="Times New Roman"/>
          <w:sz w:val="24"/>
          <w:szCs w:val="24"/>
        </w:rPr>
        <w:t xml:space="preserve">-в 2015 году </w:t>
      </w:r>
      <w:r w:rsidR="003A5185" w:rsidRPr="00D72426">
        <w:rPr>
          <w:rFonts w:ascii="Times New Roman" w:hAnsi="Times New Roman" w:cs="Times New Roman"/>
          <w:sz w:val="24"/>
          <w:szCs w:val="24"/>
        </w:rPr>
        <w:t xml:space="preserve"> физкультурно-спортивного комплекса с ледовой ареной</w:t>
      </w:r>
      <w:r w:rsidRPr="00D72426">
        <w:rPr>
          <w:rFonts w:ascii="Times New Roman" w:hAnsi="Times New Roman" w:cs="Times New Roman"/>
          <w:sz w:val="24"/>
          <w:szCs w:val="24"/>
        </w:rPr>
        <w:t xml:space="preserve"> в городе Мегионе  с мощностью 170 человек в смену с общей площадью 5410,07 м²;</w:t>
      </w:r>
    </w:p>
    <w:p w:rsidR="009254C9" w:rsidRDefault="00D72426" w:rsidP="00157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426">
        <w:rPr>
          <w:rFonts w:ascii="Times New Roman" w:hAnsi="Times New Roman" w:cs="Times New Roman"/>
          <w:sz w:val="24"/>
          <w:szCs w:val="24"/>
        </w:rPr>
        <w:t xml:space="preserve">-в 2017 году </w:t>
      </w:r>
      <w:r w:rsidR="003A5185" w:rsidRPr="00D72426">
        <w:rPr>
          <w:rFonts w:ascii="Times New Roman" w:hAnsi="Times New Roman" w:cs="Times New Roman"/>
          <w:sz w:val="24"/>
          <w:szCs w:val="24"/>
        </w:rPr>
        <w:t xml:space="preserve"> </w:t>
      </w:r>
      <w:r w:rsidRPr="00D72426">
        <w:rPr>
          <w:rFonts w:ascii="Times New Roman" w:hAnsi="Times New Roman" w:cs="Times New Roman"/>
          <w:sz w:val="24"/>
          <w:szCs w:val="24"/>
        </w:rPr>
        <w:t>спортивного центра с универсальным игровым залом и плоскостными сооружениями с мощностью 64 человека единовременного посещения в час с общей площадью 3033 м².</w:t>
      </w:r>
    </w:p>
    <w:p w:rsidR="00531885" w:rsidRDefault="00531885" w:rsidP="00157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 данных объектов позволит улучшить показатели обеспеченности, которые  </w:t>
      </w:r>
      <w:r w:rsidR="00A257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2017 году </w:t>
      </w:r>
      <w:r w:rsidR="00A25730">
        <w:rPr>
          <w:rFonts w:ascii="Times New Roman" w:hAnsi="Times New Roman" w:cs="Times New Roman"/>
          <w:sz w:val="24"/>
          <w:szCs w:val="24"/>
        </w:rPr>
        <w:t xml:space="preserve">составят </w:t>
      </w:r>
      <w:r>
        <w:rPr>
          <w:rFonts w:ascii="Times New Roman" w:hAnsi="Times New Roman" w:cs="Times New Roman"/>
          <w:sz w:val="24"/>
          <w:szCs w:val="24"/>
        </w:rPr>
        <w:t xml:space="preserve">18,4% в 2017 году против 17,4% в 2014 году. </w:t>
      </w:r>
    </w:p>
    <w:p w:rsidR="00D72426" w:rsidRDefault="00D72426" w:rsidP="00157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культуры</w:t>
      </w:r>
      <w:r w:rsidR="004F2F00">
        <w:rPr>
          <w:rFonts w:ascii="Times New Roman" w:hAnsi="Times New Roman" w:cs="Times New Roman"/>
          <w:sz w:val="24"/>
          <w:szCs w:val="24"/>
        </w:rPr>
        <w:t xml:space="preserve"> в 2017 году без увеличения мощностей будет произведена реконструкция здания детской школы искусств в посёлке городского т</w:t>
      </w:r>
      <w:r w:rsidR="008B3944">
        <w:rPr>
          <w:rFonts w:ascii="Times New Roman" w:hAnsi="Times New Roman" w:cs="Times New Roman"/>
          <w:sz w:val="24"/>
          <w:szCs w:val="24"/>
        </w:rPr>
        <w:t xml:space="preserve">ипа Высокий со сроком </w:t>
      </w:r>
      <w:r w:rsidR="00AA50BB">
        <w:rPr>
          <w:rFonts w:ascii="Times New Roman" w:hAnsi="Times New Roman" w:cs="Times New Roman"/>
          <w:sz w:val="24"/>
          <w:szCs w:val="24"/>
        </w:rPr>
        <w:t>окончания</w:t>
      </w:r>
      <w:r w:rsidR="008B3944">
        <w:rPr>
          <w:rFonts w:ascii="Times New Roman" w:hAnsi="Times New Roman" w:cs="Times New Roman"/>
          <w:sz w:val="24"/>
          <w:szCs w:val="24"/>
        </w:rPr>
        <w:t xml:space="preserve"> в 2017 году.</w:t>
      </w:r>
    </w:p>
    <w:p w:rsidR="008B3944" w:rsidRDefault="008B3944" w:rsidP="00157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368" w:rsidRDefault="00367368" w:rsidP="00157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368" w:rsidRPr="00367368" w:rsidRDefault="00367368" w:rsidP="001575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7368" w:rsidRPr="00C474B7" w:rsidRDefault="00367368" w:rsidP="00367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7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основных проблемных вопросов развития городского округа город Мегион, сдерживающих его социально-экономическое развитие.</w:t>
      </w:r>
    </w:p>
    <w:p w:rsidR="00367368" w:rsidRPr="00367368" w:rsidRDefault="00367368" w:rsidP="003673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7CD0" w:rsidRDefault="00D3520C" w:rsidP="003673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368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проблемой городского округа город Мегион является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жилищный фон</w:t>
      </w:r>
      <w:r w:rsidR="00F6787B">
        <w:rPr>
          <w:rFonts w:ascii="Times New Roman" w:hAnsi="Times New Roman" w:cs="Times New Roman"/>
          <w:color w:val="000000" w:themeColor="text1"/>
          <w:sz w:val="24"/>
          <w:szCs w:val="24"/>
        </w:rPr>
        <w:t>д,</w:t>
      </w:r>
      <w:r w:rsidR="00BA7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87B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BA7CD0">
        <w:rPr>
          <w:rFonts w:ascii="Times New Roman" w:hAnsi="Times New Roman" w:cs="Times New Roman"/>
          <w:color w:val="000000" w:themeColor="text1"/>
          <w:sz w:val="24"/>
          <w:szCs w:val="24"/>
        </w:rPr>
        <w:t>ольшую часть которых</w:t>
      </w:r>
      <w:r w:rsidR="00F678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A7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составляют дома деревянного исполнения, признанные непригодными  для проживания</w:t>
      </w:r>
      <w:r w:rsidR="00F6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(ветхий и аварийный)</w:t>
      </w:r>
      <w:r w:rsidR="00BA7CD0">
        <w:rPr>
          <w:rFonts w:ascii="Times New Roman" w:hAnsi="Times New Roman" w:cs="Times New Roman"/>
          <w:color w:val="000000" w:themeColor="text1"/>
          <w:sz w:val="24"/>
          <w:szCs w:val="24"/>
        </w:rPr>
        <w:t>. И, как следствие, возникают проблемы по переселению жителей муниципального образования из непригодного жилья.</w:t>
      </w:r>
    </w:p>
    <w:p w:rsidR="00D3520C" w:rsidRDefault="00975143" w:rsidP="003673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</w:t>
      </w:r>
      <w:r w:rsidR="00BA7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время </w:t>
      </w:r>
      <w:r w:rsidR="00F6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балочный фонд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город Мегион</w:t>
      </w:r>
      <w:r w:rsidR="00596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="0059611A">
        <w:rPr>
          <w:rFonts w:ascii="Times New Roman" w:hAnsi="Times New Roman" w:cs="Times New Roman"/>
          <w:color w:val="000000" w:themeColor="text1"/>
          <w:sz w:val="24"/>
          <w:szCs w:val="24"/>
        </w:rPr>
        <w:t>782</w:t>
      </w:r>
      <w:r w:rsidR="005A1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87B">
        <w:rPr>
          <w:rFonts w:ascii="Times New Roman" w:hAnsi="Times New Roman" w:cs="Times New Roman"/>
          <w:color w:val="000000" w:themeColor="text1"/>
          <w:sz w:val="24"/>
          <w:szCs w:val="24"/>
        </w:rPr>
        <w:t>постройки</w:t>
      </w:r>
      <w:r w:rsidR="005A1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6787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A1AD0">
        <w:rPr>
          <w:rFonts w:ascii="Times New Roman" w:hAnsi="Times New Roman" w:cs="Times New Roman"/>
          <w:color w:val="000000" w:themeColor="text1"/>
          <w:sz w:val="24"/>
          <w:szCs w:val="24"/>
        </w:rPr>
        <w:t>роблем</w:t>
      </w:r>
      <w:r w:rsidR="00F6787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A1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ликвидации приспособленных для проживания помещений является первоочередной задачей.</w:t>
      </w:r>
    </w:p>
    <w:p w:rsidR="005A1AD0" w:rsidRPr="00367368" w:rsidRDefault="005A1AD0" w:rsidP="005A1A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Острой является проблема плохого состояния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</w:t>
      </w:r>
      <w:r w:rsidRPr="00367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утриквартальных </w:t>
      </w:r>
      <w:r w:rsidR="00F6787B">
        <w:rPr>
          <w:rFonts w:ascii="Times New Roman" w:hAnsi="Times New Roman" w:cs="Times New Roman"/>
          <w:color w:val="000000" w:themeColor="text1"/>
          <w:sz w:val="24"/>
          <w:szCs w:val="24"/>
        </w:rPr>
        <w:t>проездов</w:t>
      </w:r>
      <w:r w:rsidRPr="00367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тротуаров для пешеходов, что требует строительства новых и реконструкции существующих улично-дорожных объектов и сетей в микрорайонах.</w:t>
      </w:r>
    </w:p>
    <w:p w:rsidR="005A1AD0" w:rsidRPr="00367368" w:rsidRDefault="005A1AD0" w:rsidP="005A1A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Требуется решение вопроса обеспечения доступной среды маломобильным категориям населения. Не все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объекты соцкультбыта построены </w:t>
      </w:r>
      <w:r w:rsidRPr="00367368">
        <w:rPr>
          <w:rFonts w:ascii="Times New Roman" w:hAnsi="Times New Roman" w:cs="Times New Roman"/>
          <w:color w:val="000000" w:themeColor="text1"/>
          <w:sz w:val="24"/>
          <w:szCs w:val="24"/>
        </w:rPr>
        <w:t>с учётом параметров специальных устройств для пользования инвалидами, не предусмотрены пути и возможности для свободного их передвижения.</w:t>
      </w:r>
    </w:p>
    <w:p w:rsidR="005A1AD0" w:rsidRDefault="005A1AD0" w:rsidP="005A1A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368">
        <w:rPr>
          <w:rFonts w:ascii="Times New Roman" w:hAnsi="Times New Roman" w:cs="Times New Roman"/>
          <w:color w:val="000000" w:themeColor="text1"/>
          <w:sz w:val="24"/>
          <w:szCs w:val="24"/>
        </w:rPr>
        <w:t>Сохраняется необходимость строительства досугово-развлекательных центров для детей младшего возраста с родителями, центры-клубы для детей старшего возраста.</w:t>
      </w:r>
    </w:p>
    <w:p w:rsidR="005A1AD0" w:rsidRDefault="00F6787B" w:rsidP="00457C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FC43B6">
        <w:rPr>
          <w:rFonts w:ascii="Times New Roman" w:hAnsi="Times New Roman" w:cs="Times New Roman"/>
          <w:color w:val="000000" w:themeColor="text1"/>
          <w:sz w:val="24"/>
          <w:szCs w:val="24"/>
        </w:rPr>
        <w:t>, проблемными вопросами остаются:</w:t>
      </w:r>
    </w:p>
    <w:p w:rsidR="00457C8C" w:rsidRDefault="00457C8C" w:rsidP="00457C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Низкая инвестиционная активность</w:t>
      </w:r>
      <w:r w:rsidR="007A7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части реализации проектов комплексного освоения и развития территории.</w:t>
      </w:r>
    </w:p>
    <w:p w:rsidR="00457C8C" w:rsidRDefault="00457C8C" w:rsidP="00457C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Недостаточное обеспечение земельных участков для жилищного строительства социальной, коммунальной и дорожной инфраструктурами.</w:t>
      </w:r>
    </w:p>
    <w:p w:rsidR="00457C8C" w:rsidRPr="00BC54D5" w:rsidRDefault="00BC54D5" w:rsidP="00457C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BC54D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</w:t>
      </w:r>
      <w:r w:rsidR="00457C8C" w:rsidRPr="00BC54D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знос комм</w:t>
      </w:r>
      <w:r w:rsidR="00F6787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уникаций и оборудования </w:t>
      </w:r>
      <w:r w:rsidR="00F6787B" w:rsidRPr="00BC54D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сетей</w:t>
      </w:r>
      <w:r w:rsidR="00F6787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тепло - водоснабжения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.</w:t>
      </w:r>
    </w:p>
    <w:p w:rsidR="00BC54D5" w:rsidRPr="00BC54D5" w:rsidRDefault="00BC54D5" w:rsidP="00457C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4D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Недостаточное ресурсное обеспечение субъектов малого и среднего предпринимательства.</w:t>
      </w:r>
    </w:p>
    <w:sectPr w:rsidR="00BC54D5" w:rsidRPr="00BC54D5" w:rsidSect="00BD500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3B21FC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B7"/>
    <w:rsid w:val="00007EA8"/>
    <w:rsid w:val="00011BA3"/>
    <w:rsid w:val="000124DC"/>
    <w:rsid w:val="0001308C"/>
    <w:rsid w:val="00017B60"/>
    <w:rsid w:val="000205C0"/>
    <w:rsid w:val="0002364A"/>
    <w:rsid w:val="0002615A"/>
    <w:rsid w:val="00026702"/>
    <w:rsid w:val="000319C4"/>
    <w:rsid w:val="00031B45"/>
    <w:rsid w:val="00040F67"/>
    <w:rsid w:val="0004365C"/>
    <w:rsid w:val="000519C2"/>
    <w:rsid w:val="00051B3B"/>
    <w:rsid w:val="00055336"/>
    <w:rsid w:val="00061D85"/>
    <w:rsid w:val="00064A3B"/>
    <w:rsid w:val="00066462"/>
    <w:rsid w:val="00077163"/>
    <w:rsid w:val="00081B57"/>
    <w:rsid w:val="000945CA"/>
    <w:rsid w:val="000A010B"/>
    <w:rsid w:val="000A2BDF"/>
    <w:rsid w:val="000A2D57"/>
    <w:rsid w:val="000A452F"/>
    <w:rsid w:val="000A5BBD"/>
    <w:rsid w:val="000B1239"/>
    <w:rsid w:val="000B2FE2"/>
    <w:rsid w:val="000C17DF"/>
    <w:rsid w:val="000C630F"/>
    <w:rsid w:val="000C7DD3"/>
    <w:rsid w:val="000D3A37"/>
    <w:rsid w:val="000D7B8B"/>
    <w:rsid w:val="000E2402"/>
    <w:rsid w:val="000F120B"/>
    <w:rsid w:val="000F3F24"/>
    <w:rsid w:val="0010407C"/>
    <w:rsid w:val="00104401"/>
    <w:rsid w:val="00105C22"/>
    <w:rsid w:val="00120218"/>
    <w:rsid w:val="00122BFF"/>
    <w:rsid w:val="0013413B"/>
    <w:rsid w:val="001377B0"/>
    <w:rsid w:val="00137FD4"/>
    <w:rsid w:val="00143CE7"/>
    <w:rsid w:val="0014462F"/>
    <w:rsid w:val="00152604"/>
    <w:rsid w:val="00157201"/>
    <w:rsid w:val="001575B4"/>
    <w:rsid w:val="00166CDB"/>
    <w:rsid w:val="0016711B"/>
    <w:rsid w:val="00167E81"/>
    <w:rsid w:val="00170074"/>
    <w:rsid w:val="001706AD"/>
    <w:rsid w:val="001714AA"/>
    <w:rsid w:val="001723F6"/>
    <w:rsid w:val="00174801"/>
    <w:rsid w:val="001A08E0"/>
    <w:rsid w:val="001A3A31"/>
    <w:rsid w:val="001A6162"/>
    <w:rsid w:val="001B7CC1"/>
    <w:rsid w:val="001C2799"/>
    <w:rsid w:val="001D4942"/>
    <w:rsid w:val="001D4EAB"/>
    <w:rsid w:val="001E12EC"/>
    <w:rsid w:val="001E1B97"/>
    <w:rsid w:val="001E1E21"/>
    <w:rsid w:val="001E6E56"/>
    <w:rsid w:val="001F618B"/>
    <w:rsid w:val="00201D2E"/>
    <w:rsid w:val="00203E53"/>
    <w:rsid w:val="0021428A"/>
    <w:rsid w:val="002144D1"/>
    <w:rsid w:val="00215C1D"/>
    <w:rsid w:val="00220337"/>
    <w:rsid w:val="0022625F"/>
    <w:rsid w:val="0023265C"/>
    <w:rsid w:val="002417DF"/>
    <w:rsid w:val="002452EF"/>
    <w:rsid w:val="00245D66"/>
    <w:rsid w:val="002513A3"/>
    <w:rsid w:val="0025410B"/>
    <w:rsid w:val="0025540C"/>
    <w:rsid w:val="0025556B"/>
    <w:rsid w:val="00267C4A"/>
    <w:rsid w:val="0027319C"/>
    <w:rsid w:val="002741B7"/>
    <w:rsid w:val="002748DD"/>
    <w:rsid w:val="00280D87"/>
    <w:rsid w:val="00283540"/>
    <w:rsid w:val="00283E9A"/>
    <w:rsid w:val="00283F12"/>
    <w:rsid w:val="002918D5"/>
    <w:rsid w:val="002A1073"/>
    <w:rsid w:val="002A34CF"/>
    <w:rsid w:val="002A507A"/>
    <w:rsid w:val="002A570B"/>
    <w:rsid w:val="002A6488"/>
    <w:rsid w:val="002B2B8B"/>
    <w:rsid w:val="002B7338"/>
    <w:rsid w:val="002C115D"/>
    <w:rsid w:val="002C2A94"/>
    <w:rsid w:val="002D0833"/>
    <w:rsid w:val="002D2967"/>
    <w:rsid w:val="002D2BDD"/>
    <w:rsid w:val="002D51E9"/>
    <w:rsid w:val="002D5A6E"/>
    <w:rsid w:val="002D63D0"/>
    <w:rsid w:val="002E1AE1"/>
    <w:rsid w:val="002E43E5"/>
    <w:rsid w:val="002F59EA"/>
    <w:rsid w:val="0031066A"/>
    <w:rsid w:val="00317437"/>
    <w:rsid w:val="00320EA6"/>
    <w:rsid w:val="003255F7"/>
    <w:rsid w:val="00325AA0"/>
    <w:rsid w:val="003265ED"/>
    <w:rsid w:val="00331DEC"/>
    <w:rsid w:val="00331E37"/>
    <w:rsid w:val="0033412F"/>
    <w:rsid w:val="003363CC"/>
    <w:rsid w:val="00345C86"/>
    <w:rsid w:val="00357719"/>
    <w:rsid w:val="00361EF5"/>
    <w:rsid w:val="00362672"/>
    <w:rsid w:val="00367368"/>
    <w:rsid w:val="0037445A"/>
    <w:rsid w:val="003826D2"/>
    <w:rsid w:val="00383B35"/>
    <w:rsid w:val="00386EB1"/>
    <w:rsid w:val="003902D1"/>
    <w:rsid w:val="00391647"/>
    <w:rsid w:val="00391CF1"/>
    <w:rsid w:val="00393342"/>
    <w:rsid w:val="003940AA"/>
    <w:rsid w:val="00395D6A"/>
    <w:rsid w:val="003A2F14"/>
    <w:rsid w:val="003A5185"/>
    <w:rsid w:val="003A585B"/>
    <w:rsid w:val="003A722B"/>
    <w:rsid w:val="003B0F73"/>
    <w:rsid w:val="003B7FBD"/>
    <w:rsid w:val="003C2D0C"/>
    <w:rsid w:val="003C66C5"/>
    <w:rsid w:val="003D28D7"/>
    <w:rsid w:val="003D65C0"/>
    <w:rsid w:val="003D69DB"/>
    <w:rsid w:val="003E3897"/>
    <w:rsid w:val="003E3BB3"/>
    <w:rsid w:val="003E5DDA"/>
    <w:rsid w:val="003E62C3"/>
    <w:rsid w:val="003E6CE4"/>
    <w:rsid w:val="003F2AF2"/>
    <w:rsid w:val="003F31CF"/>
    <w:rsid w:val="003F7BDC"/>
    <w:rsid w:val="00403DE3"/>
    <w:rsid w:val="004115EF"/>
    <w:rsid w:val="00414629"/>
    <w:rsid w:val="004178CE"/>
    <w:rsid w:val="004238C6"/>
    <w:rsid w:val="0042697E"/>
    <w:rsid w:val="00426AA7"/>
    <w:rsid w:val="0042775F"/>
    <w:rsid w:val="00431D4F"/>
    <w:rsid w:val="00434F5A"/>
    <w:rsid w:val="00442739"/>
    <w:rsid w:val="00442D3C"/>
    <w:rsid w:val="004437AA"/>
    <w:rsid w:val="00444403"/>
    <w:rsid w:val="0044625F"/>
    <w:rsid w:val="00446BC0"/>
    <w:rsid w:val="00447F8B"/>
    <w:rsid w:val="00453C9E"/>
    <w:rsid w:val="00456885"/>
    <w:rsid w:val="004572DE"/>
    <w:rsid w:val="00457C8C"/>
    <w:rsid w:val="00464254"/>
    <w:rsid w:val="004649BE"/>
    <w:rsid w:val="00464AEC"/>
    <w:rsid w:val="00470621"/>
    <w:rsid w:val="00475021"/>
    <w:rsid w:val="00476E5D"/>
    <w:rsid w:val="00480C87"/>
    <w:rsid w:val="00490CC5"/>
    <w:rsid w:val="0049217C"/>
    <w:rsid w:val="00492DC6"/>
    <w:rsid w:val="004952E4"/>
    <w:rsid w:val="004972B2"/>
    <w:rsid w:val="004A4C0C"/>
    <w:rsid w:val="004B55ED"/>
    <w:rsid w:val="004B57EC"/>
    <w:rsid w:val="004B668A"/>
    <w:rsid w:val="004B674D"/>
    <w:rsid w:val="004C1D5B"/>
    <w:rsid w:val="004C3F29"/>
    <w:rsid w:val="004D266F"/>
    <w:rsid w:val="004D4249"/>
    <w:rsid w:val="004E214A"/>
    <w:rsid w:val="004E4FFB"/>
    <w:rsid w:val="004E7B73"/>
    <w:rsid w:val="004E7F41"/>
    <w:rsid w:val="004F2F00"/>
    <w:rsid w:val="004F7B9B"/>
    <w:rsid w:val="004F7EFB"/>
    <w:rsid w:val="00503910"/>
    <w:rsid w:val="005211D3"/>
    <w:rsid w:val="00522203"/>
    <w:rsid w:val="0052513F"/>
    <w:rsid w:val="00525CA8"/>
    <w:rsid w:val="00526141"/>
    <w:rsid w:val="00530F2C"/>
    <w:rsid w:val="00531885"/>
    <w:rsid w:val="0054381A"/>
    <w:rsid w:val="00543EED"/>
    <w:rsid w:val="00543FA2"/>
    <w:rsid w:val="0054473A"/>
    <w:rsid w:val="00547805"/>
    <w:rsid w:val="00550E01"/>
    <w:rsid w:val="0055535F"/>
    <w:rsid w:val="0055560F"/>
    <w:rsid w:val="0055589D"/>
    <w:rsid w:val="0056485D"/>
    <w:rsid w:val="00565925"/>
    <w:rsid w:val="00567913"/>
    <w:rsid w:val="005709AD"/>
    <w:rsid w:val="00571B46"/>
    <w:rsid w:val="005729F0"/>
    <w:rsid w:val="00574282"/>
    <w:rsid w:val="0058028D"/>
    <w:rsid w:val="00586547"/>
    <w:rsid w:val="00586E40"/>
    <w:rsid w:val="00587FD3"/>
    <w:rsid w:val="0059043E"/>
    <w:rsid w:val="00591CC3"/>
    <w:rsid w:val="00595E8C"/>
    <w:rsid w:val="0059611A"/>
    <w:rsid w:val="005A03E5"/>
    <w:rsid w:val="005A1AD0"/>
    <w:rsid w:val="005A3301"/>
    <w:rsid w:val="005A46C9"/>
    <w:rsid w:val="005A5FFA"/>
    <w:rsid w:val="005B1F2A"/>
    <w:rsid w:val="005C3CCB"/>
    <w:rsid w:val="005C7EEC"/>
    <w:rsid w:val="005D13B8"/>
    <w:rsid w:val="005D7361"/>
    <w:rsid w:val="005D7381"/>
    <w:rsid w:val="005E3AAA"/>
    <w:rsid w:val="005E4377"/>
    <w:rsid w:val="005F0E42"/>
    <w:rsid w:val="006019B2"/>
    <w:rsid w:val="00603A4E"/>
    <w:rsid w:val="0060696D"/>
    <w:rsid w:val="006076EA"/>
    <w:rsid w:val="0061741B"/>
    <w:rsid w:val="00617891"/>
    <w:rsid w:val="0062165F"/>
    <w:rsid w:val="00621C64"/>
    <w:rsid w:val="006256E3"/>
    <w:rsid w:val="00631FB8"/>
    <w:rsid w:val="006341A4"/>
    <w:rsid w:val="00634921"/>
    <w:rsid w:val="00635133"/>
    <w:rsid w:val="006356A5"/>
    <w:rsid w:val="00636C47"/>
    <w:rsid w:val="00640FCE"/>
    <w:rsid w:val="0064624A"/>
    <w:rsid w:val="00647D06"/>
    <w:rsid w:val="00654303"/>
    <w:rsid w:val="00662506"/>
    <w:rsid w:val="006634D6"/>
    <w:rsid w:val="00667BCF"/>
    <w:rsid w:val="006732BF"/>
    <w:rsid w:val="00673F80"/>
    <w:rsid w:val="00675DC4"/>
    <w:rsid w:val="006820D1"/>
    <w:rsid w:val="00697AF3"/>
    <w:rsid w:val="006A0403"/>
    <w:rsid w:val="006A1E46"/>
    <w:rsid w:val="006A40D7"/>
    <w:rsid w:val="006A496E"/>
    <w:rsid w:val="006A68F2"/>
    <w:rsid w:val="006B1833"/>
    <w:rsid w:val="006B2493"/>
    <w:rsid w:val="006C490A"/>
    <w:rsid w:val="006D2E04"/>
    <w:rsid w:val="006E21C9"/>
    <w:rsid w:val="006E6941"/>
    <w:rsid w:val="006F51AB"/>
    <w:rsid w:val="006F58D2"/>
    <w:rsid w:val="006F5AB1"/>
    <w:rsid w:val="00700F6F"/>
    <w:rsid w:val="007014A5"/>
    <w:rsid w:val="0070213A"/>
    <w:rsid w:val="007050D5"/>
    <w:rsid w:val="00714A68"/>
    <w:rsid w:val="007210A3"/>
    <w:rsid w:val="0072170A"/>
    <w:rsid w:val="007232F9"/>
    <w:rsid w:val="00725292"/>
    <w:rsid w:val="00730743"/>
    <w:rsid w:val="00735D2D"/>
    <w:rsid w:val="007443F6"/>
    <w:rsid w:val="00745F1D"/>
    <w:rsid w:val="007509A3"/>
    <w:rsid w:val="00750A7F"/>
    <w:rsid w:val="007550B0"/>
    <w:rsid w:val="00755DBC"/>
    <w:rsid w:val="00760387"/>
    <w:rsid w:val="00763FD5"/>
    <w:rsid w:val="00764152"/>
    <w:rsid w:val="00776C2B"/>
    <w:rsid w:val="007824F4"/>
    <w:rsid w:val="00787C11"/>
    <w:rsid w:val="007903F7"/>
    <w:rsid w:val="0079523B"/>
    <w:rsid w:val="007958B2"/>
    <w:rsid w:val="00796ADA"/>
    <w:rsid w:val="007A18B9"/>
    <w:rsid w:val="007A3DF7"/>
    <w:rsid w:val="007A55F2"/>
    <w:rsid w:val="007A70AD"/>
    <w:rsid w:val="007B162C"/>
    <w:rsid w:val="007B22A2"/>
    <w:rsid w:val="007B6480"/>
    <w:rsid w:val="007C7714"/>
    <w:rsid w:val="007D26BE"/>
    <w:rsid w:val="007D3545"/>
    <w:rsid w:val="007E254E"/>
    <w:rsid w:val="007E4EF5"/>
    <w:rsid w:val="007F34C0"/>
    <w:rsid w:val="007F369D"/>
    <w:rsid w:val="007F6326"/>
    <w:rsid w:val="00800B86"/>
    <w:rsid w:val="0080274A"/>
    <w:rsid w:val="00803A36"/>
    <w:rsid w:val="008043DF"/>
    <w:rsid w:val="00806555"/>
    <w:rsid w:val="00812CDB"/>
    <w:rsid w:val="00812E68"/>
    <w:rsid w:val="00820C48"/>
    <w:rsid w:val="00824223"/>
    <w:rsid w:val="0082548D"/>
    <w:rsid w:val="008256F0"/>
    <w:rsid w:val="00826407"/>
    <w:rsid w:val="00826A27"/>
    <w:rsid w:val="008311C6"/>
    <w:rsid w:val="00837AD4"/>
    <w:rsid w:val="00837F50"/>
    <w:rsid w:val="0084298A"/>
    <w:rsid w:val="008508D4"/>
    <w:rsid w:val="008513AE"/>
    <w:rsid w:val="00853991"/>
    <w:rsid w:val="00854050"/>
    <w:rsid w:val="00856E2C"/>
    <w:rsid w:val="00861A6A"/>
    <w:rsid w:val="00862EE6"/>
    <w:rsid w:val="00863125"/>
    <w:rsid w:val="0086429D"/>
    <w:rsid w:val="008743CC"/>
    <w:rsid w:val="008755D6"/>
    <w:rsid w:val="00881C02"/>
    <w:rsid w:val="008915A6"/>
    <w:rsid w:val="00895A16"/>
    <w:rsid w:val="008A6606"/>
    <w:rsid w:val="008A703F"/>
    <w:rsid w:val="008A7B46"/>
    <w:rsid w:val="008B23A5"/>
    <w:rsid w:val="008B3944"/>
    <w:rsid w:val="008B445C"/>
    <w:rsid w:val="008B4817"/>
    <w:rsid w:val="008B5F59"/>
    <w:rsid w:val="008C3C28"/>
    <w:rsid w:val="008C7339"/>
    <w:rsid w:val="008C76D3"/>
    <w:rsid w:val="008D0711"/>
    <w:rsid w:val="008D1F32"/>
    <w:rsid w:val="008D4C0A"/>
    <w:rsid w:val="008E3FCB"/>
    <w:rsid w:val="008F2C4B"/>
    <w:rsid w:val="008F5683"/>
    <w:rsid w:val="008F7F13"/>
    <w:rsid w:val="00914683"/>
    <w:rsid w:val="00916FA3"/>
    <w:rsid w:val="00920DAD"/>
    <w:rsid w:val="0092425E"/>
    <w:rsid w:val="009254C9"/>
    <w:rsid w:val="0093268D"/>
    <w:rsid w:val="0093488F"/>
    <w:rsid w:val="00936590"/>
    <w:rsid w:val="00940873"/>
    <w:rsid w:val="00942D0B"/>
    <w:rsid w:val="0094690A"/>
    <w:rsid w:val="00946BB5"/>
    <w:rsid w:val="0095053C"/>
    <w:rsid w:val="00955BC1"/>
    <w:rsid w:val="0095761B"/>
    <w:rsid w:val="00960E94"/>
    <w:rsid w:val="00970A51"/>
    <w:rsid w:val="0097483B"/>
    <w:rsid w:val="009748B1"/>
    <w:rsid w:val="00975143"/>
    <w:rsid w:val="00982DDE"/>
    <w:rsid w:val="009856C2"/>
    <w:rsid w:val="00985C7B"/>
    <w:rsid w:val="009A08BD"/>
    <w:rsid w:val="009A5BFE"/>
    <w:rsid w:val="009B0568"/>
    <w:rsid w:val="009B0D51"/>
    <w:rsid w:val="009B4343"/>
    <w:rsid w:val="009C2CF2"/>
    <w:rsid w:val="009D0FC9"/>
    <w:rsid w:val="009D2E3C"/>
    <w:rsid w:val="009E16F6"/>
    <w:rsid w:val="009E7AAE"/>
    <w:rsid w:val="009F48E6"/>
    <w:rsid w:val="009F5155"/>
    <w:rsid w:val="009F734B"/>
    <w:rsid w:val="009F768A"/>
    <w:rsid w:val="00A00539"/>
    <w:rsid w:val="00A02383"/>
    <w:rsid w:val="00A0630E"/>
    <w:rsid w:val="00A104DB"/>
    <w:rsid w:val="00A13482"/>
    <w:rsid w:val="00A1503F"/>
    <w:rsid w:val="00A171CC"/>
    <w:rsid w:val="00A22F09"/>
    <w:rsid w:val="00A25730"/>
    <w:rsid w:val="00A35CBD"/>
    <w:rsid w:val="00A37BF1"/>
    <w:rsid w:val="00A41DE6"/>
    <w:rsid w:val="00A4483D"/>
    <w:rsid w:val="00A44A96"/>
    <w:rsid w:val="00A50475"/>
    <w:rsid w:val="00A53D01"/>
    <w:rsid w:val="00A5504F"/>
    <w:rsid w:val="00A56A33"/>
    <w:rsid w:val="00A57A54"/>
    <w:rsid w:val="00A66BAB"/>
    <w:rsid w:val="00A67B36"/>
    <w:rsid w:val="00A67E08"/>
    <w:rsid w:val="00A72CB3"/>
    <w:rsid w:val="00A76E7D"/>
    <w:rsid w:val="00A77771"/>
    <w:rsid w:val="00A85709"/>
    <w:rsid w:val="00A87D62"/>
    <w:rsid w:val="00A90779"/>
    <w:rsid w:val="00A92A48"/>
    <w:rsid w:val="00A9472B"/>
    <w:rsid w:val="00A94F61"/>
    <w:rsid w:val="00A95123"/>
    <w:rsid w:val="00A9684E"/>
    <w:rsid w:val="00A96D1E"/>
    <w:rsid w:val="00AA07A1"/>
    <w:rsid w:val="00AA0F8F"/>
    <w:rsid w:val="00AA3B96"/>
    <w:rsid w:val="00AA4B40"/>
    <w:rsid w:val="00AA50BB"/>
    <w:rsid w:val="00AA634E"/>
    <w:rsid w:val="00AB0800"/>
    <w:rsid w:val="00AB1BCE"/>
    <w:rsid w:val="00AB6584"/>
    <w:rsid w:val="00AC047E"/>
    <w:rsid w:val="00AC17F2"/>
    <w:rsid w:val="00AD4128"/>
    <w:rsid w:val="00AE40F6"/>
    <w:rsid w:val="00AF0658"/>
    <w:rsid w:val="00AF4D88"/>
    <w:rsid w:val="00B04AB4"/>
    <w:rsid w:val="00B05BB7"/>
    <w:rsid w:val="00B0605F"/>
    <w:rsid w:val="00B10557"/>
    <w:rsid w:val="00B111B4"/>
    <w:rsid w:val="00B1391C"/>
    <w:rsid w:val="00B14BCA"/>
    <w:rsid w:val="00B23D32"/>
    <w:rsid w:val="00B3759F"/>
    <w:rsid w:val="00B40585"/>
    <w:rsid w:val="00B42965"/>
    <w:rsid w:val="00B4437D"/>
    <w:rsid w:val="00B4592B"/>
    <w:rsid w:val="00B47084"/>
    <w:rsid w:val="00B47CBA"/>
    <w:rsid w:val="00B54AA5"/>
    <w:rsid w:val="00B61A83"/>
    <w:rsid w:val="00B61B31"/>
    <w:rsid w:val="00B6720C"/>
    <w:rsid w:val="00B73F9F"/>
    <w:rsid w:val="00B802A5"/>
    <w:rsid w:val="00B817CF"/>
    <w:rsid w:val="00B83FE4"/>
    <w:rsid w:val="00B90B29"/>
    <w:rsid w:val="00B92785"/>
    <w:rsid w:val="00B95EFC"/>
    <w:rsid w:val="00B971BE"/>
    <w:rsid w:val="00BA52AE"/>
    <w:rsid w:val="00BA7CD0"/>
    <w:rsid w:val="00BA7E92"/>
    <w:rsid w:val="00BB73D0"/>
    <w:rsid w:val="00BC132C"/>
    <w:rsid w:val="00BC2973"/>
    <w:rsid w:val="00BC2DD3"/>
    <w:rsid w:val="00BC54D5"/>
    <w:rsid w:val="00BD074E"/>
    <w:rsid w:val="00BD392A"/>
    <w:rsid w:val="00BD5007"/>
    <w:rsid w:val="00BE558A"/>
    <w:rsid w:val="00BE60E3"/>
    <w:rsid w:val="00BE789A"/>
    <w:rsid w:val="00BF2415"/>
    <w:rsid w:val="00BF3464"/>
    <w:rsid w:val="00C10C72"/>
    <w:rsid w:val="00C14EB2"/>
    <w:rsid w:val="00C15616"/>
    <w:rsid w:val="00C1645D"/>
    <w:rsid w:val="00C22A3B"/>
    <w:rsid w:val="00C2590C"/>
    <w:rsid w:val="00C27958"/>
    <w:rsid w:val="00C346EE"/>
    <w:rsid w:val="00C37151"/>
    <w:rsid w:val="00C3739B"/>
    <w:rsid w:val="00C431CC"/>
    <w:rsid w:val="00C474B7"/>
    <w:rsid w:val="00C5056F"/>
    <w:rsid w:val="00C51844"/>
    <w:rsid w:val="00C52E13"/>
    <w:rsid w:val="00C55513"/>
    <w:rsid w:val="00C5780B"/>
    <w:rsid w:val="00C624F5"/>
    <w:rsid w:val="00C63E39"/>
    <w:rsid w:val="00C66A18"/>
    <w:rsid w:val="00C72D29"/>
    <w:rsid w:val="00C858AA"/>
    <w:rsid w:val="00C86620"/>
    <w:rsid w:val="00C86B70"/>
    <w:rsid w:val="00C9235E"/>
    <w:rsid w:val="00C93CD1"/>
    <w:rsid w:val="00C972A9"/>
    <w:rsid w:val="00CA2316"/>
    <w:rsid w:val="00CB23B7"/>
    <w:rsid w:val="00CB3FD1"/>
    <w:rsid w:val="00CB7F9B"/>
    <w:rsid w:val="00CC08D1"/>
    <w:rsid w:val="00CC2CB3"/>
    <w:rsid w:val="00CC7814"/>
    <w:rsid w:val="00CD77CB"/>
    <w:rsid w:val="00CE14EF"/>
    <w:rsid w:val="00CE2B4B"/>
    <w:rsid w:val="00CE34CE"/>
    <w:rsid w:val="00CE39FC"/>
    <w:rsid w:val="00CE5590"/>
    <w:rsid w:val="00CE58F6"/>
    <w:rsid w:val="00CE61B5"/>
    <w:rsid w:val="00CF1085"/>
    <w:rsid w:val="00CF398C"/>
    <w:rsid w:val="00CF5058"/>
    <w:rsid w:val="00D00F4B"/>
    <w:rsid w:val="00D11EDD"/>
    <w:rsid w:val="00D13588"/>
    <w:rsid w:val="00D171D8"/>
    <w:rsid w:val="00D2364D"/>
    <w:rsid w:val="00D263E7"/>
    <w:rsid w:val="00D26610"/>
    <w:rsid w:val="00D27257"/>
    <w:rsid w:val="00D27CC8"/>
    <w:rsid w:val="00D33AF4"/>
    <w:rsid w:val="00D3485D"/>
    <w:rsid w:val="00D3520C"/>
    <w:rsid w:val="00D370E4"/>
    <w:rsid w:val="00D37EEF"/>
    <w:rsid w:val="00D536F8"/>
    <w:rsid w:val="00D5686F"/>
    <w:rsid w:val="00D576D2"/>
    <w:rsid w:val="00D61842"/>
    <w:rsid w:val="00D6379A"/>
    <w:rsid w:val="00D63B43"/>
    <w:rsid w:val="00D71397"/>
    <w:rsid w:val="00D71953"/>
    <w:rsid w:val="00D72426"/>
    <w:rsid w:val="00D81E32"/>
    <w:rsid w:val="00D84857"/>
    <w:rsid w:val="00D84942"/>
    <w:rsid w:val="00D84CBB"/>
    <w:rsid w:val="00D8716C"/>
    <w:rsid w:val="00D93D6D"/>
    <w:rsid w:val="00D952F0"/>
    <w:rsid w:val="00D9622D"/>
    <w:rsid w:val="00DA3221"/>
    <w:rsid w:val="00DA6135"/>
    <w:rsid w:val="00DB3E29"/>
    <w:rsid w:val="00DB5B5B"/>
    <w:rsid w:val="00DB7B7D"/>
    <w:rsid w:val="00DC00E9"/>
    <w:rsid w:val="00DC357D"/>
    <w:rsid w:val="00DC68E6"/>
    <w:rsid w:val="00DD3942"/>
    <w:rsid w:val="00DD4D8D"/>
    <w:rsid w:val="00DD5DEC"/>
    <w:rsid w:val="00DE5272"/>
    <w:rsid w:val="00DE76CD"/>
    <w:rsid w:val="00DF0029"/>
    <w:rsid w:val="00DF0DBA"/>
    <w:rsid w:val="00DF24E9"/>
    <w:rsid w:val="00DF37DF"/>
    <w:rsid w:val="00DF3EFD"/>
    <w:rsid w:val="00DF693E"/>
    <w:rsid w:val="00DF6DC8"/>
    <w:rsid w:val="00DF7329"/>
    <w:rsid w:val="00E02E03"/>
    <w:rsid w:val="00E0671F"/>
    <w:rsid w:val="00E11382"/>
    <w:rsid w:val="00E1614F"/>
    <w:rsid w:val="00E1622C"/>
    <w:rsid w:val="00E20B47"/>
    <w:rsid w:val="00E2305C"/>
    <w:rsid w:val="00E30023"/>
    <w:rsid w:val="00E3187C"/>
    <w:rsid w:val="00E37874"/>
    <w:rsid w:val="00E40DFD"/>
    <w:rsid w:val="00E43B8E"/>
    <w:rsid w:val="00E5007D"/>
    <w:rsid w:val="00E54199"/>
    <w:rsid w:val="00E5465F"/>
    <w:rsid w:val="00E5698C"/>
    <w:rsid w:val="00E56DF9"/>
    <w:rsid w:val="00E756FC"/>
    <w:rsid w:val="00E7606E"/>
    <w:rsid w:val="00E82480"/>
    <w:rsid w:val="00E8403E"/>
    <w:rsid w:val="00E85A71"/>
    <w:rsid w:val="00E926E2"/>
    <w:rsid w:val="00E962BE"/>
    <w:rsid w:val="00EA49D0"/>
    <w:rsid w:val="00EB142F"/>
    <w:rsid w:val="00EB2F69"/>
    <w:rsid w:val="00EC074E"/>
    <w:rsid w:val="00EC1F9F"/>
    <w:rsid w:val="00EC5727"/>
    <w:rsid w:val="00EC6327"/>
    <w:rsid w:val="00ED7DF3"/>
    <w:rsid w:val="00EE2AA4"/>
    <w:rsid w:val="00EF7D67"/>
    <w:rsid w:val="00F02E72"/>
    <w:rsid w:val="00F0729B"/>
    <w:rsid w:val="00F111B9"/>
    <w:rsid w:val="00F11F03"/>
    <w:rsid w:val="00F15A62"/>
    <w:rsid w:val="00F2425D"/>
    <w:rsid w:val="00F30E84"/>
    <w:rsid w:val="00F3295C"/>
    <w:rsid w:val="00F341B1"/>
    <w:rsid w:val="00F3779A"/>
    <w:rsid w:val="00F41A0B"/>
    <w:rsid w:val="00F44919"/>
    <w:rsid w:val="00F52293"/>
    <w:rsid w:val="00F55849"/>
    <w:rsid w:val="00F5650C"/>
    <w:rsid w:val="00F57E29"/>
    <w:rsid w:val="00F64BE2"/>
    <w:rsid w:val="00F658D1"/>
    <w:rsid w:val="00F665A5"/>
    <w:rsid w:val="00F66FEF"/>
    <w:rsid w:val="00F6787B"/>
    <w:rsid w:val="00F73E1E"/>
    <w:rsid w:val="00F744FB"/>
    <w:rsid w:val="00F80852"/>
    <w:rsid w:val="00F82520"/>
    <w:rsid w:val="00F87419"/>
    <w:rsid w:val="00F93FB2"/>
    <w:rsid w:val="00F9460C"/>
    <w:rsid w:val="00FB4566"/>
    <w:rsid w:val="00FB6AC5"/>
    <w:rsid w:val="00FC2B37"/>
    <w:rsid w:val="00FC4211"/>
    <w:rsid w:val="00FC43B6"/>
    <w:rsid w:val="00FD0A41"/>
    <w:rsid w:val="00FD0A94"/>
    <w:rsid w:val="00FE0D31"/>
    <w:rsid w:val="00FF3BF2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3F3377E-8C9D-4BD3-9305-164E9607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B139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Title"/>
    <w:basedOn w:val="a"/>
    <w:link w:val="a5"/>
    <w:qFormat/>
    <w:rsid w:val="008A7B46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8A7B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077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A56A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56A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A56A3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56A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56A3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Plain Text"/>
    <w:basedOn w:val="a"/>
    <w:link w:val="ab"/>
    <w:rsid w:val="00A56A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A56A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A56A3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6A33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2"/>
    <w:rsid w:val="00D27CC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0"/>
    <w:rsid w:val="00D27C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27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rsid w:val="00D27CC8"/>
    <w:rPr>
      <w:rFonts w:ascii="Courier New" w:eastAsia="Times New Roman" w:hAnsi="Courier New" w:cs="Courier New"/>
      <w:sz w:val="20"/>
      <w:szCs w:val="20"/>
      <w:lang w:eastAsia="ko-KR"/>
    </w:rPr>
  </w:style>
  <w:style w:type="paragraph" w:customStyle="1" w:styleId="ConsPlusCell">
    <w:name w:val="ConsPlusCell"/>
    <w:link w:val="ConsPlusCell0"/>
    <w:rsid w:val="00D27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D27CC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D27CC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27CC8"/>
  </w:style>
  <w:style w:type="paragraph" w:styleId="af">
    <w:name w:val="Normal (Web)"/>
    <w:basedOn w:val="a"/>
    <w:uiPriority w:val="99"/>
    <w:rsid w:val="00F3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4B57E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Continue"/>
    <w:basedOn w:val="a"/>
    <w:uiPriority w:val="99"/>
    <w:rsid w:val="00C5780B"/>
    <w:pPr>
      <w:widowControl w:val="0"/>
      <w:autoSpaceDE w:val="0"/>
      <w:autoSpaceDN w:val="0"/>
      <w:adjustRightInd w:val="0"/>
      <w:spacing w:after="120" w:line="319" w:lineRule="auto"/>
      <w:ind w:left="283" w:firstLine="720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f1">
    <w:name w:val="Strong"/>
    <w:basedOn w:val="a0"/>
    <w:uiPriority w:val="22"/>
    <w:qFormat/>
    <w:rsid w:val="00C5780B"/>
    <w:rPr>
      <w:b/>
    </w:rPr>
  </w:style>
  <w:style w:type="paragraph" w:customStyle="1" w:styleId="af2">
    <w:name w:val="параграф"/>
    <w:basedOn w:val="a"/>
    <w:qFormat/>
    <w:rsid w:val="006A68F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pple-style-span">
    <w:name w:val="apple-style-span"/>
    <w:rsid w:val="00431D4F"/>
    <w:rPr>
      <w:rFonts w:ascii="Times New Roman" w:hAnsi="Times New Roman" w:cs="Times New Roman" w:hint="default"/>
    </w:rPr>
  </w:style>
  <w:style w:type="paragraph" w:customStyle="1" w:styleId="Default">
    <w:name w:val="Default"/>
    <w:rsid w:val="00F55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с отступом 3 Знак"/>
    <w:aliases w:val="Знак4 Знак"/>
    <w:basedOn w:val="a0"/>
    <w:link w:val="30"/>
    <w:locked/>
    <w:rsid w:val="00853991"/>
    <w:rPr>
      <w:sz w:val="16"/>
      <w:szCs w:val="16"/>
    </w:rPr>
  </w:style>
  <w:style w:type="paragraph" w:styleId="30">
    <w:name w:val="Body Text Indent 3"/>
    <w:aliases w:val="Знак4"/>
    <w:basedOn w:val="a"/>
    <w:link w:val="3"/>
    <w:unhideWhenUsed/>
    <w:rsid w:val="00853991"/>
    <w:pPr>
      <w:spacing w:after="120" w:line="240" w:lineRule="auto"/>
      <w:ind w:left="283"/>
      <w:jc w:val="both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853991"/>
    <w:rPr>
      <w:sz w:val="16"/>
      <w:szCs w:val="16"/>
    </w:rPr>
  </w:style>
  <w:style w:type="table" w:customStyle="1" w:styleId="24">
    <w:name w:val="Сетка таблицы2"/>
    <w:basedOn w:val="a1"/>
    <w:next w:val="af3"/>
    <w:rsid w:val="00CC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CC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0"/>
    <w:link w:val="af5"/>
    <w:uiPriority w:val="99"/>
    <w:rsid w:val="001E12EC"/>
    <w:rPr>
      <w:rFonts w:ascii="Times New Roman" w:eastAsia="Calibri" w:hAnsi="Times New Roman" w:cs="Times New Roman"/>
      <w:sz w:val="24"/>
    </w:rPr>
  </w:style>
  <w:style w:type="paragraph" w:styleId="af5">
    <w:name w:val="header"/>
    <w:basedOn w:val="a"/>
    <w:link w:val="af4"/>
    <w:uiPriority w:val="99"/>
    <w:unhideWhenUsed/>
    <w:rsid w:val="001E12E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6">
    <w:name w:val="Нижний колонтитул Знак"/>
    <w:basedOn w:val="a0"/>
    <w:link w:val="af7"/>
    <w:uiPriority w:val="99"/>
    <w:rsid w:val="001E12EC"/>
    <w:rPr>
      <w:rFonts w:ascii="Times New Roman" w:eastAsia="Calibri" w:hAnsi="Times New Roman" w:cs="Times New Roman"/>
      <w:sz w:val="24"/>
    </w:rPr>
  </w:style>
  <w:style w:type="paragraph" w:styleId="af7">
    <w:name w:val="footer"/>
    <w:basedOn w:val="a"/>
    <w:link w:val="af6"/>
    <w:uiPriority w:val="99"/>
    <w:unhideWhenUsed/>
    <w:rsid w:val="001E12E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0">
    <w:name w:val="Абзац списка1"/>
    <w:basedOn w:val="a"/>
    <w:rsid w:val="001E12EC"/>
    <w:pPr>
      <w:ind w:left="720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qFormat/>
    <w:rsid w:val="00F2425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Bullet 2"/>
    <w:basedOn w:val="a"/>
    <w:unhideWhenUsed/>
    <w:rsid w:val="00F2425D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customStyle="1" w:styleId="af9">
    <w:name w:val="Внутренний адрес"/>
    <w:basedOn w:val="a"/>
    <w:rsid w:val="00F2425D"/>
    <w:pPr>
      <w:spacing w:after="0" w:line="240" w:lineRule="auto"/>
      <w:ind w:left="835" w:right="-36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531">
      <w:bodyDiv w:val="1"/>
      <w:marLeft w:val="150"/>
      <w:marRight w:val="150"/>
      <w:marTop w:val="2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5704">
          <w:marLeft w:val="30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605">
      <w:bodyDiv w:val="1"/>
      <w:marLeft w:val="150"/>
      <w:marRight w:val="150"/>
      <w:marTop w:val="2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227">
          <w:marLeft w:val="30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1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57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7D6E7-3905-4E8B-94B4-617BE876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12962</Words>
  <Characters>73885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86674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Нина Викторовна</dc:creator>
  <cp:keywords/>
  <dc:description/>
  <cp:lastModifiedBy>Еградова Анастасия Александровна</cp:lastModifiedBy>
  <cp:revision>2</cp:revision>
  <cp:lastPrinted>2015-07-01T12:17:00Z</cp:lastPrinted>
  <dcterms:created xsi:type="dcterms:W3CDTF">2017-11-24T10:58:00Z</dcterms:created>
  <dcterms:modified xsi:type="dcterms:W3CDTF">2017-11-24T10:58:00Z</dcterms:modified>
</cp:coreProperties>
</file>