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4A9" w:rsidRPr="0066795C" w:rsidRDefault="00BB5490" w:rsidP="00B658AC">
      <w:pPr>
        <w:jc w:val="center"/>
      </w:pPr>
      <w:r w:rsidRPr="0066795C">
        <w:t>И</w:t>
      </w:r>
      <w:r w:rsidR="00F47DF1" w:rsidRPr="0066795C">
        <w:t>тоги социально-экономического развития</w:t>
      </w:r>
      <w:r w:rsidR="00BA555E" w:rsidRPr="0066795C">
        <w:t xml:space="preserve"> </w:t>
      </w:r>
    </w:p>
    <w:p w:rsidR="008B3762" w:rsidRPr="0066795C" w:rsidRDefault="00F47DF1" w:rsidP="00B658AC">
      <w:pPr>
        <w:jc w:val="center"/>
      </w:pPr>
      <w:r w:rsidRPr="0066795C">
        <w:t>городского округа город Мегион</w:t>
      </w:r>
      <w:r w:rsidR="001F04A9" w:rsidRPr="0066795C">
        <w:t xml:space="preserve"> </w:t>
      </w:r>
      <w:r w:rsidR="00002796" w:rsidRPr="0066795C">
        <w:t>за январь-сентябрь 201</w:t>
      </w:r>
      <w:r w:rsidR="00383A9B" w:rsidRPr="0066795C">
        <w:t>9</w:t>
      </w:r>
      <w:r w:rsidRPr="0066795C">
        <w:t xml:space="preserve"> года</w:t>
      </w:r>
      <w:r w:rsidR="008B3762" w:rsidRPr="0066795C">
        <w:t xml:space="preserve"> </w:t>
      </w:r>
      <w:r w:rsidR="00953444">
        <w:t>и</w:t>
      </w:r>
    </w:p>
    <w:p w:rsidR="00953444" w:rsidRPr="0066795C" w:rsidRDefault="00974B4E" w:rsidP="00953444">
      <w:pPr>
        <w:jc w:val="center"/>
      </w:pPr>
      <w:r>
        <w:t>ожидаемые</w:t>
      </w:r>
      <w:bookmarkStart w:id="0" w:name="_GoBack"/>
      <w:bookmarkEnd w:id="0"/>
      <w:r w:rsidR="007E6365" w:rsidRPr="0066795C">
        <w:t xml:space="preserve"> </w:t>
      </w:r>
      <w:r w:rsidR="00002796" w:rsidRPr="0066795C">
        <w:t xml:space="preserve">итоги </w:t>
      </w:r>
      <w:r w:rsidR="00953444" w:rsidRPr="0066795C">
        <w:t xml:space="preserve">социально-экономического развития </w:t>
      </w:r>
    </w:p>
    <w:p w:rsidR="001F04A9" w:rsidRPr="0066795C" w:rsidRDefault="00953444" w:rsidP="00953444">
      <w:pPr>
        <w:jc w:val="center"/>
      </w:pPr>
      <w:r w:rsidRPr="0066795C">
        <w:t xml:space="preserve">городского округа город Мегион </w:t>
      </w:r>
      <w:r w:rsidR="00002796" w:rsidRPr="0066795C">
        <w:t>за 201</w:t>
      </w:r>
      <w:r w:rsidR="00383A9B" w:rsidRPr="0066795C">
        <w:t>9</w:t>
      </w:r>
      <w:r w:rsidR="008B3762" w:rsidRPr="0066795C">
        <w:t xml:space="preserve"> год</w:t>
      </w:r>
    </w:p>
    <w:p w:rsidR="008B3762" w:rsidRPr="0066795C" w:rsidRDefault="008B3762" w:rsidP="00B658AC">
      <w:pPr>
        <w:jc w:val="left"/>
      </w:pPr>
    </w:p>
    <w:p w:rsidR="008A6F34" w:rsidRPr="0066795C" w:rsidRDefault="008A6F34" w:rsidP="00B658AC">
      <w:pPr>
        <w:widowControl w:val="0"/>
        <w:outlineLvl w:val="0"/>
      </w:pPr>
      <w:r w:rsidRPr="0066795C">
        <w:t>ДЕМОРАФИЧЕСКАЯ СИТУАЦИЯ</w:t>
      </w:r>
    </w:p>
    <w:p w:rsidR="008A6F34" w:rsidRPr="0066795C" w:rsidRDefault="008A6F34" w:rsidP="00B658AC">
      <w:pPr>
        <w:widowControl w:val="0"/>
        <w:outlineLvl w:val="0"/>
      </w:pPr>
    </w:p>
    <w:p w:rsidR="008A6F34" w:rsidRPr="00953444" w:rsidRDefault="008A6F34" w:rsidP="00B658AC">
      <w:pPr>
        <w:widowControl w:val="0"/>
        <w:ind w:firstLine="709"/>
        <w:rPr>
          <w:bCs/>
        </w:rPr>
      </w:pPr>
      <w:r w:rsidRPr="00953444">
        <w:rPr>
          <w:bCs/>
        </w:rPr>
        <w:t xml:space="preserve">Демографическая ситуация городского округа город Мегион в последние </w:t>
      </w:r>
      <w:r w:rsidR="00953444" w:rsidRPr="00953444">
        <w:rPr>
          <w:bCs/>
        </w:rPr>
        <w:t>годы</w:t>
      </w:r>
      <w:r w:rsidRPr="00953444">
        <w:rPr>
          <w:bCs/>
        </w:rPr>
        <w:t xml:space="preserve"> характеризуется снижением численности населения за счет отрицательного итога миграционного движения населения. </w:t>
      </w:r>
    </w:p>
    <w:p w:rsidR="00466476" w:rsidRPr="00953444" w:rsidRDefault="00466476" w:rsidP="00466476">
      <w:pPr>
        <w:ind w:firstLine="709"/>
      </w:pPr>
      <w:r w:rsidRPr="00953444">
        <w:t xml:space="preserve">По предварительным данным численность постоянного населения городского округа город Мегион на 01.10.2019 составила </w:t>
      </w:r>
      <w:r w:rsidR="00C326DA" w:rsidRPr="00953444">
        <w:t>540</w:t>
      </w:r>
      <w:r w:rsidR="009920DE" w:rsidRPr="00953444">
        <w:t>50</w:t>
      </w:r>
      <w:r w:rsidRPr="00953444">
        <w:t xml:space="preserve"> человек, что ниже аналогичного показателя 2018 года на 0,</w:t>
      </w:r>
      <w:r w:rsidR="009920DE" w:rsidRPr="00953444">
        <w:t>7</w:t>
      </w:r>
      <w:r w:rsidRPr="00953444">
        <w:t xml:space="preserve">%. </w:t>
      </w:r>
    </w:p>
    <w:p w:rsidR="00466476" w:rsidRPr="00953444" w:rsidRDefault="00466476" w:rsidP="00466476">
      <w:pPr>
        <w:ind w:firstLine="708"/>
      </w:pPr>
      <w:r w:rsidRPr="00953444">
        <w:t xml:space="preserve">Основным фактором, обеспечивающим прирост численности населения, традиционно является результат естественного движения населения, который за 9 месяцев 2019 года составил </w:t>
      </w:r>
      <w:r w:rsidR="009920DE" w:rsidRPr="00953444">
        <w:t>226</w:t>
      </w:r>
      <w:r w:rsidRPr="00953444">
        <w:t xml:space="preserve"> человек, что выше показателя 2018 года на </w:t>
      </w:r>
      <w:r w:rsidR="009920DE" w:rsidRPr="00953444">
        <w:t>44,9</w:t>
      </w:r>
      <w:r w:rsidRPr="00953444">
        <w:t xml:space="preserve">% или же </w:t>
      </w:r>
      <w:r w:rsidR="009920DE" w:rsidRPr="00953444">
        <w:t>70</w:t>
      </w:r>
      <w:r w:rsidR="00FB63B1" w:rsidRPr="00953444">
        <w:t xml:space="preserve"> человек</w:t>
      </w:r>
      <w:r w:rsidRPr="00953444">
        <w:t xml:space="preserve">. </w:t>
      </w:r>
    </w:p>
    <w:p w:rsidR="00466476" w:rsidRPr="00953444" w:rsidRDefault="00466476" w:rsidP="00466476">
      <w:pPr>
        <w:ind w:firstLine="708"/>
      </w:pPr>
      <w:r w:rsidRPr="00953444">
        <w:t>Число рождений за январь-</w:t>
      </w:r>
      <w:r w:rsidR="00702B33" w:rsidRPr="00953444">
        <w:t>сентябрь</w:t>
      </w:r>
      <w:r w:rsidRPr="00953444">
        <w:t xml:space="preserve"> 2019 года, в сравнении с аналогичным периодом  2018 года, выросло на </w:t>
      </w:r>
      <w:r w:rsidR="009920DE" w:rsidRPr="00953444">
        <w:t>4,7</w:t>
      </w:r>
      <w:r w:rsidRPr="00953444">
        <w:t xml:space="preserve">% или же на </w:t>
      </w:r>
      <w:r w:rsidR="009920DE" w:rsidRPr="00953444">
        <w:t>21</w:t>
      </w:r>
      <w:r w:rsidRPr="00953444">
        <w:t xml:space="preserve"> рождени</w:t>
      </w:r>
      <w:r w:rsidR="009920DE" w:rsidRPr="00953444">
        <w:t>е</w:t>
      </w:r>
      <w:r w:rsidRPr="00953444">
        <w:t>.</w:t>
      </w:r>
    </w:p>
    <w:p w:rsidR="00466476" w:rsidRPr="00953444" w:rsidRDefault="00466476" w:rsidP="00466476">
      <w:pPr>
        <w:ind w:firstLine="708"/>
      </w:pPr>
      <w:r w:rsidRPr="00953444">
        <w:t xml:space="preserve">На </w:t>
      </w:r>
      <w:r w:rsidR="009920DE" w:rsidRPr="00953444">
        <w:t>16,</w:t>
      </w:r>
      <w:r w:rsidR="001210B0" w:rsidRPr="00953444">
        <w:t>8</w:t>
      </w:r>
      <w:r w:rsidRPr="00953444">
        <w:t>% снизилось число смертей.</w:t>
      </w:r>
    </w:p>
    <w:p w:rsidR="00466476" w:rsidRPr="00953444" w:rsidRDefault="00466476" w:rsidP="00466476">
      <w:pPr>
        <w:ind w:firstLine="708"/>
      </w:pPr>
      <w:r w:rsidRPr="00953444">
        <w:t>Коэффициент рождаемости за январь-</w:t>
      </w:r>
      <w:r w:rsidR="00702B33" w:rsidRPr="00953444">
        <w:t>сентябрь</w:t>
      </w:r>
      <w:r w:rsidRPr="00953444">
        <w:t xml:space="preserve"> 2019 года равен </w:t>
      </w:r>
      <w:r w:rsidR="00702B33" w:rsidRPr="00953444">
        <w:t>8,</w:t>
      </w:r>
      <w:r w:rsidR="009920DE" w:rsidRPr="00953444">
        <w:t>68</w:t>
      </w:r>
      <w:r w:rsidRPr="00953444">
        <w:t xml:space="preserve"> промилле или же </w:t>
      </w:r>
      <w:r w:rsidR="00702B33" w:rsidRPr="00953444">
        <w:t>10</w:t>
      </w:r>
      <w:r w:rsidR="009920DE" w:rsidRPr="00953444">
        <w:t>5,5</w:t>
      </w:r>
      <w:r w:rsidRPr="00953444">
        <w:t>% к соответствующему показателю 2018 года (</w:t>
      </w:r>
      <w:r w:rsidR="00702B33" w:rsidRPr="00953444">
        <w:t>8,23</w:t>
      </w:r>
      <w:r w:rsidRPr="00953444">
        <w:t xml:space="preserve"> промилле).</w:t>
      </w:r>
    </w:p>
    <w:p w:rsidR="00466476" w:rsidRPr="00953444" w:rsidRDefault="00466476" w:rsidP="00466476">
      <w:pPr>
        <w:ind w:firstLine="708"/>
      </w:pPr>
      <w:r w:rsidRPr="00953444">
        <w:t xml:space="preserve">Коэффициент смертности составляет </w:t>
      </w:r>
      <w:r w:rsidR="009920DE" w:rsidRPr="00953444">
        <w:t>4,5</w:t>
      </w:r>
      <w:r w:rsidR="00702B33" w:rsidRPr="00953444">
        <w:t xml:space="preserve"> </w:t>
      </w:r>
      <w:r w:rsidRPr="00953444">
        <w:t xml:space="preserve">промилле против </w:t>
      </w:r>
      <w:r w:rsidR="00702B33" w:rsidRPr="00953444">
        <w:t>5,36</w:t>
      </w:r>
      <w:r w:rsidRPr="00953444">
        <w:t xml:space="preserve"> соответственно.</w:t>
      </w:r>
    </w:p>
    <w:p w:rsidR="00466476" w:rsidRPr="00953444" w:rsidRDefault="00466476" w:rsidP="00466476">
      <w:pPr>
        <w:ind w:firstLine="708"/>
      </w:pPr>
      <w:r w:rsidRPr="00953444">
        <w:t>Итог миграционного движения населения за январь-</w:t>
      </w:r>
      <w:r w:rsidR="00702B33" w:rsidRPr="00953444">
        <w:t>сентябрь</w:t>
      </w:r>
      <w:r w:rsidRPr="00953444">
        <w:t xml:space="preserve"> 2019 года составляет            -3</w:t>
      </w:r>
      <w:r w:rsidR="00702B33" w:rsidRPr="00953444">
        <w:t>75</w:t>
      </w:r>
      <w:r w:rsidRPr="00953444">
        <w:t xml:space="preserve"> человек против -</w:t>
      </w:r>
      <w:r w:rsidR="00702B33" w:rsidRPr="00953444">
        <w:t>374</w:t>
      </w:r>
      <w:r w:rsidRPr="00953444">
        <w:t xml:space="preserve"> человек за январь-</w:t>
      </w:r>
      <w:r w:rsidR="00702B33" w:rsidRPr="00953444">
        <w:t>сентябрь</w:t>
      </w:r>
      <w:r w:rsidRPr="00953444">
        <w:t xml:space="preserve"> 2018 года.</w:t>
      </w:r>
    </w:p>
    <w:p w:rsidR="008A6F34" w:rsidRPr="0066795C" w:rsidRDefault="008A6F34" w:rsidP="00B658AC">
      <w:pPr>
        <w:widowControl w:val="0"/>
        <w:rPr>
          <w:bCs/>
        </w:rPr>
      </w:pPr>
    </w:p>
    <w:p w:rsidR="008A6F34" w:rsidRPr="0066795C" w:rsidRDefault="008A6F34" w:rsidP="00B658AC">
      <w:pPr>
        <w:widowControl w:val="0"/>
        <w:jc w:val="center"/>
        <w:rPr>
          <w:bCs/>
        </w:rPr>
      </w:pPr>
      <w:r w:rsidRPr="0066795C">
        <w:rPr>
          <w:bCs/>
        </w:rPr>
        <w:t>Динамика показателей демографического процесса за 201</w:t>
      </w:r>
      <w:r w:rsidR="00066A2C" w:rsidRPr="0066795C">
        <w:rPr>
          <w:bCs/>
        </w:rPr>
        <w:t>8</w:t>
      </w:r>
      <w:r w:rsidRPr="0066795C">
        <w:rPr>
          <w:bCs/>
        </w:rPr>
        <w:t>-201</w:t>
      </w:r>
      <w:r w:rsidR="00066A2C" w:rsidRPr="0066795C">
        <w:rPr>
          <w:bCs/>
        </w:rPr>
        <w:t>9</w:t>
      </w:r>
      <w:r w:rsidRPr="0066795C">
        <w:rPr>
          <w:bCs/>
        </w:rPr>
        <w:t xml:space="preserve"> годы</w:t>
      </w:r>
    </w:p>
    <w:p w:rsidR="008A6F34" w:rsidRPr="0066795C" w:rsidRDefault="008A6F34" w:rsidP="00B658AC">
      <w:pPr>
        <w:widowControl w:val="0"/>
        <w:rPr>
          <w:bCs/>
        </w:rPr>
      </w:pPr>
    </w:p>
    <w:tbl>
      <w:tblPr>
        <w:tblStyle w:val="25"/>
        <w:tblW w:w="0" w:type="auto"/>
        <w:tblLayout w:type="fixed"/>
        <w:tblLook w:val="04A0" w:firstRow="1" w:lastRow="0" w:firstColumn="1" w:lastColumn="0" w:noHBand="0" w:noVBand="1"/>
      </w:tblPr>
      <w:tblGrid>
        <w:gridCol w:w="4786"/>
        <w:gridCol w:w="1559"/>
        <w:gridCol w:w="1418"/>
        <w:gridCol w:w="1984"/>
      </w:tblGrid>
      <w:tr w:rsidR="0066795C" w:rsidRPr="0066795C" w:rsidTr="0066795C">
        <w:trPr>
          <w:trHeight w:val="181"/>
          <w:tblHeader/>
        </w:trPr>
        <w:tc>
          <w:tcPr>
            <w:tcW w:w="4786" w:type="dxa"/>
            <w:vAlign w:val="center"/>
          </w:tcPr>
          <w:p w:rsidR="00066A2C" w:rsidRPr="0066795C" w:rsidRDefault="00066A2C">
            <w:pPr>
              <w:jc w:val="center"/>
              <w:rPr>
                <w:rFonts w:ascii="Times New Roman" w:hAnsi="Times New Roman"/>
                <w:sz w:val="22"/>
                <w:szCs w:val="22"/>
              </w:rPr>
            </w:pPr>
            <w:r w:rsidRPr="0066795C">
              <w:rPr>
                <w:rFonts w:ascii="Times New Roman" w:hAnsi="Times New Roman"/>
                <w:sz w:val="22"/>
                <w:szCs w:val="22"/>
              </w:rPr>
              <w:t xml:space="preserve">  Наименования показателей</w:t>
            </w:r>
          </w:p>
        </w:tc>
        <w:tc>
          <w:tcPr>
            <w:tcW w:w="1559" w:type="dxa"/>
            <w:vAlign w:val="center"/>
          </w:tcPr>
          <w:p w:rsidR="002C6781" w:rsidRDefault="00066A2C">
            <w:pPr>
              <w:jc w:val="center"/>
              <w:rPr>
                <w:rFonts w:ascii="Times New Roman" w:hAnsi="Times New Roman"/>
                <w:sz w:val="22"/>
                <w:szCs w:val="22"/>
              </w:rPr>
            </w:pPr>
            <w:r w:rsidRPr="0066795C">
              <w:rPr>
                <w:rFonts w:ascii="Times New Roman" w:hAnsi="Times New Roman"/>
                <w:sz w:val="22"/>
                <w:szCs w:val="22"/>
              </w:rPr>
              <w:t>Январь-Сентябрь</w:t>
            </w:r>
          </w:p>
          <w:p w:rsidR="00066A2C" w:rsidRPr="0066795C" w:rsidRDefault="002C6781">
            <w:pPr>
              <w:jc w:val="center"/>
              <w:rPr>
                <w:rFonts w:ascii="Times New Roman" w:hAnsi="Times New Roman"/>
                <w:sz w:val="22"/>
                <w:szCs w:val="22"/>
              </w:rPr>
            </w:pPr>
            <w:r w:rsidRPr="0066795C">
              <w:rPr>
                <w:rFonts w:ascii="Times New Roman" w:hAnsi="Times New Roman"/>
                <w:sz w:val="22"/>
                <w:szCs w:val="22"/>
                <w:lang w:val="en-US"/>
              </w:rPr>
              <w:t>2018 года</w:t>
            </w:r>
          </w:p>
        </w:tc>
        <w:tc>
          <w:tcPr>
            <w:tcW w:w="1418" w:type="dxa"/>
            <w:vAlign w:val="center"/>
          </w:tcPr>
          <w:p w:rsidR="002C6781" w:rsidRDefault="00066A2C">
            <w:pPr>
              <w:jc w:val="center"/>
              <w:rPr>
                <w:rFonts w:ascii="Times New Roman" w:hAnsi="Times New Roman"/>
                <w:sz w:val="22"/>
                <w:szCs w:val="22"/>
              </w:rPr>
            </w:pPr>
            <w:r w:rsidRPr="0066795C">
              <w:rPr>
                <w:rFonts w:ascii="Times New Roman" w:hAnsi="Times New Roman"/>
                <w:sz w:val="22"/>
                <w:szCs w:val="22"/>
              </w:rPr>
              <w:t>Январь-Сентябрь</w:t>
            </w:r>
          </w:p>
          <w:p w:rsidR="00066A2C" w:rsidRPr="0066795C" w:rsidRDefault="002C6781">
            <w:pPr>
              <w:jc w:val="center"/>
              <w:rPr>
                <w:rFonts w:ascii="Times New Roman" w:hAnsi="Times New Roman"/>
                <w:sz w:val="22"/>
                <w:szCs w:val="22"/>
              </w:rPr>
            </w:pPr>
            <w:r w:rsidRPr="0066795C">
              <w:rPr>
                <w:rFonts w:ascii="Times New Roman" w:hAnsi="Times New Roman"/>
                <w:sz w:val="22"/>
                <w:szCs w:val="22"/>
                <w:lang w:val="en-US"/>
              </w:rPr>
              <w:t>2019 года</w:t>
            </w:r>
          </w:p>
        </w:tc>
        <w:tc>
          <w:tcPr>
            <w:tcW w:w="1984" w:type="dxa"/>
            <w:vAlign w:val="center"/>
          </w:tcPr>
          <w:p w:rsidR="002C6781" w:rsidRDefault="00066A2C">
            <w:pPr>
              <w:jc w:val="center"/>
              <w:rPr>
                <w:rFonts w:ascii="Times New Roman" w:hAnsi="Times New Roman"/>
                <w:sz w:val="22"/>
                <w:szCs w:val="22"/>
              </w:rPr>
            </w:pPr>
            <w:r w:rsidRPr="0066795C">
              <w:rPr>
                <w:rFonts w:ascii="Times New Roman" w:hAnsi="Times New Roman"/>
                <w:sz w:val="22"/>
                <w:szCs w:val="22"/>
              </w:rPr>
              <w:t>%,</w:t>
            </w:r>
          </w:p>
          <w:p w:rsidR="00066A2C" w:rsidRPr="0066795C" w:rsidRDefault="002C6781">
            <w:pPr>
              <w:jc w:val="center"/>
              <w:rPr>
                <w:rFonts w:ascii="Times New Roman" w:hAnsi="Times New Roman"/>
                <w:sz w:val="22"/>
                <w:szCs w:val="22"/>
              </w:rPr>
            </w:pPr>
            <w:r w:rsidRPr="0066795C">
              <w:rPr>
                <w:rFonts w:ascii="Times New Roman" w:hAnsi="Times New Roman"/>
                <w:sz w:val="22"/>
                <w:szCs w:val="22"/>
              </w:rPr>
              <w:t>9 мес. 2019 года/9 мес. 2018 года</w:t>
            </w:r>
          </w:p>
        </w:tc>
      </w:tr>
      <w:tr w:rsidR="0066795C" w:rsidRPr="002C6781" w:rsidTr="0066795C">
        <w:trPr>
          <w:trHeight w:val="299"/>
        </w:trPr>
        <w:tc>
          <w:tcPr>
            <w:tcW w:w="4786" w:type="dxa"/>
            <w:vAlign w:val="center"/>
            <w:hideMark/>
          </w:tcPr>
          <w:p w:rsidR="009920DE" w:rsidRPr="002C6781" w:rsidRDefault="009920DE">
            <w:pPr>
              <w:rPr>
                <w:rFonts w:ascii="Times New Roman" w:hAnsi="Times New Roman"/>
              </w:rPr>
            </w:pPr>
            <w:r w:rsidRPr="002C6781">
              <w:rPr>
                <w:rFonts w:ascii="Times New Roman" w:hAnsi="Times New Roman"/>
              </w:rPr>
              <w:t>Численность населения на начало года, человек</w:t>
            </w:r>
          </w:p>
        </w:tc>
        <w:tc>
          <w:tcPr>
            <w:tcW w:w="1559" w:type="dxa"/>
            <w:vAlign w:val="center"/>
          </w:tcPr>
          <w:p w:rsidR="009920DE" w:rsidRPr="002C6781" w:rsidRDefault="009920DE">
            <w:pPr>
              <w:jc w:val="center"/>
              <w:rPr>
                <w:rFonts w:ascii="Times New Roman" w:hAnsi="Times New Roman"/>
              </w:rPr>
            </w:pPr>
            <w:r w:rsidRPr="002C6781">
              <w:rPr>
                <w:rFonts w:ascii="Times New Roman" w:hAnsi="Times New Roman"/>
              </w:rPr>
              <w:t>54669</w:t>
            </w:r>
          </w:p>
        </w:tc>
        <w:tc>
          <w:tcPr>
            <w:tcW w:w="1418" w:type="dxa"/>
            <w:vAlign w:val="center"/>
          </w:tcPr>
          <w:p w:rsidR="009920DE" w:rsidRPr="002C6781" w:rsidRDefault="009920DE">
            <w:pPr>
              <w:jc w:val="center"/>
              <w:rPr>
                <w:rFonts w:ascii="Times New Roman" w:hAnsi="Times New Roman"/>
              </w:rPr>
            </w:pPr>
            <w:r w:rsidRPr="002C6781">
              <w:rPr>
                <w:rFonts w:ascii="Times New Roman" w:hAnsi="Times New Roman"/>
              </w:rPr>
              <w:t>54199</w:t>
            </w:r>
          </w:p>
        </w:tc>
        <w:tc>
          <w:tcPr>
            <w:tcW w:w="1984" w:type="dxa"/>
            <w:vAlign w:val="center"/>
          </w:tcPr>
          <w:p w:rsidR="009920DE" w:rsidRPr="002C6781" w:rsidRDefault="009920DE">
            <w:pPr>
              <w:jc w:val="center"/>
              <w:rPr>
                <w:rFonts w:ascii="Times New Roman" w:hAnsi="Times New Roman"/>
              </w:rPr>
            </w:pPr>
            <w:r w:rsidRPr="002C6781">
              <w:rPr>
                <w:rFonts w:ascii="Times New Roman" w:hAnsi="Times New Roman"/>
              </w:rPr>
              <w:t>99,1</w:t>
            </w:r>
          </w:p>
        </w:tc>
      </w:tr>
      <w:tr w:rsidR="0066795C" w:rsidRPr="002C6781" w:rsidTr="0066795C">
        <w:trPr>
          <w:trHeight w:val="102"/>
        </w:trPr>
        <w:tc>
          <w:tcPr>
            <w:tcW w:w="4786" w:type="dxa"/>
            <w:vAlign w:val="center"/>
            <w:hideMark/>
          </w:tcPr>
          <w:p w:rsidR="009920DE" w:rsidRPr="002C6781" w:rsidRDefault="009920DE">
            <w:pPr>
              <w:rPr>
                <w:rFonts w:ascii="Times New Roman" w:hAnsi="Times New Roman"/>
              </w:rPr>
            </w:pPr>
            <w:r w:rsidRPr="002C6781">
              <w:rPr>
                <w:rFonts w:ascii="Times New Roman" w:hAnsi="Times New Roman"/>
              </w:rPr>
              <w:t>Число рождений</w:t>
            </w:r>
          </w:p>
        </w:tc>
        <w:tc>
          <w:tcPr>
            <w:tcW w:w="1559" w:type="dxa"/>
            <w:vAlign w:val="center"/>
          </w:tcPr>
          <w:p w:rsidR="009920DE" w:rsidRPr="002C6781" w:rsidRDefault="009920DE">
            <w:pPr>
              <w:jc w:val="center"/>
              <w:rPr>
                <w:rFonts w:ascii="Times New Roman" w:hAnsi="Times New Roman"/>
              </w:rPr>
            </w:pPr>
            <w:r w:rsidRPr="002C6781">
              <w:rPr>
                <w:rFonts w:ascii="Times New Roman" w:hAnsi="Times New Roman"/>
              </w:rPr>
              <w:t>448</w:t>
            </w:r>
          </w:p>
        </w:tc>
        <w:tc>
          <w:tcPr>
            <w:tcW w:w="1418" w:type="dxa"/>
            <w:vAlign w:val="center"/>
          </w:tcPr>
          <w:p w:rsidR="009920DE" w:rsidRPr="002C6781" w:rsidRDefault="009920DE">
            <w:pPr>
              <w:jc w:val="center"/>
              <w:rPr>
                <w:rFonts w:ascii="Times New Roman" w:hAnsi="Times New Roman"/>
              </w:rPr>
            </w:pPr>
            <w:r w:rsidRPr="002C6781">
              <w:rPr>
                <w:rFonts w:ascii="Times New Roman" w:hAnsi="Times New Roman"/>
              </w:rPr>
              <w:t>469</w:t>
            </w:r>
          </w:p>
        </w:tc>
        <w:tc>
          <w:tcPr>
            <w:tcW w:w="1984" w:type="dxa"/>
            <w:vAlign w:val="center"/>
          </w:tcPr>
          <w:p w:rsidR="009920DE" w:rsidRPr="002C6781" w:rsidRDefault="009920DE">
            <w:pPr>
              <w:jc w:val="center"/>
              <w:rPr>
                <w:rFonts w:ascii="Times New Roman" w:hAnsi="Times New Roman"/>
              </w:rPr>
            </w:pPr>
            <w:r w:rsidRPr="002C6781">
              <w:rPr>
                <w:rFonts w:ascii="Times New Roman" w:hAnsi="Times New Roman"/>
              </w:rPr>
              <w:t>104,7</w:t>
            </w:r>
          </w:p>
        </w:tc>
      </w:tr>
      <w:tr w:rsidR="0066795C" w:rsidRPr="002C6781" w:rsidTr="0066795C">
        <w:trPr>
          <w:trHeight w:val="299"/>
        </w:trPr>
        <w:tc>
          <w:tcPr>
            <w:tcW w:w="4786" w:type="dxa"/>
            <w:vAlign w:val="center"/>
            <w:hideMark/>
          </w:tcPr>
          <w:p w:rsidR="009920DE" w:rsidRPr="002C6781" w:rsidRDefault="009920DE">
            <w:pPr>
              <w:rPr>
                <w:rFonts w:ascii="Times New Roman" w:hAnsi="Times New Roman"/>
              </w:rPr>
            </w:pPr>
            <w:r w:rsidRPr="002C6781">
              <w:rPr>
                <w:rFonts w:ascii="Times New Roman" w:hAnsi="Times New Roman"/>
              </w:rPr>
              <w:t>Коэффициент рождаемости, промилле</w:t>
            </w:r>
          </w:p>
        </w:tc>
        <w:tc>
          <w:tcPr>
            <w:tcW w:w="1559" w:type="dxa"/>
            <w:vAlign w:val="center"/>
          </w:tcPr>
          <w:p w:rsidR="009920DE" w:rsidRPr="002C6781" w:rsidRDefault="009920DE">
            <w:pPr>
              <w:jc w:val="center"/>
              <w:rPr>
                <w:rFonts w:ascii="Times New Roman" w:hAnsi="Times New Roman"/>
              </w:rPr>
            </w:pPr>
            <w:r w:rsidRPr="002C6781">
              <w:rPr>
                <w:rFonts w:ascii="Times New Roman" w:hAnsi="Times New Roman"/>
              </w:rPr>
              <w:t>8,23</w:t>
            </w:r>
          </w:p>
        </w:tc>
        <w:tc>
          <w:tcPr>
            <w:tcW w:w="1418" w:type="dxa"/>
            <w:vAlign w:val="center"/>
          </w:tcPr>
          <w:p w:rsidR="009920DE" w:rsidRPr="002C6781" w:rsidRDefault="009920DE">
            <w:pPr>
              <w:jc w:val="center"/>
              <w:rPr>
                <w:rFonts w:ascii="Times New Roman" w:hAnsi="Times New Roman"/>
              </w:rPr>
            </w:pPr>
            <w:r w:rsidRPr="002C6781">
              <w:rPr>
                <w:rFonts w:ascii="Times New Roman" w:hAnsi="Times New Roman"/>
              </w:rPr>
              <w:t>8,68</w:t>
            </w:r>
          </w:p>
        </w:tc>
        <w:tc>
          <w:tcPr>
            <w:tcW w:w="1984" w:type="dxa"/>
            <w:vAlign w:val="center"/>
          </w:tcPr>
          <w:p w:rsidR="009920DE" w:rsidRPr="002C6781" w:rsidRDefault="009920DE">
            <w:pPr>
              <w:jc w:val="center"/>
              <w:rPr>
                <w:rFonts w:ascii="Times New Roman" w:hAnsi="Times New Roman"/>
              </w:rPr>
            </w:pPr>
            <w:r w:rsidRPr="002C6781">
              <w:rPr>
                <w:rFonts w:ascii="Times New Roman" w:hAnsi="Times New Roman"/>
              </w:rPr>
              <w:t>105,5</w:t>
            </w:r>
          </w:p>
        </w:tc>
      </w:tr>
      <w:tr w:rsidR="0066795C" w:rsidRPr="002C6781" w:rsidTr="0066795C">
        <w:trPr>
          <w:trHeight w:val="299"/>
        </w:trPr>
        <w:tc>
          <w:tcPr>
            <w:tcW w:w="4786" w:type="dxa"/>
            <w:vAlign w:val="center"/>
            <w:hideMark/>
          </w:tcPr>
          <w:p w:rsidR="009920DE" w:rsidRPr="002C6781" w:rsidRDefault="009920DE">
            <w:pPr>
              <w:rPr>
                <w:rFonts w:ascii="Times New Roman" w:hAnsi="Times New Roman"/>
              </w:rPr>
            </w:pPr>
            <w:r w:rsidRPr="002C6781">
              <w:rPr>
                <w:rFonts w:ascii="Times New Roman" w:hAnsi="Times New Roman"/>
              </w:rPr>
              <w:t>Число смертей</w:t>
            </w:r>
          </w:p>
        </w:tc>
        <w:tc>
          <w:tcPr>
            <w:tcW w:w="1559" w:type="dxa"/>
            <w:vAlign w:val="center"/>
          </w:tcPr>
          <w:p w:rsidR="009920DE" w:rsidRPr="002C6781" w:rsidRDefault="009920DE">
            <w:pPr>
              <w:jc w:val="center"/>
              <w:rPr>
                <w:rFonts w:ascii="Times New Roman" w:hAnsi="Times New Roman"/>
              </w:rPr>
            </w:pPr>
            <w:r w:rsidRPr="002C6781">
              <w:rPr>
                <w:rFonts w:ascii="Times New Roman" w:hAnsi="Times New Roman"/>
              </w:rPr>
              <w:t>292</w:t>
            </w:r>
          </w:p>
        </w:tc>
        <w:tc>
          <w:tcPr>
            <w:tcW w:w="1418" w:type="dxa"/>
            <w:vAlign w:val="center"/>
          </w:tcPr>
          <w:p w:rsidR="009920DE" w:rsidRPr="002C6781" w:rsidRDefault="009920DE">
            <w:pPr>
              <w:jc w:val="center"/>
              <w:rPr>
                <w:rFonts w:ascii="Times New Roman" w:hAnsi="Times New Roman"/>
              </w:rPr>
            </w:pPr>
            <w:r w:rsidRPr="002C6781">
              <w:rPr>
                <w:rFonts w:ascii="Times New Roman" w:hAnsi="Times New Roman"/>
              </w:rPr>
              <w:t>243</w:t>
            </w:r>
          </w:p>
        </w:tc>
        <w:tc>
          <w:tcPr>
            <w:tcW w:w="1984" w:type="dxa"/>
            <w:vAlign w:val="center"/>
          </w:tcPr>
          <w:p w:rsidR="009920DE" w:rsidRPr="002C6781" w:rsidRDefault="009920DE">
            <w:pPr>
              <w:jc w:val="center"/>
              <w:rPr>
                <w:rFonts w:ascii="Times New Roman" w:hAnsi="Times New Roman"/>
              </w:rPr>
            </w:pPr>
            <w:r w:rsidRPr="002C6781">
              <w:rPr>
                <w:rFonts w:ascii="Times New Roman" w:hAnsi="Times New Roman"/>
              </w:rPr>
              <w:t>83,2</w:t>
            </w:r>
          </w:p>
        </w:tc>
      </w:tr>
      <w:tr w:rsidR="0066795C" w:rsidRPr="002C6781" w:rsidTr="0066795C">
        <w:trPr>
          <w:trHeight w:val="494"/>
        </w:trPr>
        <w:tc>
          <w:tcPr>
            <w:tcW w:w="4786" w:type="dxa"/>
            <w:vAlign w:val="center"/>
            <w:hideMark/>
          </w:tcPr>
          <w:p w:rsidR="009920DE" w:rsidRPr="002C6781" w:rsidRDefault="009920DE">
            <w:pPr>
              <w:rPr>
                <w:rFonts w:ascii="Times New Roman" w:hAnsi="Times New Roman"/>
              </w:rPr>
            </w:pPr>
            <w:r w:rsidRPr="002C6781">
              <w:rPr>
                <w:rFonts w:ascii="Times New Roman" w:hAnsi="Times New Roman"/>
              </w:rPr>
              <w:t>Коэффициент смертности, промилле</w:t>
            </w:r>
          </w:p>
        </w:tc>
        <w:tc>
          <w:tcPr>
            <w:tcW w:w="1559" w:type="dxa"/>
            <w:vAlign w:val="center"/>
          </w:tcPr>
          <w:p w:rsidR="009920DE" w:rsidRPr="002C6781" w:rsidRDefault="009920DE">
            <w:pPr>
              <w:jc w:val="center"/>
              <w:rPr>
                <w:rFonts w:ascii="Times New Roman" w:hAnsi="Times New Roman"/>
              </w:rPr>
            </w:pPr>
            <w:r w:rsidRPr="002C6781">
              <w:rPr>
                <w:rFonts w:ascii="Times New Roman" w:hAnsi="Times New Roman"/>
              </w:rPr>
              <w:t>5,36</w:t>
            </w:r>
          </w:p>
        </w:tc>
        <w:tc>
          <w:tcPr>
            <w:tcW w:w="1418" w:type="dxa"/>
            <w:vAlign w:val="center"/>
          </w:tcPr>
          <w:p w:rsidR="009920DE" w:rsidRPr="002C6781" w:rsidRDefault="009920DE">
            <w:pPr>
              <w:jc w:val="center"/>
              <w:rPr>
                <w:rFonts w:ascii="Times New Roman" w:hAnsi="Times New Roman"/>
              </w:rPr>
            </w:pPr>
            <w:r w:rsidRPr="002C6781">
              <w:rPr>
                <w:rFonts w:ascii="Times New Roman" w:hAnsi="Times New Roman"/>
              </w:rPr>
              <w:t>4,50</w:t>
            </w:r>
          </w:p>
        </w:tc>
        <w:tc>
          <w:tcPr>
            <w:tcW w:w="1984" w:type="dxa"/>
            <w:vAlign w:val="center"/>
          </w:tcPr>
          <w:p w:rsidR="009920DE" w:rsidRPr="002C6781" w:rsidRDefault="009920DE">
            <w:pPr>
              <w:jc w:val="center"/>
              <w:rPr>
                <w:rFonts w:ascii="Times New Roman" w:hAnsi="Times New Roman"/>
              </w:rPr>
            </w:pPr>
            <w:r w:rsidRPr="002C6781">
              <w:rPr>
                <w:rFonts w:ascii="Times New Roman" w:hAnsi="Times New Roman"/>
              </w:rPr>
              <w:t>83,8</w:t>
            </w:r>
          </w:p>
        </w:tc>
      </w:tr>
      <w:tr w:rsidR="0066795C" w:rsidRPr="002C6781" w:rsidTr="0066795C">
        <w:trPr>
          <w:trHeight w:val="299"/>
        </w:trPr>
        <w:tc>
          <w:tcPr>
            <w:tcW w:w="4786" w:type="dxa"/>
            <w:vAlign w:val="center"/>
            <w:hideMark/>
          </w:tcPr>
          <w:p w:rsidR="009920DE" w:rsidRPr="002C6781" w:rsidRDefault="009920DE">
            <w:pPr>
              <w:rPr>
                <w:rFonts w:ascii="Times New Roman" w:hAnsi="Times New Roman"/>
              </w:rPr>
            </w:pPr>
            <w:r w:rsidRPr="002C6781">
              <w:rPr>
                <w:rFonts w:ascii="Times New Roman" w:hAnsi="Times New Roman"/>
              </w:rPr>
              <w:t>Итог естественного движения населения, человек</w:t>
            </w:r>
          </w:p>
        </w:tc>
        <w:tc>
          <w:tcPr>
            <w:tcW w:w="1559" w:type="dxa"/>
            <w:vAlign w:val="center"/>
          </w:tcPr>
          <w:p w:rsidR="009920DE" w:rsidRPr="002C6781" w:rsidRDefault="009920DE">
            <w:pPr>
              <w:jc w:val="center"/>
              <w:rPr>
                <w:rFonts w:ascii="Times New Roman" w:hAnsi="Times New Roman"/>
              </w:rPr>
            </w:pPr>
            <w:r w:rsidRPr="002C6781">
              <w:rPr>
                <w:rFonts w:ascii="Times New Roman" w:hAnsi="Times New Roman"/>
              </w:rPr>
              <w:t>156</w:t>
            </w:r>
          </w:p>
        </w:tc>
        <w:tc>
          <w:tcPr>
            <w:tcW w:w="1418" w:type="dxa"/>
            <w:vAlign w:val="center"/>
          </w:tcPr>
          <w:p w:rsidR="009920DE" w:rsidRPr="002C6781" w:rsidRDefault="009920DE">
            <w:pPr>
              <w:jc w:val="center"/>
              <w:rPr>
                <w:rFonts w:ascii="Times New Roman" w:hAnsi="Times New Roman"/>
              </w:rPr>
            </w:pPr>
            <w:r w:rsidRPr="002C6781">
              <w:rPr>
                <w:rFonts w:ascii="Times New Roman" w:hAnsi="Times New Roman"/>
              </w:rPr>
              <w:t>226</w:t>
            </w:r>
          </w:p>
        </w:tc>
        <w:tc>
          <w:tcPr>
            <w:tcW w:w="1984" w:type="dxa"/>
            <w:vAlign w:val="center"/>
          </w:tcPr>
          <w:p w:rsidR="009920DE" w:rsidRPr="002C6781" w:rsidRDefault="009920DE">
            <w:pPr>
              <w:jc w:val="center"/>
              <w:rPr>
                <w:rFonts w:ascii="Times New Roman" w:hAnsi="Times New Roman"/>
              </w:rPr>
            </w:pPr>
            <w:r w:rsidRPr="002C6781">
              <w:rPr>
                <w:rFonts w:ascii="Times New Roman" w:hAnsi="Times New Roman"/>
              </w:rPr>
              <w:t>144,9</w:t>
            </w:r>
          </w:p>
        </w:tc>
      </w:tr>
      <w:tr w:rsidR="0066795C" w:rsidRPr="002C6781" w:rsidTr="0066795C">
        <w:trPr>
          <w:trHeight w:val="299"/>
        </w:trPr>
        <w:tc>
          <w:tcPr>
            <w:tcW w:w="4786" w:type="dxa"/>
            <w:vAlign w:val="center"/>
            <w:hideMark/>
          </w:tcPr>
          <w:p w:rsidR="009920DE" w:rsidRPr="002C6781" w:rsidRDefault="009920DE">
            <w:pPr>
              <w:rPr>
                <w:rFonts w:ascii="Times New Roman" w:hAnsi="Times New Roman"/>
              </w:rPr>
            </w:pPr>
            <w:r w:rsidRPr="002C6781">
              <w:rPr>
                <w:rFonts w:ascii="Times New Roman" w:hAnsi="Times New Roman"/>
              </w:rPr>
              <w:t>Коэффициент естественного прироста населения, промилле</w:t>
            </w:r>
          </w:p>
        </w:tc>
        <w:tc>
          <w:tcPr>
            <w:tcW w:w="1559" w:type="dxa"/>
            <w:vAlign w:val="center"/>
          </w:tcPr>
          <w:p w:rsidR="009920DE" w:rsidRPr="002C6781" w:rsidRDefault="009920DE">
            <w:pPr>
              <w:jc w:val="center"/>
              <w:rPr>
                <w:rFonts w:ascii="Times New Roman" w:hAnsi="Times New Roman"/>
              </w:rPr>
            </w:pPr>
            <w:r w:rsidRPr="002C6781">
              <w:rPr>
                <w:rFonts w:ascii="Times New Roman" w:hAnsi="Times New Roman"/>
              </w:rPr>
              <w:t>2,86</w:t>
            </w:r>
          </w:p>
        </w:tc>
        <w:tc>
          <w:tcPr>
            <w:tcW w:w="1418" w:type="dxa"/>
            <w:vAlign w:val="center"/>
          </w:tcPr>
          <w:p w:rsidR="009920DE" w:rsidRPr="002C6781" w:rsidRDefault="009920DE">
            <w:pPr>
              <w:jc w:val="center"/>
              <w:rPr>
                <w:rFonts w:ascii="Times New Roman" w:hAnsi="Times New Roman"/>
              </w:rPr>
            </w:pPr>
            <w:r w:rsidRPr="002C6781">
              <w:rPr>
                <w:rFonts w:ascii="Times New Roman" w:hAnsi="Times New Roman"/>
              </w:rPr>
              <w:t>4,18</w:t>
            </w:r>
          </w:p>
        </w:tc>
        <w:tc>
          <w:tcPr>
            <w:tcW w:w="1984" w:type="dxa"/>
            <w:vAlign w:val="center"/>
          </w:tcPr>
          <w:p w:rsidR="009920DE" w:rsidRPr="002C6781" w:rsidRDefault="009920DE">
            <w:pPr>
              <w:jc w:val="center"/>
              <w:rPr>
                <w:rFonts w:ascii="Times New Roman" w:hAnsi="Times New Roman"/>
              </w:rPr>
            </w:pPr>
            <w:r w:rsidRPr="002C6781">
              <w:rPr>
                <w:rFonts w:ascii="Times New Roman" w:hAnsi="Times New Roman"/>
              </w:rPr>
              <w:t>145,9</w:t>
            </w:r>
          </w:p>
        </w:tc>
      </w:tr>
      <w:tr w:rsidR="0066795C" w:rsidRPr="002C6781" w:rsidTr="0066795C">
        <w:trPr>
          <w:trHeight w:val="592"/>
        </w:trPr>
        <w:tc>
          <w:tcPr>
            <w:tcW w:w="4786" w:type="dxa"/>
            <w:vAlign w:val="center"/>
            <w:hideMark/>
          </w:tcPr>
          <w:p w:rsidR="009920DE" w:rsidRPr="002C6781" w:rsidRDefault="009920DE">
            <w:pPr>
              <w:rPr>
                <w:rFonts w:ascii="Times New Roman" w:hAnsi="Times New Roman"/>
              </w:rPr>
            </w:pPr>
            <w:r w:rsidRPr="002C6781">
              <w:rPr>
                <w:rFonts w:ascii="Times New Roman" w:hAnsi="Times New Roman"/>
              </w:rPr>
              <w:t>Прибыло на территорию, человек</w:t>
            </w:r>
          </w:p>
        </w:tc>
        <w:tc>
          <w:tcPr>
            <w:tcW w:w="1559" w:type="dxa"/>
            <w:vAlign w:val="center"/>
          </w:tcPr>
          <w:p w:rsidR="009920DE" w:rsidRPr="002C6781" w:rsidRDefault="009920DE">
            <w:pPr>
              <w:jc w:val="center"/>
              <w:rPr>
                <w:rFonts w:ascii="Times New Roman" w:hAnsi="Times New Roman"/>
              </w:rPr>
            </w:pPr>
            <w:r w:rsidRPr="002C6781">
              <w:rPr>
                <w:rFonts w:ascii="Times New Roman" w:hAnsi="Times New Roman"/>
              </w:rPr>
              <w:t>1350</w:t>
            </w:r>
          </w:p>
        </w:tc>
        <w:tc>
          <w:tcPr>
            <w:tcW w:w="1418" w:type="dxa"/>
            <w:vAlign w:val="center"/>
          </w:tcPr>
          <w:p w:rsidR="009920DE" w:rsidRPr="002C6781" w:rsidRDefault="009920DE">
            <w:pPr>
              <w:jc w:val="center"/>
              <w:rPr>
                <w:rFonts w:ascii="Times New Roman" w:hAnsi="Times New Roman"/>
              </w:rPr>
            </w:pPr>
            <w:r w:rsidRPr="002C6781">
              <w:rPr>
                <w:rFonts w:ascii="Times New Roman" w:hAnsi="Times New Roman"/>
              </w:rPr>
              <w:t>1344</w:t>
            </w:r>
          </w:p>
        </w:tc>
        <w:tc>
          <w:tcPr>
            <w:tcW w:w="1984" w:type="dxa"/>
            <w:vAlign w:val="center"/>
          </w:tcPr>
          <w:p w:rsidR="009920DE" w:rsidRPr="002C6781" w:rsidRDefault="009920DE">
            <w:pPr>
              <w:jc w:val="center"/>
              <w:rPr>
                <w:rFonts w:ascii="Times New Roman" w:hAnsi="Times New Roman"/>
              </w:rPr>
            </w:pPr>
            <w:r w:rsidRPr="002C6781">
              <w:rPr>
                <w:rFonts w:ascii="Times New Roman" w:hAnsi="Times New Roman"/>
              </w:rPr>
              <w:t>99,6</w:t>
            </w:r>
          </w:p>
        </w:tc>
      </w:tr>
      <w:tr w:rsidR="0066795C" w:rsidRPr="002C6781" w:rsidTr="0066795C">
        <w:trPr>
          <w:trHeight w:val="299"/>
        </w:trPr>
        <w:tc>
          <w:tcPr>
            <w:tcW w:w="4786" w:type="dxa"/>
            <w:vAlign w:val="center"/>
            <w:hideMark/>
          </w:tcPr>
          <w:p w:rsidR="009920DE" w:rsidRPr="002C6781" w:rsidRDefault="009920DE">
            <w:pPr>
              <w:rPr>
                <w:rFonts w:ascii="Times New Roman" w:hAnsi="Times New Roman"/>
              </w:rPr>
            </w:pPr>
            <w:r w:rsidRPr="002C6781">
              <w:rPr>
                <w:rFonts w:ascii="Times New Roman" w:hAnsi="Times New Roman"/>
              </w:rPr>
              <w:t>Выбыло из территории, человек</w:t>
            </w:r>
          </w:p>
        </w:tc>
        <w:tc>
          <w:tcPr>
            <w:tcW w:w="1559" w:type="dxa"/>
            <w:vAlign w:val="center"/>
          </w:tcPr>
          <w:p w:rsidR="009920DE" w:rsidRPr="002C6781" w:rsidRDefault="009920DE">
            <w:pPr>
              <w:jc w:val="center"/>
              <w:rPr>
                <w:rFonts w:ascii="Times New Roman" w:hAnsi="Times New Roman"/>
              </w:rPr>
            </w:pPr>
            <w:r w:rsidRPr="002C6781">
              <w:rPr>
                <w:rFonts w:ascii="Times New Roman" w:hAnsi="Times New Roman"/>
              </w:rPr>
              <w:t>1724</w:t>
            </w:r>
          </w:p>
        </w:tc>
        <w:tc>
          <w:tcPr>
            <w:tcW w:w="1418" w:type="dxa"/>
            <w:vAlign w:val="center"/>
          </w:tcPr>
          <w:p w:rsidR="009920DE" w:rsidRPr="002C6781" w:rsidRDefault="009920DE">
            <w:pPr>
              <w:jc w:val="center"/>
              <w:rPr>
                <w:rFonts w:ascii="Times New Roman" w:hAnsi="Times New Roman"/>
              </w:rPr>
            </w:pPr>
            <w:r w:rsidRPr="002C6781">
              <w:rPr>
                <w:rFonts w:ascii="Times New Roman" w:hAnsi="Times New Roman"/>
              </w:rPr>
              <w:t>1719</w:t>
            </w:r>
          </w:p>
        </w:tc>
        <w:tc>
          <w:tcPr>
            <w:tcW w:w="1984" w:type="dxa"/>
            <w:vAlign w:val="center"/>
          </w:tcPr>
          <w:p w:rsidR="009920DE" w:rsidRPr="002C6781" w:rsidRDefault="009920DE">
            <w:pPr>
              <w:jc w:val="center"/>
              <w:rPr>
                <w:rFonts w:ascii="Times New Roman" w:hAnsi="Times New Roman"/>
              </w:rPr>
            </w:pPr>
            <w:r w:rsidRPr="002C6781">
              <w:rPr>
                <w:rFonts w:ascii="Times New Roman" w:hAnsi="Times New Roman"/>
              </w:rPr>
              <w:t>99,7</w:t>
            </w:r>
          </w:p>
        </w:tc>
      </w:tr>
      <w:tr w:rsidR="0066795C" w:rsidRPr="002C6781" w:rsidTr="0066795C">
        <w:trPr>
          <w:trHeight w:val="299"/>
        </w:trPr>
        <w:tc>
          <w:tcPr>
            <w:tcW w:w="4786" w:type="dxa"/>
            <w:vAlign w:val="center"/>
          </w:tcPr>
          <w:p w:rsidR="009920DE" w:rsidRPr="002C6781" w:rsidRDefault="009920DE">
            <w:pPr>
              <w:rPr>
                <w:rFonts w:ascii="Times New Roman" w:hAnsi="Times New Roman"/>
              </w:rPr>
            </w:pPr>
            <w:r w:rsidRPr="002C6781">
              <w:rPr>
                <w:rFonts w:ascii="Times New Roman" w:hAnsi="Times New Roman"/>
              </w:rPr>
              <w:t>Итог м</w:t>
            </w:r>
            <w:r w:rsidR="007B527B" w:rsidRPr="002C6781">
              <w:rPr>
                <w:rFonts w:ascii="Times New Roman" w:hAnsi="Times New Roman"/>
              </w:rPr>
              <w:t xml:space="preserve">еханического движения населения           </w:t>
            </w:r>
            <w:r w:rsidRPr="002C6781">
              <w:rPr>
                <w:rFonts w:ascii="Times New Roman" w:hAnsi="Times New Roman"/>
              </w:rPr>
              <w:t>(-убыль, + прирост), человек</w:t>
            </w:r>
          </w:p>
        </w:tc>
        <w:tc>
          <w:tcPr>
            <w:tcW w:w="1559" w:type="dxa"/>
            <w:vAlign w:val="center"/>
          </w:tcPr>
          <w:p w:rsidR="009920DE" w:rsidRPr="002C6781" w:rsidRDefault="009920DE">
            <w:pPr>
              <w:jc w:val="center"/>
              <w:rPr>
                <w:rFonts w:ascii="Times New Roman" w:hAnsi="Times New Roman"/>
              </w:rPr>
            </w:pPr>
            <w:r w:rsidRPr="002C6781">
              <w:rPr>
                <w:rFonts w:ascii="Times New Roman" w:hAnsi="Times New Roman"/>
              </w:rPr>
              <w:t>-374</w:t>
            </w:r>
          </w:p>
        </w:tc>
        <w:tc>
          <w:tcPr>
            <w:tcW w:w="1418" w:type="dxa"/>
            <w:vAlign w:val="center"/>
          </w:tcPr>
          <w:p w:rsidR="009920DE" w:rsidRPr="002C6781" w:rsidRDefault="009920DE">
            <w:pPr>
              <w:jc w:val="center"/>
              <w:rPr>
                <w:rFonts w:ascii="Times New Roman" w:hAnsi="Times New Roman"/>
              </w:rPr>
            </w:pPr>
            <w:r w:rsidRPr="002C6781">
              <w:rPr>
                <w:rFonts w:ascii="Times New Roman" w:hAnsi="Times New Roman"/>
              </w:rPr>
              <w:t>-375</w:t>
            </w:r>
          </w:p>
        </w:tc>
        <w:tc>
          <w:tcPr>
            <w:tcW w:w="1984" w:type="dxa"/>
            <w:vAlign w:val="center"/>
          </w:tcPr>
          <w:p w:rsidR="009920DE" w:rsidRPr="002C6781" w:rsidRDefault="009920DE">
            <w:pPr>
              <w:jc w:val="center"/>
              <w:rPr>
                <w:rFonts w:ascii="Times New Roman" w:hAnsi="Times New Roman"/>
              </w:rPr>
            </w:pPr>
            <w:r w:rsidRPr="002C6781">
              <w:rPr>
                <w:rFonts w:ascii="Times New Roman" w:hAnsi="Times New Roman"/>
              </w:rPr>
              <w:t>100,3</w:t>
            </w:r>
          </w:p>
        </w:tc>
      </w:tr>
      <w:tr w:rsidR="0066795C" w:rsidRPr="002C6781" w:rsidTr="0066795C">
        <w:trPr>
          <w:trHeight w:val="299"/>
        </w:trPr>
        <w:tc>
          <w:tcPr>
            <w:tcW w:w="4786" w:type="dxa"/>
            <w:vAlign w:val="center"/>
            <w:hideMark/>
          </w:tcPr>
          <w:p w:rsidR="009920DE" w:rsidRPr="002C6781" w:rsidRDefault="009920DE">
            <w:pPr>
              <w:rPr>
                <w:rFonts w:ascii="Times New Roman" w:hAnsi="Times New Roman"/>
              </w:rPr>
            </w:pPr>
            <w:r w:rsidRPr="002C6781">
              <w:rPr>
                <w:rFonts w:ascii="Times New Roman" w:hAnsi="Times New Roman"/>
              </w:rPr>
              <w:t>Коэффициент миграционного сальдо, промилле</w:t>
            </w:r>
          </w:p>
        </w:tc>
        <w:tc>
          <w:tcPr>
            <w:tcW w:w="1559" w:type="dxa"/>
            <w:vAlign w:val="center"/>
          </w:tcPr>
          <w:p w:rsidR="009920DE" w:rsidRPr="002C6781" w:rsidRDefault="009920DE">
            <w:pPr>
              <w:jc w:val="center"/>
              <w:rPr>
                <w:rFonts w:ascii="Times New Roman" w:hAnsi="Times New Roman"/>
              </w:rPr>
            </w:pPr>
            <w:r w:rsidRPr="002C6781">
              <w:rPr>
                <w:rFonts w:ascii="Times New Roman" w:hAnsi="Times New Roman"/>
              </w:rPr>
              <w:t>6,87</w:t>
            </w:r>
          </w:p>
        </w:tc>
        <w:tc>
          <w:tcPr>
            <w:tcW w:w="1418" w:type="dxa"/>
            <w:vAlign w:val="center"/>
          </w:tcPr>
          <w:p w:rsidR="009920DE" w:rsidRPr="002C6781" w:rsidRDefault="009920DE">
            <w:pPr>
              <w:jc w:val="center"/>
              <w:rPr>
                <w:rFonts w:ascii="Times New Roman" w:hAnsi="Times New Roman"/>
              </w:rPr>
            </w:pPr>
            <w:r w:rsidRPr="002C6781">
              <w:rPr>
                <w:rFonts w:ascii="Times New Roman" w:hAnsi="Times New Roman"/>
              </w:rPr>
              <w:t>6,94</w:t>
            </w:r>
          </w:p>
        </w:tc>
        <w:tc>
          <w:tcPr>
            <w:tcW w:w="1984" w:type="dxa"/>
            <w:vAlign w:val="center"/>
          </w:tcPr>
          <w:p w:rsidR="009920DE" w:rsidRPr="002C6781" w:rsidRDefault="009920DE">
            <w:pPr>
              <w:jc w:val="center"/>
              <w:rPr>
                <w:rFonts w:ascii="Times New Roman" w:hAnsi="Times New Roman"/>
              </w:rPr>
            </w:pPr>
            <w:r w:rsidRPr="002C6781">
              <w:rPr>
                <w:rFonts w:ascii="Times New Roman" w:hAnsi="Times New Roman"/>
              </w:rPr>
              <w:t>101,0</w:t>
            </w:r>
          </w:p>
        </w:tc>
      </w:tr>
      <w:tr w:rsidR="0066795C" w:rsidRPr="002C6781" w:rsidTr="0066795C">
        <w:trPr>
          <w:trHeight w:val="299"/>
        </w:trPr>
        <w:tc>
          <w:tcPr>
            <w:tcW w:w="4786" w:type="dxa"/>
            <w:vAlign w:val="center"/>
          </w:tcPr>
          <w:p w:rsidR="009920DE" w:rsidRPr="002C6781" w:rsidRDefault="009920DE">
            <w:pPr>
              <w:rPr>
                <w:rFonts w:ascii="Times New Roman" w:hAnsi="Times New Roman"/>
              </w:rPr>
            </w:pPr>
            <w:r w:rsidRPr="002C6781">
              <w:rPr>
                <w:rFonts w:ascii="Times New Roman" w:hAnsi="Times New Roman"/>
              </w:rPr>
              <w:t>Численность населения на 1 октября, человек</w:t>
            </w:r>
          </w:p>
        </w:tc>
        <w:tc>
          <w:tcPr>
            <w:tcW w:w="1559" w:type="dxa"/>
            <w:vAlign w:val="center"/>
          </w:tcPr>
          <w:p w:rsidR="009920DE" w:rsidRPr="002C6781" w:rsidRDefault="009920DE">
            <w:pPr>
              <w:jc w:val="center"/>
              <w:rPr>
                <w:rFonts w:ascii="Times New Roman" w:hAnsi="Times New Roman"/>
              </w:rPr>
            </w:pPr>
            <w:r w:rsidRPr="002C6781">
              <w:rPr>
                <w:rFonts w:ascii="Times New Roman" w:hAnsi="Times New Roman"/>
              </w:rPr>
              <w:t>54451</w:t>
            </w:r>
          </w:p>
        </w:tc>
        <w:tc>
          <w:tcPr>
            <w:tcW w:w="1418" w:type="dxa"/>
            <w:vAlign w:val="center"/>
          </w:tcPr>
          <w:p w:rsidR="009920DE" w:rsidRPr="002C6781" w:rsidRDefault="009920DE">
            <w:pPr>
              <w:jc w:val="center"/>
              <w:rPr>
                <w:rFonts w:ascii="Times New Roman" w:hAnsi="Times New Roman"/>
              </w:rPr>
            </w:pPr>
            <w:r w:rsidRPr="002C6781">
              <w:rPr>
                <w:rFonts w:ascii="Times New Roman" w:hAnsi="Times New Roman"/>
              </w:rPr>
              <w:t>54050</w:t>
            </w:r>
          </w:p>
        </w:tc>
        <w:tc>
          <w:tcPr>
            <w:tcW w:w="1984" w:type="dxa"/>
            <w:vAlign w:val="center"/>
          </w:tcPr>
          <w:p w:rsidR="009920DE" w:rsidRPr="002C6781" w:rsidRDefault="009920DE">
            <w:pPr>
              <w:jc w:val="center"/>
              <w:rPr>
                <w:rFonts w:ascii="Times New Roman" w:hAnsi="Times New Roman"/>
              </w:rPr>
            </w:pPr>
            <w:r w:rsidRPr="002C6781">
              <w:rPr>
                <w:rFonts w:ascii="Times New Roman" w:hAnsi="Times New Roman"/>
              </w:rPr>
              <w:t>99,3</w:t>
            </w:r>
          </w:p>
        </w:tc>
      </w:tr>
      <w:tr w:rsidR="0066795C" w:rsidRPr="002C6781" w:rsidTr="0066795C">
        <w:trPr>
          <w:trHeight w:val="299"/>
        </w:trPr>
        <w:tc>
          <w:tcPr>
            <w:tcW w:w="4786" w:type="dxa"/>
            <w:vAlign w:val="center"/>
          </w:tcPr>
          <w:p w:rsidR="009920DE" w:rsidRPr="002C6781" w:rsidRDefault="009920DE">
            <w:pPr>
              <w:rPr>
                <w:rFonts w:ascii="Times New Roman" w:hAnsi="Times New Roman"/>
              </w:rPr>
            </w:pPr>
            <w:r w:rsidRPr="002C6781">
              <w:rPr>
                <w:rFonts w:ascii="Times New Roman" w:hAnsi="Times New Roman"/>
              </w:rPr>
              <w:t>Среднегодовая численность, человек</w:t>
            </w:r>
          </w:p>
        </w:tc>
        <w:tc>
          <w:tcPr>
            <w:tcW w:w="1559" w:type="dxa"/>
            <w:vAlign w:val="center"/>
          </w:tcPr>
          <w:p w:rsidR="009920DE" w:rsidRPr="002C6781" w:rsidRDefault="009920DE">
            <w:pPr>
              <w:jc w:val="center"/>
              <w:rPr>
                <w:rFonts w:ascii="Times New Roman" w:hAnsi="Times New Roman"/>
              </w:rPr>
            </w:pPr>
            <w:r w:rsidRPr="002C6781">
              <w:rPr>
                <w:rFonts w:ascii="Times New Roman" w:hAnsi="Times New Roman"/>
              </w:rPr>
              <w:t>54560</w:t>
            </w:r>
          </w:p>
        </w:tc>
        <w:tc>
          <w:tcPr>
            <w:tcW w:w="1418" w:type="dxa"/>
            <w:vAlign w:val="center"/>
          </w:tcPr>
          <w:p w:rsidR="009920DE" w:rsidRPr="002C6781" w:rsidRDefault="009920DE">
            <w:pPr>
              <w:jc w:val="center"/>
              <w:rPr>
                <w:rFonts w:ascii="Times New Roman" w:hAnsi="Times New Roman"/>
              </w:rPr>
            </w:pPr>
            <w:r w:rsidRPr="002C6781">
              <w:rPr>
                <w:rFonts w:ascii="Times New Roman" w:hAnsi="Times New Roman"/>
              </w:rPr>
              <w:t>54125</w:t>
            </w:r>
          </w:p>
        </w:tc>
        <w:tc>
          <w:tcPr>
            <w:tcW w:w="1984" w:type="dxa"/>
            <w:vAlign w:val="center"/>
          </w:tcPr>
          <w:p w:rsidR="009920DE" w:rsidRPr="002C6781" w:rsidRDefault="009920DE">
            <w:pPr>
              <w:jc w:val="center"/>
              <w:rPr>
                <w:rFonts w:ascii="Times New Roman" w:hAnsi="Times New Roman"/>
              </w:rPr>
            </w:pPr>
            <w:r w:rsidRPr="002C6781">
              <w:rPr>
                <w:rFonts w:ascii="Times New Roman" w:hAnsi="Times New Roman"/>
              </w:rPr>
              <w:t>99,2</w:t>
            </w:r>
          </w:p>
        </w:tc>
      </w:tr>
    </w:tbl>
    <w:p w:rsidR="00953444" w:rsidRDefault="00953444" w:rsidP="00B658AC">
      <w:pPr>
        <w:ind w:firstLine="708"/>
      </w:pPr>
    </w:p>
    <w:p w:rsidR="008A6F34" w:rsidRPr="0066795C" w:rsidRDefault="008A6F34" w:rsidP="00B658AC">
      <w:pPr>
        <w:ind w:firstLine="708"/>
      </w:pPr>
      <w:r w:rsidRPr="0066795C">
        <w:t>За текущий год снизился объем не только входящей, но и исходящей миграции.</w:t>
      </w:r>
    </w:p>
    <w:p w:rsidR="008A6F34" w:rsidRPr="0066795C" w:rsidRDefault="008A6F34" w:rsidP="00B658AC">
      <w:pPr>
        <w:ind w:firstLine="709"/>
      </w:pPr>
      <w:r w:rsidRPr="0066795C">
        <w:t>За 9 месяцев 201</w:t>
      </w:r>
      <w:r w:rsidR="00D66F97" w:rsidRPr="0066795C">
        <w:t>9</w:t>
      </w:r>
      <w:r w:rsidRPr="0066795C">
        <w:t xml:space="preserve"> года в миграционном движении населения поучаствовало </w:t>
      </w:r>
      <w:r w:rsidR="00582F57" w:rsidRPr="0066795C">
        <w:t xml:space="preserve">3063 </w:t>
      </w:r>
      <w:r w:rsidRPr="0066795C">
        <w:t>человек</w:t>
      </w:r>
      <w:r w:rsidR="00582F57" w:rsidRPr="0066795C">
        <w:t>а</w:t>
      </w:r>
      <w:r w:rsidRPr="0066795C">
        <w:t>, за январь-сентябрь 201</w:t>
      </w:r>
      <w:r w:rsidR="00D66F97" w:rsidRPr="0066795C">
        <w:t>8</w:t>
      </w:r>
      <w:r w:rsidRPr="0066795C">
        <w:t xml:space="preserve"> года </w:t>
      </w:r>
      <w:r w:rsidR="00D66F97" w:rsidRPr="0066795C">
        <w:t>3074</w:t>
      </w:r>
      <w:r w:rsidRPr="0066795C">
        <w:t xml:space="preserve"> человек</w:t>
      </w:r>
      <w:r w:rsidR="00953444">
        <w:t>а</w:t>
      </w:r>
      <w:r w:rsidRPr="0066795C">
        <w:t xml:space="preserve">. </w:t>
      </w:r>
    </w:p>
    <w:p w:rsidR="008A6F34" w:rsidRPr="0066795C" w:rsidRDefault="008A6F34" w:rsidP="00B658AC">
      <w:pPr>
        <w:ind w:firstLine="709"/>
      </w:pPr>
      <w:r w:rsidRPr="0066795C">
        <w:t>По оценочным данным до конца 201</w:t>
      </w:r>
      <w:r w:rsidR="00D66F97" w:rsidRPr="0066795C">
        <w:t>9</w:t>
      </w:r>
      <w:r w:rsidRPr="0066795C">
        <w:t xml:space="preserve"> года тенденция сокращения численности сохранится, как сохранятся и темпы процесса.</w:t>
      </w:r>
    </w:p>
    <w:p w:rsidR="007B527B" w:rsidRPr="00953444" w:rsidRDefault="007B527B" w:rsidP="007B527B">
      <w:pPr>
        <w:ind w:firstLine="709"/>
      </w:pPr>
      <w:r w:rsidRPr="00953444">
        <w:t>Для дальнейшего приращения и сохранения численности населения необходима реализация комплекса мер по созданию эффективной социальной инфраструктуры, рынка доступного жилья, гибкого рынка труда, стабилизация существующего уровня рождаемости и создание предпосылок для ее повышения</w:t>
      </w:r>
    </w:p>
    <w:p w:rsidR="00A1524A" w:rsidRDefault="00A1524A" w:rsidP="00B658AC">
      <w:pPr>
        <w:pStyle w:val="a5"/>
        <w:rPr>
          <w:rFonts w:ascii="Times New Roman" w:hAnsi="Times New Roman"/>
          <w:sz w:val="24"/>
          <w:szCs w:val="24"/>
        </w:rPr>
      </w:pPr>
    </w:p>
    <w:p w:rsidR="00396A70" w:rsidRPr="0066795C" w:rsidRDefault="00396A70" w:rsidP="00B658AC">
      <w:pPr>
        <w:pStyle w:val="a5"/>
        <w:rPr>
          <w:rFonts w:ascii="Times New Roman" w:hAnsi="Times New Roman"/>
          <w:sz w:val="24"/>
          <w:szCs w:val="24"/>
        </w:rPr>
      </w:pPr>
    </w:p>
    <w:p w:rsidR="00E3092F" w:rsidRPr="0066795C" w:rsidRDefault="00E3092F" w:rsidP="00E3092F">
      <w:pPr>
        <w:pStyle w:val="a5"/>
        <w:rPr>
          <w:rFonts w:ascii="Times New Roman" w:hAnsi="Times New Roman"/>
          <w:sz w:val="24"/>
          <w:szCs w:val="24"/>
        </w:rPr>
      </w:pPr>
      <w:r w:rsidRPr="0066795C">
        <w:rPr>
          <w:rFonts w:ascii="Times New Roman" w:hAnsi="Times New Roman"/>
          <w:sz w:val="24"/>
          <w:szCs w:val="24"/>
        </w:rPr>
        <w:t xml:space="preserve">ПРОМЫШЛЕННОСТЬ </w:t>
      </w:r>
    </w:p>
    <w:p w:rsidR="00E3092F" w:rsidRPr="0066795C" w:rsidRDefault="00E3092F" w:rsidP="00E3092F">
      <w:pPr>
        <w:pStyle w:val="a5"/>
      </w:pPr>
    </w:p>
    <w:p w:rsidR="00E3092F" w:rsidRPr="0066795C" w:rsidRDefault="00E3092F" w:rsidP="00E3092F">
      <w:pPr>
        <w:autoSpaceDE w:val="0"/>
        <w:autoSpaceDN w:val="0"/>
        <w:adjustRightInd w:val="0"/>
        <w:ind w:firstLine="709"/>
      </w:pPr>
      <w:r w:rsidRPr="0066795C">
        <w:t>Промышленное производство городского округа город Мегион включает в себя следующие разделы (отрасли):</w:t>
      </w:r>
    </w:p>
    <w:p w:rsidR="00E3092F" w:rsidRPr="0066795C" w:rsidRDefault="00E3092F" w:rsidP="00E3092F">
      <w:pPr>
        <w:pStyle w:val="a5"/>
        <w:ind w:firstLine="709"/>
        <w:rPr>
          <w:rFonts w:ascii="Times New Roman" w:hAnsi="Times New Roman"/>
          <w:sz w:val="24"/>
          <w:szCs w:val="24"/>
        </w:rPr>
      </w:pPr>
      <w:r w:rsidRPr="0066795C">
        <w:rPr>
          <w:rFonts w:ascii="Times New Roman" w:hAnsi="Times New Roman"/>
          <w:sz w:val="24"/>
          <w:szCs w:val="24"/>
        </w:rPr>
        <w:t>добыча полезных ископаемых;</w:t>
      </w:r>
    </w:p>
    <w:p w:rsidR="00E3092F" w:rsidRPr="0066795C" w:rsidRDefault="00E3092F" w:rsidP="00E3092F">
      <w:pPr>
        <w:pStyle w:val="a5"/>
        <w:ind w:firstLine="709"/>
        <w:rPr>
          <w:rFonts w:ascii="Times New Roman" w:hAnsi="Times New Roman"/>
          <w:sz w:val="24"/>
          <w:szCs w:val="24"/>
        </w:rPr>
      </w:pPr>
      <w:r w:rsidRPr="0066795C">
        <w:rPr>
          <w:rFonts w:ascii="Times New Roman" w:hAnsi="Times New Roman"/>
          <w:sz w:val="24"/>
          <w:szCs w:val="24"/>
        </w:rPr>
        <w:t>обрабатывающие отрасли;</w:t>
      </w:r>
    </w:p>
    <w:p w:rsidR="00E3092F" w:rsidRPr="0066795C" w:rsidRDefault="00E3092F" w:rsidP="00E3092F">
      <w:pPr>
        <w:pStyle w:val="a5"/>
        <w:ind w:firstLine="709"/>
        <w:rPr>
          <w:rFonts w:ascii="Times New Roman" w:hAnsi="Times New Roman"/>
          <w:sz w:val="24"/>
          <w:szCs w:val="24"/>
        </w:rPr>
      </w:pPr>
      <w:r w:rsidRPr="0066795C">
        <w:rPr>
          <w:rFonts w:ascii="Times New Roman" w:hAnsi="Times New Roman"/>
          <w:sz w:val="24"/>
          <w:szCs w:val="24"/>
        </w:rPr>
        <w:t>обеспечение электрической энергией, газом и паром; кондиционирование воздуха;</w:t>
      </w:r>
    </w:p>
    <w:p w:rsidR="00E3092F" w:rsidRPr="0066795C" w:rsidRDefault="00E3092F" w:rsidP="00E3092F">
      <w:pPr>
        <w:pStyle w:val="a5"/>
        <w:ind w:firstLine="709"/>
        <w:rPr>
          <w:rFonts w:ascii="Times New Roman" w:hAnsi="Times New Roman"/>
          <w:sz w:val="24"/>
          <w:szCs w:val="24"/>
        </w:rPr>
      </w:pPr>
      <w:r w:rsidRPr="0066795C">
        <w:rPr>
          <w:rFonts w:ascii="Times New Roman" w:hAnsi="Times New Roman"/>
          <w:sz w:val="24"/>
          <w:szCs w:val="24"/>
        </w:rPr>
        <w:t>водоснабжение, водоотведение, организация сбора и утилизации отходов, деятельности по ликвидации загрязнений.</w:t>
      </w:r>
    </w:p>
    <w:p w:rsidR="00E3092F" w:rsidRPr="0066795C" w:rsidRDefault="00E3092F" w:rsidP="00E3092F">
      <w:pPr>
        <w:pStyle w:val="a5"/>
        <w:ind w:firstLine="709"/>
        <w:rPr>
          <w:rFonts w:ascii="Times New Roman" w:hAnsi="Times New Roman"/>
          <w:sz w:val="16"/>
          <w:szCs w:val="16"/>
        </w:rPr>
      </w:pPr>
    </w:p>
    <w:p w:rsidR="00E3092F" w:rsidRPr="0066795C" w:rsidRDefault="00E3092F" w:rsidP="00E3092F">
      <w:pPr>
        <w:ind w:firstLine="709"/>
      </w:pPr>
      <w:r w:rsidRPr="0066795C">
        <w:t xml:space="preserve">За январь-сентябрь 2019 года объем отгруженных товаров </w:t>
      </w:r>
      <w:r w:rsidR="00396A70">
        <w:t>промышленного</w:t>
      </w:r>
      <w:r w:rsidRPr="0066795C">
        <w:t xml:space="preserve"> производства, выполненных работ и услуг собственными силами   по видам экономической деятельности организаций (без субъектов малого предпринимательства) составил 8 527,2 млн рублей, что в действующих ценах составляет 120,7% к аналогичному периоду 2018 года.</w:t>
      </w:r>
    </w:p>
    <w:p w:rsidR="00E3092F" w:rsidRPr="0066795C" w:rsidRDefault="00E3092F" w:rsidP="00E3092F">
      <w:pPr>
        <w:pStyle w:val="a5"/>
        <w:ind w:firstLine="709"/>
      </w:pPr>
      <w:r w:rsidRPr="0066795C">
        <w:rPr>
          <w:rFonts w:ascii="Times New Roman" w:hAnsi="Times New Roman"/>
          <w:sz w:val="24"/>
          <w:szCs w:val="24"/>
        </w:rPr>
        <w:t>По предварительной оценке 2019 года объем отгруженной промышленной продукции составит 10 831,4 млн рублей, или 108,1% к уровню 2018 года</w:t>
      </w:r>
      <w:r w:rsidR="00396A70">
        <w:rPr>
          <w:rFonts w:ascii="Times New Roman" w:hAnsi="Times New Roman"/>
          <w:sz w:val="24"/>
          <w:szCs w:val="24"/>
        </w:rPr>
        <w:t xml:space="preserve"> в действующих ценах</w:t>
      </w:r>
      <w:r w:rsidRPr="0066795C">
        <w:rPr>
          <w:rFonts w:ascii="Times New Roman" w:hAnsi="Times New Roman"/>
          <w:sz w:val="24"/>
          <w:szCs w:val="24"/>
        </w:rPr>
        <w:t>.</w:t>
      </w:r>
    </w:p>
    <w:p w:rsidR="00E3092F" w:rsidRPr="0066795C" w:rsidRDefault="00E3092F" w:rsidP="00E3092F"/>
    <w:p w:rsidR="00E3092F" w:rsidRPr="0066795C" w:rsidRDefault="00E3092F" w:rsidP="00E3092F">
      <w:pPr>
        <w:jc w:val="center"/>
      </w:pPr>
      <w:r w:rsidRPr="0066795C">
        <w:t xml:space="preserve">Объем отгруженных товаров собственного производства, выполненных работ и услуг собственными силами по видам экономической деятельности </w:t>
      </w:r>
    </w:p>
    <w:p w:rsidR="00E3092F" w:rsidRPr="0066795C" w:rsidRDefault="00E3092F" w:rsidP="00E3092F">
      <w:pPr>
        <w:jc w:val="center"/>
        <w:rPr>
          <w:sz w:val="20"/>
          <w:szCs w:val="20"/>
        </w:rPr>
      </w:pPr>
      <w:r w:rsidRPr="0066795C">
        <w:rPr>
          <w:sz w:val="20"/>
          <w:szCs w:val="20"/>
        </w:rPr>
        <w:t xml:space="preserve">                                                                                                                                                                          млн рублей </w:t>
      </w:r>
    </w:p>
    <w:tbl>
      <w:tblPr>
        <w:tblW w:w="9606" w:type="dxa"/>
        <w:tblLayout w:type="fixed"/>
        <w:tblLook w:val="01E0" w:firstRow="1" w:lastRow="1" w:firstColumn="1" w:lastColumn="1" w:noHBand="0" w:noVBand="0"/>
      </w:tblPr>
      <w:tblGrid>
        <w:gridCol w:w="5920"/>
        <w:gridCol w:w="1276"/>
        <w:gridCol w:w="1134"/>
        <w:gridCol w:w="1276"/>
      </w:tblGrid>
      <w:tr w:rsidR="0066795C" w:rsidRPr="0066795C" w:rsidTr="0066795C">
        <w:trPr>
          <w:trHeight w:val="762"/>
          <w:tblHeader/>
        </w:trPr>
        <w:tc>
          <w:tcPr>
            <w:tcW w:w="5920" w:type="dxa"/>
            <w:tcBorders>
              <w:top w:val="single" w:sz="4" w:space="0" w:color="auto"/>
              <w:left w:val="single" w:sz="4" w:space="0" w:color="auto"/>
              <w:bottom w:val="single" w:sz="4" w:space="0" w:color="auto"/>
              <w:right w:val="single" w:sz="4" w:space="0" w:color="auto"/>
            </w:tcBorders>
            <w:vAlign w:val="center"/>
            <w:hideMark/>
          </w:tcPr>
          <w:p w:rsidR="00E3092F" w:rsidRPr="0066795C" w:rsidRDefault="00E3092F" w:rsidP="00953444">
            <w:pPr>
              <w:widowControl w:val="0"/>
              <w:autoSpaceDE w:val="0"/>
              <w:autoSpaceDN w:val="0"/>
              <w:adjustRightInd w:val="0"/>
              <w:jc w:val="center"/>
              <w:rPr>
                <w:sz w:val="20"/>
                <w:szCs w:val="20"/>
              </w:rPr>
            </w:pPr>
            <w:r w:rsidRPr="0066795C">
              <w:rPr>
                <w:sz w:val="20"/>
                <w:szCs w:val="20"/>
              </w:rPr>
              <w:t>Показатели</w:t>
            </w:r>
          </w:p>
        </w:tc>
        <w:tc>
          <w:tcPr>
            <w:tcW w:w="127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widowControl w:val="0"/>
              <w:autoSpaceDE w:val="0"/>
              <w:autoSpaceDN w:val="0"/>
              <w:adjustRightInd w:val="0"/>
              <w:jc w:val="center"/>
              <w:rPr>
                <w:sz w:val="20"/>
                <w:szCs w:val="20"/>
              </w:rPr>
            </w:pPr>
            <w:r w:rsidRPr="0066795C">
              <w:rPr>
                <w:sz w:val="20"/>
                <w:szCs w:val="20"/>
              </w:rPr>
              <w:t xml:space="preserve">Январь-сентябрь </w:t>
            </w:r>
          </w:p>
          <w:p w:rsidR="00E3092F" w:rsidRPr="0066795C" w:rsidRDefault="00E3092F" w:rsidP="00953444">
            <w:pPr>
              <w:widowControl w:val="0"/>
              <w:autoSpaceDE w:val="0"/>
              <w:autoSpaceDN w:val="0"/>
              <w:adjustRightInd w:val="0"/>
              <w:jc w:val="center"/>
              <w:rPr>
                <w:sz w:val="20"/>
                <w:szCs w:val="20"/>
              </w:rPr>
            </w:pPr>
            <w:r w:rsidRPr="0066795C">
              <w:rPr>
                <w:sz w:val="20"/>
                <w:szCs w:val="20"/>
              </w:rPr>
              <w:t>2018 года</w:t>
            </w:r>
          </w:p>
        </w:tc>
        <w:tc>
          <w:tcPr>
            <w:tcW w:w="1134"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widowControl w:val="0"/>
              <w:autoSpaceDE w:val="0"/>
              <w:autoSpaceDN w:val="0"/>
              <w:adjustRightInd w:val="0"/>
              <w:jc w:val="center"/>
              <w:rPr>
                <w:sz w:val="20"/>
                <w:szCs w:val="20"/>
              </w:rPr>
            </w:pPr>
            <w:r w:rsidRPr="0066795C">
              <w:rPr>
                <w:sz w:val="20"/>
                <w:szCs w:val="20"/>
              </w:rPr>
              <w:t xml:space="preserve">Январь-сентябрь </w:t>
            </w:r>
          </w:p>
          <w:p w:rsidR="00E3092F" w:rsidRPr="0066795C" w:rsidRDefault="00E3092F" w:rsidP="00953444">
            <w:pPr>
              <w:widowControl w:val="0"/>
              <w:autoSpaceDE w:val="0"/>
              <w:autoSpaceDN w:val="0"/>
              <w:adjustRightInd w:val="0"/>
              <w:jc w:val="center"/>
              <w:rPr>
                <w:sz w:val="20"/>
                <w:szCs w:val="20"/>
              </w:rPr>
            </w:pPr>
            <w:r w:rsidRPr="0066795C">
              <w:rPr>
                <w:sz w:val="20"/>
                <w:szCs w:val="20"/>
              </w:rPr>
              <w:t>2019 года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092F" w:rsidRPr="0066795C" w:rsidRDefault="00E3092F" w:rsidP="00953444">
            <w:pPr>
              <w:widowControl w:val="0"/>
              <w:autoSpaceDE w:val="0"/>
              <w:autoSpaceDN w:val="0"/>
              <w:adjustRightInd w:val="0"/>
              <w:jc w:val="center"/>
              <w:rPr>
                <w:sz w:val="20"/>
                <w:szCs w:val="20"/>
              </w:rPr>
            </w:pPr>
            <w:r w:rsidRPr="0066795C">
              <w:rPr>
                <w:sz w:val="20"/>
                <w:szCs w:val="20"/>
              </w:rPr>
              <w:t>Темп  роста (снижения) в действующих ценах, %</w:t>
            </w:r>
          </w:p>
        </w:tc>
      </w:tr>
      <w:tr w:rsidR="0066795C" w:rsidRPr="0066795C" w:rsidTr="0066795C">
        <w:trPr>
          <w:trHeight w:val="247"/>
        </w:trPr>
        <w:tc>
          <w:tcPr>
            <w:tcW w:w="5920" w:type="dxa"/>
            <w:tcBorders>
              <w:top w:val="single" w:sz="4" w:space="0" w:color="auto"/>
              <w:left w:val="single" w:sz="4" w:space="0" w:color="auto"/>
              <w:bottom w:val="single" w:sz="4" w:space="0" w:color="auto"/>
              <w:right w:val="single" w:sz="4" w:space="0" w:color="auto"/>
            </w:tcBorders>
            <w:vAlign w:val="center"/>
            <w:hideMark/>
          </w:tcPr>
          <w:p w:rsidR="00E3092F" w:rsidRPr="0066795C" w:rsidRDefault="00E3092F" w:rsidP="00953444">
            <w:pPr>
              <w:widowControl w:val="0"/>
              <w:autoSpaceDE w:val="0"/>
              <w:autoSpaceDN w:val="0"/>
              <w:adjustRightInd w:val="0"/>
              <w:jc w:val="left"/>
            </w:pPr>
            <w:r w:rsidRPr="0066795C">
              <w:t>Всего объем отгруженных товаров собственного производства, выполненных работ и услуг собственными силами по видам экономической деятельности организаций (без субъектов малого предпринимательства)</w:t>
            </w:r>
          </w:p>
        </w:tc>
        <w:tc>
          <w:tcPr>
            <w:tcW w:w="127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widowControl w:val="0"/>
              <w:autoSpaceDE w:val="0"/>
              <w:autoSpaceDN w:val="0"/>
              <w:adjustRightInd w:val="0"/>
              <w:jc w:val="center"/>
            </w:pPr>
            <w:r w:rsidRPr="0066795C">
              <w:t>7 062,0</w:t>
            </w:r>
          </w:p>
        </w:tc>
        <w:tc>
          <w:tcPr>
            <w:tcW w:w="1134"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widowControl w:val="0"/>
              <w:autoSpaceDE w:val="0"/>
              <w:autoSpaceDN w:val="0"/>
              <w:adjustRightInd w:val="0"/>
              <w:jc w:val="center"/>
            </w:pPr>
            <w:r w:rsidRPr="0066795C">
              <w:t>8 527,2</w:t>
            </w:r>
          </w:p>
        </w:tc>
        <w:tc>
          <w:tcPr>
            <w:tcW w:w="127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widowControl w:val="0"/>
              <w:autoSpaceDE w:val="0"/>
              <w:autoSpaceDN w:val="0"/>
              <w:adjustRightInd w:val="0"/>
              <w:jc w:val="center"/>
            </w:pPr>
            <w:r w:rsidRPr="0066795C">
              <w:t>120,7</w:t>
            </w:r>
          </w:p>
        </w:tc>
      </w:tr>
      <w:tr w:rsidR="0066795C" w:rsidRPr="0066795C" w:rsidTr="0066795C">
        <w:trPr>
          <w:trHeight w:val="52"/>
        </w:trPr>
        <w:tc>
          <w:tcPr>
            <w:tcW w:w="5920" w:type="dxa"/>
            <w:tcBorders>
              <w:top w:val="single" w:sz="4" w:space="0" w:color="auto"/>
              <w:left w:val="single" w:sz="4" w:space="0" w:color="auto"/>
              <w:bottom w:val="single" w:sz="4" w:space="0" w:color="auto"/>
              <w:right w:val="single" w:sz="4" w:space="0" w:color="auto"/>
            </w:tcBorders>
            <w:vAlign w:val="center"/>
            <w:hideMark/>
          </w:tcPr>
          <w:p w:rsidR="00E3092F" w:rsidRPr="0066795C" w:rsidRDefault="00E3092F" w:rsidP="00953444">
            <w:pPr>
              <w:widowControl w:val="0"/>
              <w:autoSpaceDE w:val="0"/>
              <w:autoSpaceDN w:val="0"/>
              <w:adjustRightInd w:val="0"/>
              <w:jc w:val="left"/>
            </w:pPr>
            <w:r w:rsidRPr="0066795C">
              <w:t>в том числе по видам экономической деятельности:</w:t>
            </w:r>
          </w:p>
        </w:tc>
        <w:tc>
          <w:tcPr>
            <w:tcW w:w="1276" w:type="dxa"/>
            <w:tcBorders>
              <w:top w:val="single" w:sz="4" w:space="0" w:color="auto"/>
              <w:left w:val="single" w:sz="4" w:space="0" w:color="auto"/>
              <w:bottom w:val="single" w:sz="4" w:space="0" w:color="auto"/>
              <w:right w:val="single" w:sz="4" w:space="0" w:color="auto"/>
            </w:tcBorders>
            <w:vAlign w:val="bottom"/>
          </w:tcPr>
          <w:p w:rsidR="00E3092F" w:rsidRPr="0066795C" w:rsidRDefault="00E3092F" w:rsidP="00953444">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E3092F" w:rsidRPr="0066795C" w:rsidRDefault="00E3092F" w:rsidP="00953444">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E3092F" w:rsidRPr="0066795C" w:rsidRDefault="00E3092F" w:rsidP="00953444">
            <w:pPr>
              <w:widowControl w:val="0"/>
              <w:autoSpaceDE w:val="0"/>
              <w:autoSpaceDN w:val="0"/>
              <w:adjustRightInd w:val="0"/>
              <w:jc w:val="center"/>
            </w:pPr>
          </w:p>
        </w:tc>
      </w:tr>
      <w:tr w:rsidR="0066795C" w:rsidRPr="0066795C" w:rsidTr="0066795C">
        <w:trPr>
          <w:trHeight w:val="221"/>
        </w:trPr>
        <w:tc>
          <w:tcPr>
            <w:tcW w:w="5920"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widowControl w:val="0"/>
              <w:autoSpaceDE w:val="0"/>
              <w:autoSpaceDN w:val="0"/>
              <w:adjustRightInd w:val="0"/>
              <w:jc w:val="left"/>
            </w:pPr>
            <w:r w:rsidRPr="0066795C">
              <w:t>Добыча полезных ископаемых</w:t>
            </w:r>
          </w:p>
        </w:tc>
        <w:tc>
          <w:tcPr>
            <w:tcW w:w="127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widowControl w:val="0"/>
              <w:autoSpaceDE w:val="0"/>
              <w:autoSpaceDN w:val="0"/>
              <w:adjustRightInd w:val="0"/>
              <w:jc w:val="center"/>
            </w:pPr>
            <w:r w:rsidRPr="0066795C">
              <w:t>3 688,8</w:t>
            </w:r>
          </w:p>
        </w:tc>
        <w:tc>
          <w:tcPr>
            <w:tcW w:w="1134"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widowControl w:val="0"/>
              <w:autoSpaceDE w:val="0"/>
              <w:autoSpaceDN w:val="0"/>
              <w:adjustRightInd w:val="0"/>
              <w:jc w:val="center"/>
            </w:pPr>
            <w:r w:rsidRPr="0066795C">
              <w:t>4 993,8</w:t>
            </w:r>
          </w:p>
        </w:tc>
        <w:tc>
          <w:tcPr>
            <w:tcW w:w="127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widowControl w:val="0"/>
              <w:autoSpaceDE w:val="0"/>
              <w:autoSpaceDN w:val="0"/>
              <w:adjustRightInd w:val="0"/>
              <w:jc w:val="center"/>
            </w:pPr>
            <w:r w:rsidRPr="0066795C">
              <w:t>135,4</w:t>
            </w:r>
          </w:p>
        </w:tc>
      </w:tr>
      <w:tr w:rsidR="0066795C" w:rsidRPr="0066795C" w:rsidTr="0066795C">
        <w:trPr>
          <w:trHeight w:val="221"/>
        </w:trPr>
        <w:tc>
          <w:tcPr>
            <w:tcW w:w="5920" w:type="dxa"/>
            <w:tcBorders>
              <w:top w:val="single" w:sz="4" w:space="0" w:color="auto"/>
              <w:left w:val="single" w:sz="4" w:space="0" w:color="auto"/>
              <w:bottom w:val="single" w:sz="4" w:space="0" w:color="auto"/>
              <w:right w:val="single" w:sz="4" w:space="0" w:color="auto"/>
            </w:tcBorders>
            <w:vAlign w:val="center"/>
            <w:hideMark/>
          </w:tcPr>
          <w:p w:rsidR="00E3092F" w:rsidRPr="0066795C" w:rsidRDefault="00E3092F" w:rsidP="00953444">
            <w:pPr>
              <w:widowControl w:val="0"/>
              <w:autoSpaceDE w:val="0"/>
              <w:autoSpaceDN w:val="0"/>
              <w:adjustRightInd w:val="0"/>
              <w:jc w:val="left"/>
            </w:pPr>
            <w:r w:rsidRPr="0066795C">
              <w:t>Обрабатывающие производства</w:t>
            </w:r>
          </w:p>
        </w:tc>
        <w:tc>
          <w:tcPr>
            <w:tcW w:w="127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widowControl w:val="0"/>
              <w:autoSpaceDE w:val="0"/>
              <w:autoSpaceDN w:val="0"/>
              <w:adjustRightInd w:val="0"/>
              <w:jc w:val="center"/>
            </w:pPr>
            <w:r w:rsidRPr="0066795C">
              <w:t>844,4</w:t>
            </w:r>
          </w:p>
        </w:tc>
        <w:tc>
          <w:tcPr>
            <w:tcW w:w="1134"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widowControl w:val="0"/>
              <w:autoSpaceDE w:val="0"/>
              <w:autoSpaceDN w:val="0"/>
              <w:adjustRightInd w:val="0"/>
              <w:jc w:val="center"/>
            </w:pPr>
            <w:r w:rsidRPr="0066795C">
              <w:t>664,6</w:t>
            </w:r>
          </w:p>
        </w:tc>
        <w:tc>
          <w:tcPr>
            <w:tcW w:w="127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widowControl w:val="0"/>
              <w:autoSpaceDE w:val="0"/>
              <w:autoSpaceDN w:val="0"/>
              <w:adjustRightInd w:val="0"/>
              <w:jc w:val="center"/>
            </w:pPr>
            <w:r w:rsidRPr="0066795C">
              <w:t>78,7</w:t>
            </w:r>
          </w:p>
        </w:tc>
      </w:tr>
      <w:tr w:rsidR="0066795C" w:rsidRPr="0066795C" w:rsidTr="0066795C">
        <w:trPr>
          <w:trHeight w:val="323"/>
        </w:trPr>
        <w:tc>
          <w:tcPr>
            <w:tcW w:w="5920" w:type="dxa"/>
            <w:tcBorders>
              <w:top w:val="single" w:sz="4" w:space="0" w:color="auto"/>
              <w:left w:val="single" w:sz="4" w:space="0" w:color="auto"/>
              <w:bottom w:val="single" w:sz="4" w:space="0" w:color="auto"/>
              <w:right w:val="single" w:sz="4" w:space="0" w:color="auto"/>
            </w:tcBorders>
            <w:vAlign w:val="center"/>
            <w:hideMark/>
          </w:tcPr>
          <w:p w:rsidR="00E3092F" w:rsidRPr="0066795C" w:rsidRDefault="00E3092F" w:rsidP="00953444">
            <w:pPr>
              <w:widowControl w:val="0"/>
              <w:autoSpaceDE w:val="0"/>
              <w:autoSpaceDN w:val="0"/>
              <w:adjustRightInd w:val="0"/>
              <w:jc w:val="left"/>
            </w:pPr>
            <w:r w:rsidRPr="0066795C">
              <w:t>Обеспечение электрической энергии, газом и паром; кондиционирование воздуха</w:t>
            </w:r>
          </w:p>
        </w:tc>
        <w:tc>
          <w:tcPr>
            <w:tcW w:w="127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widowControl w:val="0"/>
              <w:autoSpaceDE w:val="0"/>
              <w:autoSpaceDN w:val="0"/>
              <w:adjustRightInd w:val="0"/>
              <w:jc w:val="center"/>
            </w:pPr>
            <w:r w:rsidRPr="0066795C">
              <w:t>2 326,5</w:t>
            </w:r>
          </w:p>
        </w:tc>
        <w:tc>
          <w:tcPr>
            <w:tcW w:w="1134"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widowControl w:val="0"/>
              <w:autoSpaceDE w:val="0"/>
              <w:autoSpaceDN w:val="0"/>
              <w:adjustRightInd w:val="0"/>
              <w:jc w:val="center"/>
            </w:pPr>
            <w:r w:rsidRPr="0066795C">
              <w:t>2 682,2</w:t>
            </w:r>
          </w:p>
        </w:tc>
        <w:tc>
          <w:tcPr>
            <w:tcW w:w="127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widowControl w:val="0"/>
              <w:autoSpaceDE w:val="0"/>
              <w:autoSpaceDN w:val="0"/>
              <w:adjustRightInd w:val="0"/>
              <w:jc w:val="center"/>
            </w:pPr>
            <w:r w:rsidRPr="0066795C">
              <w:t>115,3</w:t>
            </w:r>
          </w:p>
        </w:tc>
      </w:tr>
      <w:tr w:rsidR="0066795C" w:rsidRPr="0066795C" w:rsidTr="0066795C">
        <w:trPr>
          <w:trHeight w:val="323"/>
        </w:trPr>
        <w:tc>
          <w:tcPr>
            <w:tcW w:w="5920" w:type="dxa"/>
            <w:tcBorders>
              <w:top w:val="single" w:sz="4" w:space="0" w:color="auto"/>
              <w:left w:val="single" w:sz="4" w:space="0" w:color="auto"/>
              <w:bottom w:val="single" w:sz="4" w:space="0" w:color="auto"/>
              <w:right w:val="single" w:sz="4" w:space="0" w:color="auto"/>
            </w:tcBorders>
            <w:vAlign w:val="center"/>
            <w:hideMark/>
          </w:tcPr>
          <w:p w:rsidR="00E3092F" w:rsidRPr="0066795C" w:rsidRDefault="00E3092F" w:rsidP="00953444">
            <w:pPr>
              <w:widowControl w:val="0"/>
              <w:autoSpaceDE w:val="0"/>
              <w:autoSpaceDN w:val="0"/>
              <w:adjustRightInd w:val="0"/>
              <w:jc w:val="left"/>
            </w:pPr>
            <w:r w:rsidRPr="0066795C">
              <w:t>Водоснабжение, водоотведение, организация сбора и утилизации отходов, деятельность по ликвидации загрязнений</w:t>
            </w:r>
          </w:p>
        </w:tc>
        <w:tc>
          <w:tcPr>
            <w:tcW w:w="127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widowControl w:val="0"/>
              <w:autoSpaceDE w:val="0"/>
              <w:autoSpaceDN w:val="0"/>
              <w:adjustRightInd w:val="0"/>
              <w:jc w:val="center"/>
            </w:pPr>
            <w:r w:rsidRPr="0066795C">
              <w:t>202,3</w:t>
            </w:r>
          </w:p>
        </w:tc>
        <w:tc>
          <w:tcPr>
            <w:tcW w:w="1134"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widowControl w:val="0"/>
              <w:autoSpaceDE w:val="0"/>
              <w:autoSpaceDN w:val="0"/>
              <w:adjustRightInd w:val="0"/>
              <w:jc w:val="center"/>
            </w:pPr>
            <w:r w:rsidRPr="0066795C">
              <w:t>186,6</w:t>
            </w:r>
          </w:p>
        </w:tc>
        <w:tc>
          <w:tcPr>
            <w:tcW w:w="127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widowControl w:val="0"/>
              <w:autoSpaceDE w:val="0"/>
              <w:autoSpaceDN w:val="0"/>
              <w:adjustRightInd w:val="0"/>
              <w:jc w:val="center"/>
            </w:pPr>
            <w:r w:rsidRPr="0066795C">
              <w:t>92,2</w:t>
            </w:r>
          </w:p>
        </w:tc>
      </w:tr>
    </w:tbl>
    <w:p w:rsidR="00E3092F" w:rsidRPr="0066795C" w:rsidRDefault="00E3092F" w:rsidP="00E3092F"/>
    <w:p w:rsidR="00E3092F" w:rsidRPr="0066795C" w:rsidRDefault="00E3092F" w:rsidP="00E3092F">
      <w:pPr>
        <w:ind w:firstLine="709"/>
      </w:pPr>
      <w:r w:rsidRPr="0066795C">
        <w:lastRenderedPageBreak/>
        <w:t xml:space="preserve">Основную долю промышленного производства составляют предприятия по добыче полезных ископаемых на долю которых приходится 58,6% от общего объема отгруженных товаров промышленного производства. </w:t>
      </w:r>
    </w:p>
    <w:p w:rsidR="0066795C" w:rsidRDefault="00E3092F" w:rsidP="0066795C">
      <w:pPr>
        <w:ind w:firstLine="709"/>
      </w:pPr>
      <w:r w:rsidRPr="0066795C">
        <w:t xml:space="preserve">Предприятиями по виду деятельности «Добыча полезных ископаемых» по предварительным данным за январь - сентябрь 2019 года отгружено товаров собственного производства, выполнено работ и услуг собственными силами в действующих ценах на сумму 4 993,8 млн рублей, и увеличился на 35,4% к уровню показателя 2018 года. </w:t>
      </w:r>
    </w:p>
    <w:p w:rsidR="00E3092F" w:rsidRPr="0066795C" w:rsidRDefault="00E3092F" w:rsidP="0066795C">
      <w:pPr>
        <w:ind w:firstLine="709"/>
      </w:pPr>
      <w:r w:rsidRPr="0066795C">
        <w:t>По предварительной оценке, в 2019 году объем оборота предприятий с основным видом деятельности «Добыча полезных ископаемых» ожидается на уровне 5 745,1 млн рублей, или 112,3% к уровню 2018 года.</w:t>
      </w:r>
    </w:p>
    <w:p w:rsidR="00E3092F" w:rsidRPr="0066795C" w:rsidRDefault="00E3092F" w:rsidP="00E3092F">
      <w:pPr>
        <w:ind w:firstLine="709"/>
      </w:pPr>
      <w:r w:rsidRPr="0066795C">
        <w:t>Основными видами экономической деятельности «Обрабатывающие производства» в городе являются производство пищевых продуктов, предоставление услуг по монтажу, ремонту и техническому обслуживанию машин и оборудования. Объем продукции обрабатывающих производств за отчетный период составил 664,6 млн рублей или 78,7% к уровню показателя 2018 года. В оценке 2019 года объем отгруженной продукции собственного производства, выполненных работ и услуг собственными силами по виду деятельности «Обрабатывающие производства» составит 1 013,6 млн рублей или 89,4% к уровню 2018 года.</w:t>
      </w:r>
    </w:p>
    <w:p w:rsidR="00E3092F" w:rsidRPr="0066795C" w:rsidRDefault="00E3092F" w:rsidP="00E3092F">
      <w:pPr>
        <w:pStyle w:val="a3"/>
        <w:spacing w:after="0"/>
        <w:ind w:left="0" w:firstLine="709"/>
      </w:pPr>
      <w:r w:rsidRPr="0066795C">
        <w:t>Объем отгруженной продукции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 за отчетный период 2019 года по предварительным данным составил 2 682,2 млн рублей, и увеличился на 15,3% к соответствующему периоду 2018 года в действующих ценах.</w:t>
      </w:r>
    </w:p>
    <w:p w:rsidR="00E3092F" w:rsidRPr="0066795C" w:rsidRDefault="00E3092F" w:rsidP="00E3092F">
      <w:pPr>
        <w:pStyle w:val="a3"/>
        <w:spacing w:after="0"/>
        <w:ind w:left="0" w:firstLine="709"/>
      </w:pPr>
      <w:r w:rsidRPr="0066795C">
        <w:t>По предварительной оценке, в 2019 году объем отгруженной продукции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 составит 3 799,4 млн рублей или 108,5% к уровню 2018 года.</w:t>
      </w:r>
    </w:p>
    <w:p w:rsidR="00E3092F" w:rsidRPr="0066795C" w:rsidRDefault="00E3092F" w:rsidP="00E3092F">
      <w:pPr>
        <w:pStyle w:val="a3"/>
        <w:spacing w:after="0"/>
        <w:ind w:left="0" w:firstLine="709"/>
      </w:pPr>
      <w:r w:rsidRPr="0066795C">
        <w:t>В структуре объема отгруженных товаров собственного производства по виду деятельности «Водоснабжение, водоотведение, организация сбора и утилизации отходов, деятельность по ликвидации загрязнений» за 9 месяцев 2019 года по предварительным данным выполнено работ и услуг на сумму 186,6 млн рублей, или 92,2% к соответствующему периоду 2018 года в действующих ценах.</w:t>
      </w:r>
    </w:p>
    <w:p w:rsidR="00E3092F" w:rsidRPr="0066795C" w:rsidRDefault="00E3092F" w:rsidP="00E3092F">
      <w:pPr>
        <w:pStyle w:val="a3"/>
        <w:spacing w:after="0"/>
        <w:ind w:left="0" w:firstLine="709"/>
      </w:pPr>
      <w:r w:rsidRPr="0066795C">
        <w:t>По оценке в 2019 году объем отгруженных товаров собственного производства по виду деятельности «Водоснабжение, водоотведение, организация сбора и утилизации отходов, деятельность по ликвидации загрязнений» ожидается на уровне 273,3 млн рублей, или 100,4% к уровню 2018 года.</w:t>
      </w:r>
    </w:p>
    <w:p w:rsidR="00E3092F" w:rsidRPr="0066795C" w:rsidRDefault="00E3092F" w:rsidP="00E3092F">
      <w:pPr>
        <w:pStyle w:val="a3"/>
        <w:spacing w:after="0"/>
        <w:ind w:left="0" w:firstLine="709"/>
      </w:pPr>
      <w:r w:rsidRPr="0066795C">
        <w:t>Увеличение объемов промышленного производства произошло преимущественно за счет наращивания объемов производственных работ предприяти</w:t>
      </w:r>
      <w:r w:rsidR="00953444">
        <w:t>й</w:t>
      </w:r>
      <w:r w:rsidRPr="0066795C">
        <w:t xml:space="preserve"> по виду деятельности «Добыча полезных ископаемых», осуществляющих свою деятельность на территории городского округа город Мегион.</w:t>
      </w:r>
    </w:p>
    <w:p w:rsidR="003F7751" w:rsidRDefault="003F7751" w:rsidP="00B658AC"/>
    <w:p w:rsidR="00396A70" w:rsidRPr="0066795C" w:rsidRDefault="00396A70" w:rsidP="00B658AC"/>
    <w:p w:rsidR="008B6A95" w:rsidRPr="0066795C" w:rsidRDefault="008B6A95" w:rsidP="008B6A95">
      <w:r w:rsidRPr="0066795C">
        <w:t xml:space="preserve">ИНВЕСТИЦИИ </w:t>
      </w:r>
    </w:p>
    <w:p w:rsidR="008B6A95" w:rsidRPr="0066795C" w:rsidRDefault="008B6A95" w:rsidP="008B6A95"/>
    <w:p w:rsidR="008B6A95" w:rsidRPr="00FB08B6" w:rsidRDefault="008B6A95" w:rsidP="008B6A95">
      <w:pPr>
        <w:ind w:firstLine="708"/>
        <w:rPr>
          <w:bCs/>
          <w:iCs/>
        </w:rPr>
      </w:pPr>
      <w:r w:rsidRPr="00FB08B6">
        <w:rPr>
          <w:bCs/>
          <w:iCs/>
        </w:rPr>
        <w:t>Привлечение инвестиций в экономику города является одной из наиболее важных задач, стоящих перед администрацией городского округа город Мегион, решение которой возможно путем формирования целенаправленной и комплексной инвестиционной политики.</w:t>
      </w:r>
    </w:p>
    <w:p w:rsidR="008B6A95" w:rsidRPr="00FB08B6" w:rsidRDefault="008B6A95" w:rsidP="008B6A95">
      <w:pPr>
        <w:ind w:firstLine="708"/>
        <w:rPr>
          <w:bCs/>
          <w:iCs/>
        </w:rPr>
      </w:pPr>
      <w:r w:rsidRPr="00FB08B6">
        <w:rPr>
          <w:bCs/>
          <w:iCs/>
        </w:rPr>
        <w:t>В настоящее время основным условием ускорения экономического роста и главной задачей инвестиционной политики является совместная работа власти, бизнеса, общества             по повышению предпринимательской активности, улучшению инвестиционного и делового климата.</w:t>
      </w:r>
    </w:p>
    <w:p w:rsidR="008B6A95" w:rsidRPr="00FB08B6" w:rsidRDefault="008B6A95" w:rsidP="008B6A95">
      <w:pPr>
        <w:ind w:firstLine="708"/>
      </w:pPr>
      <w:r w:rsidRPr="00FB08B6">
        <w:rPr>
          <w:bCs/>
          <w:iCs/>
        </w:rPr>
        <w:lastRenderedPageBreak/>
        <w:t>По предварительной оценке, объем инвестиций в основной капитал,</w:t>
      </w:r>
      <w:r w:rsidRPr="00FB08B6">
        <w:rPr>
          <w:bCs/>
          <w:i/>
          <w:iCs/>
        </w:rPr>
        <w:t xml:space="preserve"> </w:t>
      </w:r>
      <w:r w:rsidRPr="00FB08B6">
        <w:t xml:space="preserve">освоенных крупными и средними предприятиями городского округа город Мегион за 9 месяцев 2019 года составил 19 313,8 млн рублей или </w:t>
      </w:r>
      <w:r w:rsidR="00616C21" w:rsidRPr="00FB08B6">
        <w:t>93,2</w:t>
      </w:r>
      <w:r w:rsidRPr="00FB08B6">
        <w:t>% к соответствующему периоду 2018 года.</w:t>
      </w:r>
    </w:p>
    <w:p w:rsidR="008B6A95" w:rsidRPr="00FB08B6" w:rsidRDefault="008B6A95" w:rsidP="008B6A95">
      <w:pPr>
        <w:ind w:firstLine="708"/>
      </w:pPr>
      <w:r w:rsidRPr="00FB08B6">
        <w:t xml:space="preserve">В составе вложений в основной капитал по видам экономической деятельности                (по </w:t>
      </w:r>
      <w:r w:rsidR="00396A70">
        <w:t>крупным</w:t>
      </w:r>
      <w:r w:rsidRPr="00FB08B6">
        <w:t xml:space="preserve"> и средни</w:t>
      </w:r>
      <w:r w:rsidR="00396A70">
        <w:t>м</w:t>
      </w:r>
      <w:r w:rsidRPr="00FB08B6">
        <w:t xml:space="preserve"> организаци</w:t>
      </w:r>
      <w:r w:rsidR="00396A70">
        <w:t>ям</w:t>
      </w:r>
      <w:r w:rsidRPr="00FB08B6">
        <w:t>) лидируют инвестиции по виду экономической деятельности «Добыча полезных ископаемых».</w:t>
      </w:r>
    </w:p>
    <w:p w:rsidR="008B6A95" w:rsidRPr="00FB08B6" w:rsidRDefault="008B6A95" w:rsidP="008B6A95">
      <w:pPr>
        <w:ind w:firstLine="709"/>
      </w:pPr>
      <w:r w:rsidRPr="00FB08B6">
        <w:t>Основным источником инвестиций в основной капитал являются собственные средства предприятий. Инвестиции за счет собственных средств предприятий в основном направлены на развитие, строительство и поддержание производственных мощностей.</w:t>
      </w:r>
    </w:p>
    <w:p w:rsidR="008B6A95" w:rsidRPr="00FB08B6" w:rsidRDefault="008B6A95" w:rsidP="008B6A95">
      <w:pPr>
        <w:ind w:firstLine="709"/>
      </w:pPr>
      <w:r w:rsidRPr="00FB08B6">
        <w:t xml:space="preserve">В 2019 году по оценке объем инвестиций в основной капитал составит </w:t>
      </w:r>
      <w:r w:rsidR="00396A70">
        <w:t>27 792,5</w:t>
      </w:r>
      <w:r w:rsidRPr="00FB08B6">
        <w:t xml:space="preserve"> млн рублей, или </w:t>
      </w:r>
      <w:r w:rsidR="00396A70">
        <w:rPr>
          <w:color w:val="000000" w:themeColor="text1"/>
        </w:rPr>
        <w:t>100,2</w:t>
      </w:r>
      <w:r w:rsidRPr="00FB08B6">
        <w:t xml:space="preserve">% в действующих ценах к уровню 2018 года. </w:t>
      </w:r>
    </w:p>
    <w:p w:rsidR="008B6A95" w:rsidRPr="00FB08B6" w:rsidRDefault="008B6A95" w:rsidP="008B6A95">
      <w:pPr>
        <w:autoSpaceDE w:val="0"/>
        <w:autoSpaceDN w:val="0"/>
        <w:adjustRightInd w:val="0"/>
        <w:ind w:firstLine="708"/>
        <w:outlineLvl w:val="1"/>
      </w:pPr>
      <w:r w:rsidRPr="00FB08B6">
        <w:t>Основными задачами на 2019 год в области инвестиционной политики будут являться наращивание объемов, обеспечение сбалансированности и качества инвестиций, привлечение дополнительных средств в рамках реализации федеральных, окружных и муниципальных программ. Реализация данных направлений в инвестиционной сфере будет предопределять устойчивость экономики города.</w:t>
      </w:r>
    </w:p>
    <w:p w:rsidR="00C519AC" w:rsidRDefault="00C519AC" w:rsidP="00B658AC">
      <w:pPr>
        <w:autoSpaceDE w:val="0"/>
        <w:autoSpaceDN w:val="0"/>
        <w:adjustRightInd w:val="0"/>
        <w:outlineLvl w:val="1"/>
      </w:pPr>
    </w:p>
    <w:p w:rsidR="00396A70" w:rsidRPr="00FB08B6" w:rsidRDefault="00396A70" w:rsidP="00B658AC">
      <w:pPr>
        <w:autoSpaceDE w:val="0"/>
        <w:autoSpaceDN w:val="0"/>
        <w:adjustRightInd w:val="0"/>
        <w:outlineLvl w:val="1"/>
      </w:pPr>
    </w:p>
    <w:p w:rsidR="008B6A95" w:rsidRPr="0066795C" w:rsidRDefault="008B6A95" w:rsidP="008B6A95">
      <w:pPr>
        <w:autoSpaceDE w:val="0"/>
        <w:autoSpaceDN w:val="0"/>
        <w:adjustRightInd w:val="0"/>
        <w:outlineLvl w:val="1"/>
      </w:pPr>
      <w:r w:rsidRPr="0066795C">
        <w:t>СТРОИТЕЛЬСТВО</w:t>
      </w:r>
    </w:p>
    <w:p w:rsidR="008B6A95" w:rsidRPr="0066795C" w:rsidRDefault="008B6A95" w:rsidP="008B6A95">
      <w:pPr>
        <w:autoSpaceDE w:val="0"/>
        <w:autoSpaceDN w:val="0"/>
        <w:adjustRightInd w:val="0"/>
        <w:outlineLvl w:val="1"/>
      </w:pPr>
    </w:p>
    <w:p w:rsidR="008B6A95" w:rsidRPr="0066795C" w:rsidRDefault="008B6A95" w:rsidP="008B6A95">
      <w:pPr>
        <w:shd w:val="clear" w:color="auto" w:fill="FFFFFF"/>
        <w:ind w:firstLine="709"/>
        <w:outlineLvl w:val="0"/>
        <w:rPr>
          <w:bCs/>
          <w:kern w:val="36"/>
        </w:rPr>
      </w:pPr>
      <w:r w:rsidRPr="0066795C">
        <w:rPr>
          <w:bCs/>
          <w:kern w:val="36"/>
        </w:rPr>
        <w:t xml:space="preserve">Строительный комплекс выполняет экономически сложную и наиболее значимую задачу - создание комфортных условий проживания различных категорий граждан.  </w:t>
      </w:r>
    </w:p>
    <w:p w:rsidR="008B6A95" w:rsidRPr="00FB08B6" w:rsidRDefault="008B6A95" w:rsidP="008B6A95">
      <w:pPr>
        <w:shd w:val="clear" w:color="auto" w:fill="FFFFFF"/>
        <w:ind w:firstLine="709"/>
      </w:pPr>
      <w:r w:rsidRPr="0066795C">
        <w:t xml:space="preserve">Объем выполненных работ по виду экономической деятельности «Строительство» без учета субъектов малого предпринимательства за 9 месяцев 2019 года составил 2 905,7 млн рублей, что </w:t>
      </w:r>
      <w:r w:rsidRPr="00FB08B6">
        <w:t xml:space="preserve">на </w:t>
      </w:r>
      <w:r w:rsidR="00616C21" w:rsidRPr="00FB08B6">
        <w:t>5</w:t>
      </w:r>
      <w:r w:rsidRPr="00FB08B6">
        <w:t>% выше показателя аналогичного периода 2018 года в действующих ценах.</w:t>
      </w:r>
    </w:p>
    <w:p w:rsidR="008B6A95" w:rsidRPr="0066795C" w:rsidRDefault="008B6A95" w:rsidP="008B6A95">
      <w:pPr>
        <w:shd w:val="clear" w:color="auto" w:fill="FFFFFF"/>
        <w:ind w:firstLine="709"/>
      </w:pPr>
      <w:r w:rsidRPr="00FB08B6">
        <w:t>По оценке в 2019 году объем работ, выполненных по виду деятельности «Строительство», составит 4</w:t>
      </w:r>
      <w:r w:rsidR="00396A70">
        <w:t> 023,5</w:t>
      </w:r>
      <w:r w:rsidRPr="00FB08B6">
        <w:t xml:space="preserve"> млн рублей, или </w:t>
      </w:r>
      <w:r w:rsidR="00396A70">
        <w:t>101,6</w:t>
      </w:r>
      <w:r w:rsidRPr="00FB08B6">
        <w:t xml:space="preserve">% в сопоставимых </w:t>
      </w:r>
      <w:r w:rsidRPr="0066795C">
        <w:t xml:space="preserve">ценах к уровню 2018 года. </w:t>
      </w:r>
    </w:p>
    <w:p w:rsidR="008B6A95" w:rsidRPr="0066795C" w:rsidRDefault="008B6A95" w:rsidP="008B6A95">
      <w:pPr>
        <w:tabs>
          <w:tab w:val="left" w:pos="709"/>
        </w:tabs>
        <w:ind w:firstLine="720"/>
      </w:pPr>
      <w:r w:rsidRPr="0066795C">
        <w:t>За январь-сентябрь 2019 года на территории городского округа город Мегион введено в действие 19 индивидуальных жилых домов жилой площадью 1 336,6 кв.м.</w:t>
      </w:r>
    </w:p>
    <w:p w:rsidR="008B6A95" w:rsidRPr="0066795C" w:rsidRDefault="008B6A95" w:rsidP="008B6A95">
      <w:pPr>
        <w:tabs>
          <w:tab w:val="left" w:pos="709"/>
        </w:tabs>
        <w:ind w:firstLine="720"/>
      </w:pPr>
      <w:r w:rsidRPr="0066795C">
        <w:t>По оценке в 2019 году ожидаемый ввод жилья за счет всех источников финансирования определен в объеме 21 317 кв.м.</w:t>
      </w:r>
    </w:p>
    <w:p w:rsidR="008B6A95" w:rsidRPr="0066795C" w:rsidRDefault="008B6A95" w:rsidP="008B6A95">
      <w:pPr>
        <w:shd w:val="clear" w:color="auto" w:fill="FFFFFF"/>
        <w:ind w:firstLine="709"/>
      </w:pPr>
      <w:r w:rsidRPr="0066795C">
        <w:t>Кроме того, ведется строительство и реконструкция объектов социальной инфраструктуры.</w:t>
      </w:r>
    </w:p>
    <w:p w:rsidR="008B6A95" w:rsidRPr="0066795C" w:rsidRDefault="008B6A95" w:rsidP="008B6A95">
      <w:pPr>
        <w:suppressAutoHyphens/>
        <w:ind w:firstLine="709"/>
        <w:contextualSpacing/>
      </w:pPr>
      <w:r w:rsidRPr="0066795C">
        <w:t>В соответствии с постановлением Правительства Ханты-Мансийского автономного округа – Югры от 01.03.2019 №68-п «</w:t>
      </w:r>
      <w:r w:rsidRPr="0066795C">
        <w:rPr>
          <w:lang w:eastAsia="zh-CN"/>
        </w:rPr>
        <w:t xml:space="preserve">О внесении изменения в постановление Правительства Ханты-Мансийского автономного округа – Югры от 30.11.2018 №450-п «Об Адресной инвестиционной программе Ханты-Мансийского автономного округа – Югры на 2019 год и на плановый период 2020 и 2021 годов» </w:t>
      </w:r>
      <w:r w:rsidRPr="0066795C">
        <w:t xml:space="preserve">в Адресную инвестиционную программу включены два объекта. </w:t>
      </w:r>
    </w:p>
    <w:p w:rsidR="008B6A95" w:rsidRPr="0066795C" w:rsidRDefault="008B6A95" w:rsidP="008B6A95">
      <w:pPr>
        <w:suppressAutoHyphens/>
        <w:ind w:firstLine="709"/>
        <w:contextualSpacing/>
      </w:pPr>
      <w:r w:rsidRPr="0066795C">
        <w:t>Объем капитальных вложений на 2019 год на строительство объектов муниципальной собственности в рамках Адресной инвестиционной программы Ханты – Мансийского автономного округа – Югры составляет 141 624,2 тыс. рублей, в том числе:</w:t>
      </w:r>
    </w:p>
    <w:p w:rsidR="008B6A95" w:rsidRPr="0066795C" w:rsidRDefault="008B6A95" w:rsidP="008B6A95">
      <w:pPr>
        <w:ind w:firstLine="709"/>
      </w:pPr>
      <w:r w:rsidRPr="0066795C">
        <w:t>окружной бюджет – 131 844,1 тыс. рублей;</w:t>
      </w:r>
    </w:p>
    <w:p w:rsidR="008B6A95" w:rsidRPr="0066795C" w:rsidRDefault="008B6A95" w:rsidP="008B6A95">
      <w:pPr>
        <w:shd w:val="clear" w:color="auto" w:fill="FFFFFF" w:themeFill="background1"/>
        <w:ind w:firstLine="709"/>
      </w:pPr>
      <w:r w:rsidRPr="0066795C">
        <w:t>местный бюджет – 9 780,1 тыс. рублей.</w:t>
      </w:r>
    </w:p>
    <w:p w:rsidR="008B6A95" w:rsidRPr="0066795C" w:rsidRDefault="008B6A95" w:rsidP="008B6A95">
      <w:pPr>
        <w:ind w:firstLine="709"/>
      </w:pPr>
    </w:p>
    <w:tbl>
      <w:tblPr>
        <w:tblStyle w:val="aa"/>
        <w:tblW w:w="0" w:type="auto"/>
        <w:tblLook w:val="04A0" w:firstRow="1" w:lastRow="0" w:firstColumn="1" w:lastColumn="0" w:noHBand="0" w:noVBand="1"/>
      </w:tblPr>
      <w:tblGrid>
        <w:gridCol w:w="2093"/>
        <w:gridCol w:w="7647"/>
      </w:tblGrid>
      <w:tr w:rsidR="0066795C" w:rsidRPr="0066795C" w:rsidTr="00FB7F3F">
        <w:trPr>
          <w:trHeight w:val="637"/>
        </w:trPr>
        <w:tc>
          <w:tcPr>
            <w:tcW w:w="2093" w:type="dxa"/>
            <w:vMerge w:val="restart"/>
            <w:textDirection w:val="btLr"/>
          </w:tcPr>
          <w:p w:rsidR="008B6A95" w:rsidRPr="0066795C" w:rsidRDefault="008B6A95" w:rsidP="00FB7F3F">
            <w:pPr>
              <w:jc w:val="center"/>
            </w:pPr>
            <w:r w:rsidRPr="0066795C">
              <w:t>Объем кап. вложений: 141 624,2 тыс.руб.</w:t>
            </w:r>
          </w:p>
          <w:p w:rsidR="008B6A95" w:rsidRPr="0066795C" w:rsidRDefault="008B6A95" w:rsidP="00FB7F3F">
            <w:pPr>
              <w:jc w:val="center"/>
            </w:pPr>
            <w:r w:rsidRPr="0066795C">
              <w:t>в том числе: бюджет ХМАО - Югры – 131 844,1 тыс.руб.</w:t>
            </w:r>
          </w:p>
          <w:p w:rsidR="008B6A95" w:rsidRPr="0066795C" w:rsidRDefault="008B6A95" w:rsidP="00FB7F3F">
            <w:pPr>
              <w:jc w:val="center"/>
            </w:pPr>
            <w:r w:rsidRPr="0066795C">
              <w:t>бюджет МО – 9 780,1 тыс.руб.</w:t>
            </w:r>
          </w:p>
          <w:p w:rsidR="008B6A95" w:rsidRPr="0066795C" w:rsidRDefault="008B6A95" w:rsidP="00FB7F3F"/>
          <w:p w:rsidR="008B6A95" w:rsidRPr="0066795C" w:rsidRDefault="008B6A95" w:rsidP="00FB7F3F"/>
        </w:tc>
        <w:tc>
          <w:tcPr>
            <w:tcW w:w="7647" w:type="dxa"/>
            <w:vAlign w:val="center"/>
          </w:tcPr>
          <w:p w:rsidR="008B6A95" w:rsidRPr="0066795C" w:rsidRDefault="008B6A95" w:rsidP="00FB7F3F">
            <w:r w:rsidRPr="0066795C">
              <w:t xml:space="preserve"> Участок тепловых сетей 2 Ø800 мм от УТ-4 до ул. 50 лет Октября                         с переходом ул. Заречная, 2 Ø700 мм от ул. 50 лет Октября в г. Мегионе. 1 этап строительства.</w:t>
            </w:r>
          </w:p>
          <w:p w:rsidR="008B6A95" w:rsidRPr="0066795C" w:rsidRDefault="008B6A95" w:rsidP="00FB7F3F">
            <w:r w:rsidRPr="0066795C">
              <w:t xml:space="preserve">Объем капитальных вложений – 3 306,6 тыс. рублей. Средства бюджета ХМАО 2 479,9 тыс. рублей, 826,6 тыс. рублей – софинансирование        за счет средств местного бюджета. Готовность объекта – 99,9%. </w:t>
            </w:r>
            <w:r w:rsidRPr="0066795C">
              <w:lastRenderedPageBreak/>
              <w:t xml:space="preserve">Планируемый срок ввода объекта в эксплуатацию – 4 кв. 2019 года. </w:t>
            </w:r>
          </w:p>
        </w:tc>
      </w:tr>
      <w:tr w:rsidR="0066795C" w:rsidRPr="0066795C" w:rsidTr="00FB7F3F">
        <w:trPr>
          <w:trHeight w:val="990"/>
        </w:trPr>
        <w:tc>
          <w:tcPr>
            <w:tcW w:w="2093" w:type="dxa"/>
            <w:vMerge/>
            <w:textDirection w:val="btLr"/>
          </w:tcPr>
          <w:p w:rsidR="008B6A95" w:rsidRPr="0066795C" w:rsidRDefault="008B6A95" w:rsidP="00FB7F3F">
            <w:pPr>
              <w:ind w:left="113" w:right="113"/>
              <w:contextualSpacing/>
              <w:jc w:val="center"/>
              <w:rPr>
                <w:rFonts w:eastAsia="+mn-ea"/>
              </w:rPr>
            </w:pPr>
          </w:p>
        </w:tc>
        <w:tc>
          <w:tcPr>
            <w:tcW w:w="7647" w:type="dxa"/>
            <w:vAlign w:val="center"/>
          </w:tcPr>
          <w:p w:rsidR="008B6A95" w:rsidRPr="0066795C" w:rsidRDefault="008B6A95" w:rsidP="00FB7F3F">
            <w:r w:rsidRPr="0066795C">
              <w:t xml:space="preserve">Спортивный центр с универсальным игровым залом и плоскостными спортивными сооружениями в г. Мегионе.  </w:t>
            </w:r>
          </w:p>
          <w:p w:rsidR="008B6A95" w:rsidRPr="0066795C" w:rsidRDefault="008B6A95" w:rsidP="00FB7F3F">
            <w:r w:rsidRPr="0066795C">
              <w:t>Объем капитальных вложений – 138 317,6 тыс. рублей, в том числе средства ХМАО – Югры 129 364,2 тыс. рублей, средства местного бюджета – 8 953,4 тыс. рублей. Готовность здания СЦ – 99,8%. Ведутся работы по комплектации объекта оборудованием. Ориентировочный срок завершения работ по строительству – октябрь 2019 года. Планируемый срок ввода объекта в эксплуатацию – 4 кв. 2019 года.</w:t>
            </w:r>
          </w:p>
        </w:tc>
      </w:tr>
    </w:tbl>
    <w:p w:rsidR="008B6A95" w:rsidRPr="0066795C" w:rsidRDefault="008B6A95" w:rsidP="008B6A95"/>
    <w:p w:rsidR="008B6A95" w:rsidRPr="0066795C" w:rsidRDefault="008B6A95" w:rsidP="008B6A95">
      <w:pPr>
        <w:ind w:firstLine="708"/>
      </w:pPr>
      <w:r w:rsidRPr="0066795C">
        <w:t xml:space="preserve">Финансирование по объектам, включенным в АИП, за январь-сентябрь 2019 года составило 112 737,5 тыс. рублей, в том числе 105 114,2 тыс. рублей средства окружного бюджета, 7 623,3 тыс. рублей средства местного бюджета. </w:t>
      </w:r>
    </w:p>
    <w:p w:rsidR="00597689" w:rsidRDefault="00597689" w:rsidP="00B658AC">
      <w:pPr>
        <w:shd w:val="clear" w:color="auto" w:fill="FFFFFF"/>
      </w:pPr>
    </w:p>
    <w:p w:rsidR="00396A70" w:rsidRPr="0066795C" w:rsidRDefault="00396A70" w:rsidP="00B658AC">
      <w:pPr>
        <w:shd w:val="clear" w:color="auto" w:fill="FFFFFF"/>
      </w:pPr>
    </w:p>
    <w:p w:rsidR="00485F66" w:rsidRPr="0066795C" w:rsidRDefault="00485F66" w:rsidP="00B658AC">
      <w:r w:rsidRPr="0066795C">
        <w:t>ЖИЛИЩНО-КОММУНАЛЬНЫЙ КОМПЛЕКС</w:t>
      </w:r>
    </w:p>
    <w:p w:rsidR="00485F66" w:rsidRPr="0066795C" w:rsidRDefault="00485F66" w:rsidP="00B658AC"/>
    <w:p w:rsidR="00485F66" w:rsidRPr="0066795C" w:rsidRDefault="00485F66" w:rsidP="00CF5B86">
      <w:pPr>
        <w:ind w:firstLine="709"/>
      </w:pPr>
      <w:r w:rsidRPr="0066795C">
        <w:t>По состоянию на 01.10.201</w:t>
      </w:r>
      <w:r w:rsidR="00822915" w:rsidRPr="0066795C">
        <w:t>9</w:t>
      </w:r>
      <w:r w:rsidRPr="0066795C">
        <w:t xml:space="preserve"> дебиторская задолженность за коммунальные услуги по  всем предприятиям жилищно-коммунального хозяйства городского округа город Мегион составила </w:t>
      </w:r>
      <w:r w:rsidR="00822915" w:rsidRPr="0066795C">
        <w:t>670,1</w:t>
      </w:r>
      <w:r w:rsidRPr="0066795C">
        <w:t xml:space="preserve"> млн рублей.</w:t>
      </w:r>
    </w:p>
    <w:p w:rsidR="00485F66" w:rsidRPr="0066795C" w:rsidRDefault="00485F66" w:rsidP="00CF5B86">
      <w:pPr>
        <w:ind w:firstLine="709"/>
      </w:pPr>
      <w:r w:rsidRPr="0066795C">
        <w:t>В целях снижения дебиторской задолженности предприятиями жилищно-коммунального комплекса города проводятся контроль и анализ дебиторской задолженности.</w:t>
      </w:r>
    </w:p>
    <w:p w:rsidR="00485F66" w:rsidRPr="0066795C" w:rsidRDefault="00485F66" w:rsidP="00CF5B86">
      <w:pPr>
        <w:ind w:firstLine="709"/>
      </w:pPr>
      <w:r w:rsidRPr="0066795C">
        <w:t xml:space="preserve">Ежемесячно осуществляется отслеживание долгов, составление реестров должников с остатками сумм по лицевым счетам, подключение юридической службы для проведения работы по досудебному урегулированию. </w:t>
      </w:r>
    </w:p>
    <w:p w:rsidR="00485F66" w:rsidRPr="0066795C" w:rsidRDefault="00485F66" w:rsidP="00CF5B86">
      <w:pPr>
        <w:ind w:firstLine="709"/>
      </w:pPr>
      <w:r w:rsidRPr="0066795C">
        <w:t>В соответствии с пунктом 14 статьи 155 Жилищного Кодекса Российской Федерации предусмотрена мера гражданско-правового воздействия на лиц, которые допускают образование дебиторской задолженности – начисление пени должникам.</w:t>
      </w:r>
    </w:p>
    <w:p w:rsidR="00485F66" w:rsidRPr="0066795C" w:rsidRDefault="00485F66" w:rsidP="00CF5B86">
      <w:pPr>
        <w:ind w:firstLine="709"/>
      </w:pPr>
      <w:r w:rsidRPr="0066795C">
        <w:t>Также в целях снижения задолженности за жилищно-коммунальные услуги администрацией города принимаются  меры по погашению долгов бюджетных учреждений за коммунальные услуги.</w:t>
      </w:r>
    </w:p>
    <w:p w:rsidR="00485F66" w:rsidRPr="0066795C" w:rsidRDefault="00485F66" w:rsidP="00CF5B86">
      <w:pPr>
        <w:ind w:firstLine="709"/>
      </w:pPr>
      <w:r w:rsidRPr="0066795C">
        <w:t xml:space="preserve">Предоставление субсидий населению на территории городского округа город Мегион осуществляет казенное учреждение «Центр социальных выплат» Ханты-Мансийского автономного округа – Югры. </w:t>
      </w:r>
    </w:p>
    <w:p w:rsidR="00485F66" w:rsidRPr="0066795C" w:rsidRDefault="00485F66" w:rsidP="00CF5B86">
      <w:pPr>
        <w:keepNext/>
        <w:widowControl w:val="0"/>
        <w:ind w:firstLine="709"/>
      </w:pPr>
      <w:r w:rsidRPr="0066795C">
        <w:t>На 01.10.201</w:t>
      </w:r>
      <w:r w:rsidR="008B6A95" w:rsidRPr="0066795C">
        <w:t>9</w:t>
      </w:r>
      <w:r w:rsidRPr="0066795C">
        <w:t xml:space="preserve"> число семей, которым были предоставлены субсидии по оплате жилищно-коммунальных услуг сократилось на </w:t>
      </w:r>
      <w:r w:rsidR="008B6A95" w:rsidRPr="0066795C">
        <w:t>30,1</w:t>
      </w:r>
      <w:r w:rsidRPr="0066795C">
        <w:t>% к аналогичному показателю 201</w:t>
      </w:r>
      <w:r w:rsidR="008B6A95" w:rsidRPr="0066795C">
        <w:t>8</w:t>
      </w:r>
      <w:r w:rsidRPr="0066795C">
        <w:t xml:space="preserve"> года и составило </w:t>
      </w:r>
      <w:r w:rsidR="008B6A95" w:rsidRPr="0066795C">
        <w:t>346</w:t>
      </w:r>
      <w:r w:rsidRPr="0066795C">
        <w:t xml:space="preserve"> семей (</w:t>
      </w:r>
      <w:r w:rsidR="008B6A95" w:rsidRPr="0066795C">
        <w:t>495</w:t>
      </w:r>
      <w:r w:rsidRPr="0066795C">
        <w:t xml:space="preserve"> за январь-сентябрь 201</w:t>
      </w:r>
      <w:r w:rsidR="008B6A95" w:rsidRPr="0066795C">
        <w:t>8</w:t>
      </w:r>
      <w:r w:rsidRPr="0066795C">
        <w:t xml:space="preserve"> года). </w:t>
      </w:r>
    </w:p>
    <w:p w:rsidR="00485F66" w:rsidRPr="0066795C" w:rsidRDefault="00485F66" w:rsidP="00CF5B86">
      <w:pPr>
        <w:keepNext/>
        <w:widowControl w:val="0"/>
        <w:ind w:firstLine="709"/>
      </w:pPr>
      <w:r w:rsidRPr="0066795C">
        <w:t xml:space="preserve">Объем предоставленных субсидий на оплату жилого помещения и коммунальных услуг за отчетный период составил </w:t>
      </w:r>
      <w:r w:rsidR="00822915" w:rsidRPr="0066795C">
        <w:t>7,76</w:t>
      </w:r>
      <w:r w:rsidRPr="0066795C">
        <w:t xml:space="preserve"> млн рублей, что на </w:t>
      </w:r>
      <w:r w:rsidR="00FE0970">
        <w:t>64,7</w:t>
      </w:r>
      <w:r w:rsidRPr="0066795C">
        <w:t>% меньше, чем за январь-сентябрь 201</w:t>
      </w:r>
      <w:r w:rsidR="00822915" w:rsidRPr="0066795C">
        <w:t>8</w:t>
      </w:r>
      <w:r w:rsidRPr="0066795C">
        <w:t xml:space="preserve"> года. </w:t>
      </w:r>
    </w:p>
    <w:p w:rsidR="00485F66" w:rsidRPr="0066795C" w:rsidRDefault="00485F66" w:rsidP="00CF5B86">
      <w:pPr>
        <w:keepNext/>
        <w:widowControl w:val="0"/>
        <w:ind w:firstLine="709"/>
      </w:pPr>
      <w:r w:rsidRPr="0066795C">
        <w:t>Снижение как числа получателей так и объемов субсидий происходит в связи  с повышением уровня доходов льготной категории населения на фоне планомерной индексации социальных выплат.</w:t>
      </w:r>
    </w:p>
    <w:p w:rsidR="00485F66" w:rsidRDefault="00485F66" w:rsidP="00CF5B86">
      <w:pPr>
        <w:pStyle w:val="ab"/>
        <w:spacing w:before="0" w:beforeAutospacing="0" w:after="0" w:afterAutospacing="0"/>
        <w:ind w:firstLine="709"/>
        <w:rPr>
          <w:color w:val="auto"/>
        </w:rPr>
      </w:pPr>
    </w:p>
    <w:p w:rsidR="00396A70" w:rsidRPr="0066795C" w:rsidRDefault="00396A70" w:rsidP="00CF5B86">
      <w:pPr>
        <w:pStyle w:val="ab"/>
        <w:spacing w:before="0" w:beforeAutospacing="0" w:after="0" w:afterAutospacing="0"/>
        <w:ind w:firstLine="709"/>
        <w:rPr>
          <w:color w:val="auto"/>
        </w:rPr>
      </w:pPr>
    </w:p>
    <w:p w:rsidR="008B6A95" w:rsidRPr="0066795C" w:rsidRDefault="008B6A95" w:rsidP="0066795C">
      <w:pPr>
        <w:autoSpaceDE w:val="0"/>
        <w:autoSpaceDN w:val="0"/>
        <w:adjustRightInd w:val="0"/>
        <w:jc w:val="left"/>
        <w:outlineLvl w:val="1"/>
      </w:pPr>
      <w:r w:rsidRPr="0066795C">
        <w:t xml:space="preserve">РЕАЛИЗАЦИЯ ГОСУДАРСТВЕННЫХ И МУНИЦИПАЛЬНЫХ ПРОГРАММ  </w:t>
      </w:r>
    </w:p>
    <w:p w:rsidR="008B6A95" w:rsidRPr="0066795C" w:rsidRDefault="008B6A95" w:rsidP="008B6A95">
      <w:pPr>
        <w:autoSpaceDE w:val="0"/>
        <w:autoSpaceDN w:val="0"/>
        <w:adjustRightInd w:val="0"/>
        <w:ind w:firstLine="708"/>
        <w:jc w:val="left"/>
        <w:outlineLvl w:val="1"/>
      </w:pPr>
    </w:p>
    <w:p w:rsidR="008B6A95" w:rsidRPr="0066795C" w:rsidRDefault="008B6A95" w:rsidP="008B6A95">
      <w:pPr>
        <w:ind w:firstLine="709"/>
        <w:rPr>
          <w:rFonts w:eastAsia="Calibri"/>
          <w:lang w:eastAsia="en-US"/>
        </w:rPr>
      </w:pPr>
      <w:r w:rsidRPr="0066795C">
        <w:rPr>
          <w:rFonts w:eastAsia="Calibri"/>
          <w:lang w:eastAsia="en-US"/>
        </w:rPr>
        <w:t>В 2019 году городской округ город Мегион включен в реализацию                                16 государственных программ.</w:t>
      </w:r>
    </w:p>
    <w:p w:rsidR="008B6A95" w:rsidRPr="0066795C" w:rsidRDefault="008B6A95" w:rsidP="008B6A95">
      <w:pPr>
        <w:ind w:firstLine="709"/>
        <w:rPr>
          <w:rFonts w:eastAsia="Calibri"/>
          <w:lang w:eastAsia="en-US"/>
        </w:rPr>
      </w:pPr>
      <w:r w:rsidRPr="0066795C">
        <w:rPr>
          <w:rFonts w:eastAsia="Calibri"/>
          <w:lang w:eastAsia="en-US"/>
        </w:rPr>
        <w:lastRenderedPageBreak/>
        <w:t>План финансирования государственных программ за счет всех источников финансирования на 2019 год составляет 3 046 982,3 тыс. рублей, в том числе:</w:t>
      </w:r>
    </w:p>
    <w:p w:rsidR="008B6A95" w:rsidRPr="0066795C" w:rsidRDefault="008B6A95" w:rsidP="008B6A95">
      <w:pPr>
        <w:ind w:firstLine="709"/>
        <w:rPr>
          <w:rFonts w:eastAsia="Calibri"/>
          <w:lang w:eastAsia="en-US"/>
        </w:rPr>
      </w:pPr>
      <w:r w:rsidRPr="0066795C">
        <w:rPr>
          <w:rFonts w:eastAsia="Calibri"/>
          <w:lang w:eastAsia="en-US"/>
        </w:rPr>
        <w:t>федеральный бюджет – 42 255,7 тыс. рублей;</w:t>
      </w:r>
    </w:p>
    <w:p w:rsidR="008B6A95" w:rsidRPr="0066795C" w:rsidRDefault="008B6A95" w:rsidP="008B6A95">
      <w:pPr>
        <w:ind w:firstLine="709"/>
        <w:rPr>
          <w:rFonts w:eastAsia="Calibri"/>
          <w:lang w:eastAsia="en-US"/>
        </w:rPr>
      </w:pPr>
      <w:r w:rsidRPr="0066795C">
        <w:rPr>
          <w:rFonts w:eastAsia="Calibri"/>
          <w:lang w:eastAsia="en-US"/>
        </w:rPr>
        <w:t>бюджет автономного округа – 2 893 836,4 тыс. рублей;</w:t>
      </w:r>
    </w:p>
    <w:p w:rsidR="008B6A95" w:rsidRPr="0066795C" w:rsidRDefault="008B6A95" w:rsidP="008B6A95">
      <w:pPr>
        <w:ind w:firstLine="709"/>
        <w:rPr>
          <w:rFonts w:eastAsia="Calibri"/>
          <w:lang w:eastAsia="en-US"/>
        </w:rPr>
      </w:pPr>
      <w:r w:rsidRPr="0066795C">
        <w:rPr>
          <w:rFonts w:eastAsia="Calibri"/>
          <w:lang w:eastAsia="en-US"/>
        </w:rPr>
        <w:t>местный бюджет – 110 890,2 тыс. рублей.</w:t>
      </w:r>
    </w:p>
    <w:p w:rsidR="008B6A95" w:rsidRPr="0066795C" w:rsidRDefault="008B6A95" w:rsidP="008B6A95">
      <w:pPr>
        <w:ind w:firstLine="709"/>
        <w:rPr>
          <w:rFonts w:eastAsia="Calibri"/>
          <w:lang w:eastAsia="en-US"/>
        </w:rPr>
      </w:pPr>
      <w:r w:rsidRPr="0066795C">
        <w:rPr>
          <w:rFonts w:eastAsia="Calibri"/>
          <w:lang w:eastAsia="en-US"/>
        </w:rPr>
        <w:t>За январь - сентябрь 2019 года в бюджет города на реализацию государственных программ поступило 2 060 418,9 тыс. рублей, или 67,6% от плановых назначений, в том числе:</w:t>
      </w:r>
    </w:p>
    <w:p w:rsidR="008B6A95" w:rsidRPr="0066795C" w:rsidRDefault="008B6A95" w:rsidP="008B6A95">
      <w:pPr>
        <w:ind w:firstLine="709"/>
        <w:rPr>
          <w:rFonts w:eastAsia="Calibri"/>
          <w:lang w:eastAsia="en-US"/>
        </w:rPr>
      </w:pPr>
      <w:r w:rsidRPr="0066795C">
        <w:rPr>
          <w:rFonts w:eastAsia="Calibri"/>
          <w:lang w:eastAsia="en-US"/>
        </w:rPr>
        <w:t>федеральный бюджет – 13 692,5 тыс. рублей;</w:t>
      </w:r>
    </w:p>
    <w:p w:rsidR="008B6A95" w:rsidRPr="0066795C" w:rsidRDefault="008B6A95" w:rsidP="008B6A95">
      <w:pPr>
        <w:ind w:firstLine="709"/>
        <w:rPr>
          <w:rFonts w:eastAsia="Calibri"/>
          <w:lang w:eastAsia="en-US"/>
        </w:rPr>
      </w:pPr>
      <w:r w:rsidRPr="0066795C">
        <w:rPr>
          <w:rFonts w:eastAsia="Calibri"/>
          <w:lang w:eastAsia="en-US"/>
        </w:rPr>
        <w:t>бюджет автономного округа – 1 992 724,4 тыс. рублей;</w:t>
      </w:r>
    </w:p>
    <w:p w:rsidR="008B6A95" w:rsidRPr="0066795C" w:rsidRDefault="008B6A95" w:rsidP="008B6A95">
      <w:pPr>
        <w:ind w:firstLine="709"/>
        <w:rPr>
          <w:rFonts w:eastAsia="Calibri"/>
          <w:lang w:eastAsia="en-US"/>
        </w:rPr>
      </w:pPr>
      <w:r w:rsidRPr="0066795C">
        <w:rPr>
          <w:rFonts w:eastAsia="Calibri"/>
          <w:lang w:eastAsia="en-US"/>
        </w:rPr>
        <w:t>местный бюджет – 54 002,0 тыс. рублей.</w:t>
      </w:r>
    </w:p>
    <w:p w:rsidR="008B6A95" w:rsidRPr="0066795C" w:rsidRDefault="008B6A95" w:rsidP="008B6A95">
      <w:pPr>
        <w:ind w:firstLine="709"/>
        <w:rPr>
          <w:rFonts w:eastAsia="Calibri"/>
          <w:lang w:eastAsia="en-US"/>
        </w:rPr>
      </w:pPr>
      <w:r w:rsidRPr="0066795C">
        <w:rPr>
          <w:rFonts w:eastAsia="Calibri"/>
          <w:lang w:eastAsia="en-US"/>
        </w:rPr>
        <w:t>По состоянию на 01.10.2019 освоение средств, поступивших на реализацию государственных программ, составило – 1 987 016,6 тыс. рублей, или 96,4% к финансированию (65,2% от плана), в том числе:</w:t>
      </w:r>
    </w:p>
    <w:p w:rsidR="008B6A95" w:rsidRPr="0066795C" w:rsidRDefault="008B6A95" w:rsidP="008B6A95">
      <w:pPr>
        <w:ind w:firstLine="709"/>
        <w:rPr>
          <w:rFonts w:eastAsia="Calibri"/>
          <w:lang w:eastAsia="en-US"/>
        </w:rPr>
      </w:pPr>
      <w:r w:rsidRPr="0066795C">
        <w:rPr>
          <w:rFonts w:eastAsia="Calibri"/>
          <w:lang w:eastAsia="en-US"/>
        </w:rPr>
        <w:t>федеральный бюджет – 13 692,5 тыс. рублей или 100,0% к финансированию 2019 года (32,4% от плана);</w:t>
      </w:r>
    </w:p>
    <w:p w:rsidR="008B6A95" w:rsidRPr="0066795C" w:rsidRDefault="008B6A95" w:rsidP="008B6A95">
      <w:pPr>
        <w:ind w:firstLine="709"/>
        <w:rPr>
          <w:rFonts w:eastAsia="Calibri"/>
          <w:lang w:eastAsia="en-US"/>
        </w:rPr>
      </w:pPr>
      <w:r w:rsidRPr="0066795C">
        <w:rPr>
          <w:rFonts w:eastAsia="Calibri"/>
          <w:lang w:eastAsia="en-US"/>
        </w:rPr>
        <w:t>бюджет автономного округа – 1 919 322,1 тыс. рублей или 96,3% к финансированию 2019 года (66,2% от плана);</w:t>
      </w:r>
    </w:p>
    <w:p w:rsidR="008B6A95" w:rsidRPr="0066795C" w:rsidRDefault="008B6A95" w:rsidP="008B6A95">
      <w:pPr>
        <w:ind w:firstLine="709"/>
        <w:rPr>
          <w:rFonts w:eastAsia="Calibri"/>
          <w:lang w:eastAsia="en-US"/>
        </w:rPr>
      </w:pPr>
      <w:r w:rsidRPr="0066795C">
        <w:rPr>
          <w:rFonts w:eastAsia="Calibri"/>
          <w:lang w:eastAsia="en-US"/>
        </w:rPr>
        <w:t>местный бюджет – 54 002,0 тыс. рублей, или 100,0% к финансированию 2019 года (48,7% от плана).</w:t>
      </w:r>
    </w:p>
    <w:p w:rsidR="008B6A95" w:rsidRPr="0066795C" w:rsidRDefault="008B6A95" w:rsidP="008B6A95">
      <w:pPr>
        <w:ind w:firstLine="708"/>
      </w:pPr>
      <w:r w:rsidRPr="0066795C">
        <w:t>На территории городского округа город Мегион осуществляется реализация 22 муниципальных программ. В бюджете города на финансирование мероприятий муниципальных программ на 2019 год предусмотрены средства в сумме 5 472 566,3 тыс. рублей, из них:</w:t>
      </w:r>
    </w:p>
    <w:p w:rsidR="008B6A95" w:rsidRPr="0066795C" w:rsidRDefault="008B6A95" w:rsidP="008B6A95">
      <w:pPr>
        <w:pStyle w:val="a3"/>
        <w:spacing w:after="0"/>
        <w:ind w:left="0" w:firstLine="708"/>
      </w:pPr>
      <w:r w:rsidRPr="0066795C">
        <w:t>федеральный бюджет – 42 255,7 тыс. рублей;</w:t>
      </w:r>
    </w:p>
    <w:p w:rsidR="008B6A95" w:rsidRPr="0066795C" w:rsidRDefault="008B6A95" w:rsidP="008B6A95">
      <w:pPr>
        <w:ind w:firstLine="709"/>
      </w:pPr>
      <w:r w:rsidRPr="0066795C">
        <w:t>бюджет автономного округа – 3 295 709,4 тыс. рублей;</w:t>
      </w:r>
    </w:p>
    <w:p w:rsidR="008B6A95" w:rsidRPr="0066795C" w:rsidRDefault="008B6A95" w:rsidP="008B6A95">
      <w:pPr>
        <w:ind w:firstLine="709"/>
      </w:pPr>
      <w:r w:rsidRPr="0066795C">
        <w:t>местный бюджет – 2 134 601,2 тыс. рублей.</w:t>
      </w:r>
    </w:p>
    <w:p w:rsidR="008B6A95" w:rsidRPr="0066795C" w:rsidRDefault="008B6A95" w:rsidP="008B6A95">
      <w:pPr>
        <w:ind w:firstLine="709"/>
      </w:pPr>
      <w:r w:rsidRPr="0066795C">
        <w:t>За 9 месяцев 2019 года исполнение муниципальных программ составило 3 400 206,2 тыс. рублей, или 62,1% от плана на 2019 год, в том числе:</w:t>
      </w:r>
    </w:p>
    <w:p w:rsidR="008B6A95" w:rsidRPr="0066795C" w:rsidRDefault="008B6A95" w:rsidP="008B6A95">
      <w:pPr>
        <w:ind w:firstLine="709"/>
      </w:pPr>
      <w:r w:rsidRPr="0066795C">
        <w:t>федеральный бюджет – 13 692,5 тыс. рублей, или 32,4% к плану 2019 года;</w:t>
      </w:r>
    </w:p>
    <w:p w:rsidR="008B6A95" w:rsidRPr="0066795C" w:rsidRDefault="008B6A95" w:rsidP="008B6A95">
      <w:pPr>
        <w:ind w:firstLine="709"/>
      </w:pPr>
      <w:r w:rsidRPr="0066795C">
        <w:t>бюджет автономного округа – 1 878 731,5 тыс. рублей, или 57,0% к плану 2019 года;</w:t>
      </w:r>
    </w:p>
    <w:p w:rsidR="008B6A95" w:rsidRPr="0066795C" w:rsidRDefault="008B6A95" w:rsidP="008B6A95">
      <w:pPr>
        <w:ind w:firstLine="709"/>
      </w:pPr>
      <w:r w:rsidRPr="0066795C">
        <w:t>местный бюджет – 1 507 782,2 тыс. рублей или 70,6% к плану 2019 года.</w:t>
      </w:r>
    </w:p>
    <w:p w:rsidR="00A87D97" w:rsidRDefault="00A87D97" w:rsidP="00CF5B86">
      <w:pPr>
        <w:ind w:firstLine="709"/>
      </w:pPr>
    </w:p>
    <w:p w:rsidR="00396A70" w:rsidRPr="0066795C" w:rsidRDefault="00396A70" w:rsidP="00CF5B86">
      <w:pPr>
        <w:ind w:firstLine="709"/>
      </w:pPr>
    </w:p>
    <w:p w:rsidR="00E3092F" w:rsidRPr="0066795C" w:rsidRDefault="00E3092F" w:rsidP="00E3092F">
      <w:r w:rsidRPr="0066795C">
        <w:t>ПОТРЕБИТЕЛЬСКИЙ РЫНОК</w:t>
      </w:r>
    </w:p>
    <w:p w:rsidR="00E3092F" w:rsidRPr="0066795C" w:rsidRDefault="00E3092F" w:rsidP="00E3092F"/>
    <w:p w:rsidR="00E3092F" w:rsidRPr="0066795C" w:rsidRDefault="00E3092F" w:rsidP="00E3092F">
      <w:pPr>
        <w:ind w:firstLine="709"/>
      </w:pPr>
      <w:r w:rsidRPr="0066795C">
        <w:t xml:space="preserve">По состоянию на 01.10.2019 года на территории городского округа город Мегион расположено 228 объектов розничной торговли (магазины – 191 ед., киоски – 2 ед., павильоны - 35 ед.), торговой площадью 39,9 тыс. кв. м. </w:t>
      </w:r>
    </w:p>
    <w:p w:rsidR="00E3092F" w:rsidRPr="0066795C" w:rsidRDefault="00E3092F" w:rsidP="00E3092F">
      <w:pPr>
        <w:ind w:firstLine="709"/>
      </w:pPr>
      <w:r w:rsidRPr="0066795C">
        <w:t xml:space="preserve">Сегодня на потребительском рынке городского округа город Мегион преобладающей формой является частная форма собственности. Оборот розничной торговли, полученный через все каналы реализации, за 9 месяцев 2019 года составил 8 097,8 млн рублей, что в действующих ценах на 1,7% выше объема аналогичного периода 2018 года. </w:t>
      </w:r>
    </w:p>
    <w:p w:rsidR="00E3092F" w:rsidRPr="0066795C" w:rsidRDefault="00E3092F" w:rsidP="00E3092F">
      <w:pPr>
        <w:ind w:firstLine="709"/>
      </w:pPr>
      <w:r w:rsidRPr="0066795C">
        <w:t>В структуре товарооборота за отчетный период 2019 года удельный вес продовольственных товаров составляет более 50,0%.</w:t>
      </w:r>
    </w:p>
    <w:p w:rsidR="00E3092F" w:rsidRPr="0066795C" w:rsidRDefault="00E3092F" w:rsidP="00E3092F">
      <w:pPr>
        <w:ind w:firstLine="709"/>
      </w:pPr>
      <w:r w:rsidRPr="0066795C">
        <w:t xml:space="preserve">Оборот розничной торговли городского округа город Мегион за январь-сентябрь 2019 года в расчете на душу населения составил 149,6 тыс. рублей, что на 2,5% выше   аналогичного периода 2018 года. </w:t>
      </w:r>
    </w:p>
    <w:p w:rsidR="00E3092F" w:rsidRPr="0066795C" w:rsidRDefault="00E3092F" w:rsidP="00E3092F">
      <w:pPr>
        <w:autoSpaceDE w:val="0"/>
        <w:autoSpaceDN w:val="0"/>
        <w:adjustRightInd w:val="0"/>
        <w:ind w:firstLine="709"/>
      </w:pPr>
      <w:r w:rsidRPr="0066795C">
        <w:t xml:space="preserve">За 2019 год объем розничного товарооборота, по предварительным данным составит 11 078,7 млн рублей, увеличившись к объему товарооборота 2018 года на 5,3%. </w:t>
      </w:r>
    </w:p>
    <w:p w:rsidR="00E3092F" w:rsidRPr="0066795C" w:rsidRDefault="00E3092F" w:rsidP="00E3092F">
      <w:pPr>
        <w:ind w:firstLine="709"/>
      </w:pPr>
      <w:r w:rsidRPr="0066795C">
        <w:t>Обеспеченность населения городского округа город Мегион торговыми площадями по состоянию на 01.10.2019 составила 166,6% к нормативу.</w:t>
      </w:r>
    </w:p>
    <w:p w:rsidR="00E3092F" w:rsidRPr="0066795C" w:rsidRDefault="00E3092F" w:rsidP="00E3092F">
      <w:pPr>
        <w:ind w:firstLine="709"/>
      </w:pPr>
      <w:r w:rsidRPr="0066795C">
        <w:lastRenderedPageBreak/>
        <w:t xml:space="preserve">Сеть организаций общественного питания представлена в городе такими формами как кафе, столовые, рестораны. </w:t>
      </w:r>
    </w:p>
    <w:p w:rsidR="00E3092F" w:rsidRPr="0066795C" w:rsidRDefault="00E3092F" w:rsidP="00E3092F">
      <w:pPr>
        <w:ind w:firstLine="709"/>
      </w:pPr>
      <w:r w:rsidRPr="0066795C">
        <w:t>Оборот общественного питания за январь-сентябрь 2019 года составил 1 627,4 млн рублей, и увеличился по сравнению с аналогичным периодом 2018 года на 3,9% в действующих ценах. В оценке 2019 года оборот общественного питания ожидается в размере 2 385,1 млн рублей, увеличившись к уровню 2018 года на 5,0%. По состоянию на 01.10.2019 в городе работает 91 предприятие общественного питания на 4687 посадочных мест, в том числе по видам:</w:t>
      </w:r>
    </w:p>
    <w:p w:rsidR="00E3092F" w:rsidRPr="0066795C" w:rsidRDefault="00E3092F" w:rsidP="00E3092F">
      <w:pPr>
        <w:ind w:firstLine="709"/>
      </w:pPr>
      <w:r w:rsidRPr="0066795C">
        <w:t>рестораны – 1 ед., 60 пос. мест;</w:t>
      </w:r>
    </w:p>
    <w:p w:rsidR="00E3092F" w:rsidRPr="0066795C" w:rsidRDefault="00E3092F" w:rsidP="00E3092F">
      <w:pPr>
        <w:ind w:firstLine="709"/>
      </w:pPr>
      <w:r w:rsidRPr="0066795C">
        <w:t>кафе – 28 ед., 1634 пос. мест;</w:t>
      </w:r>
    </w:p>
    <w:p w:rsidR="00E3092F" w:rsidRPr="0066795C" w:rsidRDefault="00E3092F" w:rsidP="00E3092F">
      <w:pPr>
        <w:ind w:firstLine="709"/>
      </w:pPr>
      <w:r w:rsidRPr="0066795C">
        <w:t>бары – 21 ед., 441 пос. мест;</w:t>
      </w:r>
    </w:p>
    <w:p w:rsidR="00E3092F" w:rsidRPr="0066795C" w:rsidRDefault="00E3092F" w:rsidP="00E3092F">
      <w:pPr>
        <w:ind w:firstLine="709"/>
      </w:pPr>
      <w:r w:rsidRPr="0066795C">
        <w:t>иные (буфеты, закусочные, магазины-кулинарии) – 20 ед., 220 пос. места;</w:t>
      </w:r>
    </w:p>
    <w:p w:rsidR="00E3092F" w:rsidRPr="0066795C" w:rsidRDefault="00E3092F" w:rsidP="00E3092F">
      <w:pPr>
        <w:ind w:firstLine="709"/>
      </w:pPr>
      <w:r w:rsidRPr="0066795C">
        <w:t>столовые – 21 ед., 2332 пос. мест, из них школьные столовые – 10 ед., 1836 пос. мест.</w:t>
      </w:r>
    </w:p>
    <w:p w:rsidR="00E3092F" w:rsidRPr="0066795C" w:rsidRDefault="00E3092F" w:rsidP="00E3092F">
      <w:pPr>
        <w:ind w:firstLine="709"/>
      </w:pPr>
      <w:r w:rsidRPr="0066795C">
        <w:t xml:space="preserve">За январь-сентябрь 2019 года оборот общественного питания в расчете на душу населения составил 30,1 тыс. рублей против 28,7 тыс. рублей в январе-сентябре 2018 года. </w:t>
      </w:r>
    </w:p>
    <w:p w:rsidR="00E3092F" w:rsidRPr="0066795C" w:rsidRDefault="00E3092F" w:rsidP="00E3092F">
      <w:pPr>
        <w:ind w:firstLine="709"/>
      </w:pPr>
      <w:r w:rsidRPr="0066795C">
        <w:t>Помимо торговли и общественного питания, потребительский рынок насыщают также платные услуги.</w:t>
      </w:r>
    </w:p>
    <w:p w:rsidR="00E3092F" w:rsidRPr="0066795C" w:rsidRDefault="00E3092F" w:rsidP="00E3092F">
      <w:pPr>
        <w:ind w:firstLine="709"/>
      </w:pPr>
      <w:r w:rsidRPr="0066795C">
        <w:t>По предварительным данным объем платных услуг за 9 месяцев 2019 года, оказанных населению городского округа город Мегион</w:t>
      </w:r>
      <w:r w:rsidR="00953444">
        <w:t>,</w:t>
      </w:r>
      <w:r w:rsidRPr="0066795C">
        <w:t xml:space="preserve"> составил 2765,2 млн рублей, или 101,2% к аналогичному периоду 2018 года. Более 50% объема платных услуг в январе-сентябре 2019 года формировался крупными и средними организациями. По оценке в 2019 году объем платных услуг населению составит 4 102,6 млн рублей или 104,3% в действующих ценах к уровню 2018 года.</w:t>
      </w:r>
    </w:p>
    <w:p w:rsidR="00E3092F" w:rsidRPr="0066795C" w:rsidRDefault="00E3092F" w:rsidP="00E3092F">
      <w:pPr>
        <w:pStyle w:val="ab"/>
        <w:spacing w:before="0" w:beforeAutospacing="0" w:after="0" w:afterAutospacing="0"/>
        <w:ind w:firstLine="709"/>
        <w:rPr>
          <w:color w:val="auto"/>
        </w:rPr>
      </w:pPr>
      <w:r w:rsidRPr="0066795C">
        <w:rPr>
          <w:color w:val="auto"/>
        </w:rPr>
        <w:t>Структура платных услуг населению в отчетном периоде не изменилась, по-прежнему преобладающую долю занимают такие виды услуг как: жилищно-коммунальные, медицинские, услуги связи, транспортные и бытовые услуги.</w:t>
      </w:r>
    </w:p>
    <w:p w:rsidR="00E3092F" w:rsidRPr="0066795C" w:rsidRDefault="00E3092F" w:rsidP="00E3092F">
      <w:pPr>
        <w:ind w:firstLine="709"/>
      </w:pPr>
      <w:r w:rsidRPr="0066795C">
        <w:t xml:space="preserve">Каждому жителю города за отчетный период было оказано платных услуг в среднем на 51,1 тыс. рублей. </w:t>
      </w:r>
    </w:p>
    <w:p w:rsidR="00E3092F" w:rsidRPr="0066795C" w:rsidRDefault="00E3092F" w:rsidP="00E3092F">
      <w:pPr>
        <w:ind w:firstLine="709"/>
      </w:pPr>
      <w:r w:rsidRPr="0066795C">
        <w:t xml:space="preserve">Сохраняется спрос на бытовые услуги. По состоянию на 01.10.2019 бытовые услуги на территории городского округа город Мегион оказывали 136 предприятий (без учета станций технического обслуживания). Индивидуальные предприниматели доминируют на рынке бытовых услуг. </w:t>
      </w:r>
    </w:p>
    <w:p w:rsidR="00E3092F" w:rsidRPr="0066795C" w:rsidRDefault="00E3092F" w:rsidP="00E3092F">
      <w:pPr>
        <w:ind w:firstLine="709"/>
      </w:pPr>
      <w:r w:rsidRPr="0066795C">
        <w:t>Объем бытовых услуг за январь-сентябрь 2019 года составил 202,2 млн рублей, что в действующих ценах на 1,5% выше уровня аналогичного периода 2018 года. По оценке в 2019 году объем бытовых услуг населению составит 251,5 млн рублей или 2,1% в действующих ценах к уровню 2018 года.</w:t>
      </w:r>
    </w:p>
    <w:p w:rsidR="00E3092F" w:rsidRPr="0066795C" w:rsidRDefault="00E3092F" w:rsidP="00E3092F">
      <w:pPr>
        <w:ind w:firstLine="709"/>
      </w:pPr>
      <w:r w:rsidRPr="0066795C">
        <w:t xml:space="preserve"> В расчете на одного жителя города объем бытовых услуг за отчетный период составил 3,7 тыс. рублей.</w:t>
      </w:r>
    </w:p>
    <w:p w:rsidR="00E3092F" w:rsidRPr="0066795C" w:rsidRDefault="00E3092F" w:rsidP="00E3092F">
      <w:pPr>
        <w:ind w:firstLine="709"/>
      </w:pPr>
      <w:r w:rsidRPr="0066795C">
        <w:t xml:space="preserve">Из общего объема бытовых услуг наибольшим спросом пользуются услуги парикмахерских, фотоателье, пошив и изготовление одежды. </w:t>
      </w:r>
    </w:p>
    <w:p w:rsidR="00E3092F" w:rsidRPr="0066795C" w:rsidRDefault="00E3092F" w:rsidP="00E3092F">
      <w:pPr>
        <w:ind w:firstLine="709"/>
      </w:pPr>
      <w:r w:rsidRPr="0066795C">
        <w:t>Наиболее неразвитыми остаются виды бытовых услуг: услуги проката, услуги прачечных самообслуживания, ремонт сумок, зонтов и прочих галантерейных изделий, ремонт швейного оборудования, мебели, уборка квартир, уход за больными, престарелыми и инвалидами, услуги нянь, производство трикотажных изделий.</w:t>
      </w:r>
    </w:p>
    <w:p w:rsidR="00E3092F" w:rsidRPr="0066795C" w:rsidRDefault="00E3092F" w:rsidP="00E3092F">
      <w:pPr>
        <w:ind w:firstLine="709"/>
        <w:rPr>
          <w:rStyle w:val="apple-style-span"/>
        </w:rPr>
      </w:pPr>
      <w:r w:rsidRPr="0066795C">
        <w:t xml:space="preserve">Основными направлениями развития потребительского рынка на 2019 год является создание условий для удовлетворения спроса населения на потребительские товары и услуги, </w:t>
      </w:r>
      <w:r w:rsidRPr="0066795C">
        <w:rPr>
          <w:rStyle w:val="apple-style-span"/>
        </w:rPr>
        <w:t>совершенствование инфраструктуры потребительского рынка, обеспечение доступа к товарам и услугам всех социальных групп населения городского округа город Мегион.</w:t>
      </w:r>
    </w:p>
    <w:p w:rsidR="005D7B28" w:rsidRDefault="005D7B28" w:rsidP="00B658AC">
      <w:pPr>
        <w:rPr>
          <w:rStyle w:val="apple-style-span"/>
        </w:rPr>
      </w:pPr>
    </w:p>
    <w:p w:rsidR="00396A70" w:rsidRDefault="00396A70" w:rsidP="00B658AC">
      <w:pPr>
        <w:rPr>
          <w:rStyle w:val="apple-style-span"/>
        </w:rPr>
      </w:pPr>
    </w:p>
    <w:p w:rsidR="002C6781" w:rsidRDefault="002C6781" w:rsidP="00B658AC">
      <w:pPr>
        <w:rPr>
          <w:rStyle w:val="apple-style-span"/>
        </w:rPr>
      </w:pPr>
    </w:p>
    <w:p w:rsidR="002C6781" w:rsidRDefault="002C6781" w:rsidP="00B658AC">
      <w:pPr>
        <w:rPr>
          <w:rStyle w:val="apple-style-span"/>
        </w:rPr>
      </w:pPr>
    </w:p>
    <w:p w:rsidR="00E3092F" w:rsidRPr="0066795C" w:rsidRDefault="00E3092F" w:rsidP="00E3092F">
      <w:pPr>
        <w:pStyle w:val="a3"/>
        <w:spacing w:after="0"/>
        <w:ind w:left="0"/>
      </w:pPr>
      <w:r w:rsidRPr="0066795C">
        <w:lastRenderedPageBreak/>
        <w:t>МАЛОЕ ПРЕДПРИНИМАТЕЛЬСТВО</w:t>
      </w:r>
    </w:p>
    <w:p w:rsidR="00E3092F" w:rsidRPr="0066795C" w:rsidRDefault="00E3092F" w:rsidP="00E3092F">
      <w:pPr>
        <w:pStyle w:val="a3"/>
        <w:spacing w:after="0"/>
        <w:ind w:left="0"/>
        <w:rPr>
          <w:sz w:val="16"/>
          <w:szCs w:val="16"/>
        </w:rPr>
      </w:pPr>
    </w:p>
    <w:p w:rsidR="00E3092F" w:rsidRPr="0066795C" w:rsidRDefault="00E3092F" w:rsidP="00E3092F">
      <w:pPr>
        <w:ind w:firstLine="709"/>
      </w:pPr>
      <w:bookmarkStart w:id="1" w:name="top"/>
      <w:r w:rsidRPr="0066795C">
        <w:t>Малое и среднее предпринимательство является динамично развивающимся элементом рыночной экономики. Субъекты малого и среднего предпри</w:t>
      </w:r>
      <w:r w:rsidRPr="0066795C">
        <w:softHyphen/>
        <w:t>ниматель</w:t>
      </w:r>
      <w:r w:rsidRPr="0066795C">
        <w:softHyphen/>
        <w:t>ства присутствуют практически во всех отраслях производственной и непроизводственной сфер деятельности.</w:t>
      </w:r>
    </w:p>
    <w:p w:rsidR="00E3092F" w:rsidRPr="0066795C" w:rsidRDefault="00E3092F" w:rsidP="00E3092F">
      <w:pPr>
        <w:ind w:firstLine="709"/>
      </w:pPr>
      <w:r w:rsidRPr="0066795C">
        <w:t>Развитие малого и среднего предпри</w:t>
      </w:r>
      <w:r w:rsidRPr="0066795C">
        <w:softHyphen/>
        <w:t>ниматель</w:t>
      </w:r>
      <w:r w:rsidRPr="0066795C">
        <w:softHyphen/>
        <w:t>ства способствует повышению благосостояния граждан, созданию новых рабочих мест, увеличению доходной части бюджета.</w:t>
      </w:r>
    </w:p>
    <w:p w:rsidR="00E3092F" w:rsidRPr="0066795C" w:rsidRDefault="00E3092F" w:rsidP="00E3092F">
      <w:pPr>
        <w:pStyle w:val="ab"/>
        <w:spacing w:before="0" w:beforeAutospacing="0" w:after="0" w:afterAutospacing="0"/>
        <w:ind w:firstLine="709"/>
        <w:rPr>
          <w:color w:val="auto"/>
        </w:rPr>
      </w:pPr>
      <w:r w:rsidRPr="0066795C">
        <w:rPr>
          <w:color w:val="auto"/>
        </w:rPr>
        <w:t xml:space="preserve">По предварительным данным по состоянию на 01.10.2019 на территории городского округа город Мегион </w:t>
      </w:r>
      <w:r w:rsidR="00396A70">
        <w:rPr>
          <w:color w:val="auto"/>
        </w:rPr>
        <w:t>осуществляют деятельность</w:t>
      </w:r>
      <w:r w:rsidRPr="0066795C">
        <w:rPr>
          <w:color w:val="auto"/>
        </w:rPr>
        <w:t xml:space="preserve"> 472 малых и средних предприяти</w:t>
      </w:r>
      <w:r w:rsidR="00396A70">
        <w:rPr>
          <w:color w:val="auto"/>
        </w:rPr>
        <w:t>я</w:t>
      </w:r>
      <w:r w:rsidRPr="0066795C">
        <w:rPr>
          <w:color w:val="auto"/>
        </w:rPr>
        <w:t xml:space="preserve"> и 1327 индивидуальных предпринимателя. Из общего числа зарегистрированных субъектов малого и среднего бизнеса, постоянно осуществляют свою деятельность около 61%.</w:t>
      </w:r>
    </w:p>
    <w:p w:rsidR="00E3092F" w:rsidRPr="0066795C" w:rsidRDefault="00E3092F" w:rsidP="00E3092F">
      <w:pPr>
        <w:adjustRightInd w:val="0"/>
        <w:ind w:firstLine="709"/>
      </w:pPr>
      <w:r w:rsidRPr="0066795C">
        <w:t xml:space="preserve">По оценке общая численность занятых в малом и среднем бизнесе составляет 8,1 тыс. человек, или 24,8% от общего числа занятых в экономике города (32,7 тыс. человек). </w:t>
      </w:r>
      <w:bookmarkEnd w:id="1"/>
    </w:p>
    <w:p w:rsidR="00E3092F" w:rsidRPr="0066795C" w:rsidRDefault="00E3092F" w:rsidP="00E3092F">
      <w:pPr>
        <w:ind w:firstLine="709"/>
      </w:pPr>
      <w:r w:rsidRPr="0066795C">
        <w:t>В целом на тысячу человек населения городского округа город Мегион приходится 8,7 малых и средних предприятий и 24,5 индивидуальных предпринимателя. </w:t>
      </w:r>
    </w:p>
    <w:p w:rsidR="00E3092F" w:rsidRDefault="00E3092F" w:rsidP="00396A70">
      <w:pPr>
        <w:pStyle w:val="ab"/>
        <w:spacing w:before="0" w:beforeAutospacing="0" w:after="0" w:afterAutospacing="0"/>
        <w:ind w:firstLine="709"/>
        <w:rPr>
          <w:color w:val="auto"/>
        </w:rPr>
      </w:pPr>
      <w:r w:rsidRPr="0066795C">
        <w:rPr>
          <w:color w:val="auto"/>
        </w:rPr>
        <w:t>Практически неизменной на протяжении последних лет остается отраслевая структура малого бизнеса. Наиболее распространенными видами деятельности малых и микропредприятий остаются такие отрасли экономики, как оптовая и розничная торговля, транспорт и связь, операции с недвижимым имуществом, аренда и предоставление услуг.</w:t>
      </w:r>
    </w:p>
    <w:p w:rsidR="00396A70" w:rsidRDefault="00396A70" w:rsidP="00396A70">
      <w:pPr>
        <w:pStyle w:val="a3"/>
        <w:spacing w:after="0"/>
        <w:ind w:firstLine="709"/>
      </w:pPr>
      <w:r>
        <w:t>В 2019</w:t>
      </w:r>
      <w:r w:rsidRPr="00D31245">
        <w:t xml:space="preserve"> году численность малых и средних предприятий </w:t>
      </w:r>
      <w:r>
        <w:t>оценивается на уровне</w:t>
      </w:r>
      <w:r w:rsidRPr="00D31245">
        <w:t xml:space="preserve"> </w:t>
      </w:r>
      <w:r>
        <w:t>487</w:t>
      </w:r>
      <w:r w:rsidRPr="00D31245">
        <w:t xml:space="preserve"> единиц</w:t>
      </w:r>
      <w:r>
        <w:t xml:space="preserve"> что на 14 единиц меньше 2018 года</w:t>
      </w:r>
      <w:r w:rsidRPr="00D31245">
        <w:t xml:space="preserve">. </w:t>
      </w:r>
      <w:r>
        <w:t>Отрицательная динамика показателей численности субъектов малого и среднего предпринимательства на территории определяется такими факторами как:</w:t>
      </w:r>
    </w:p>
    <w:p w:rsidR="00396A70" w:rsidRDefault="00396A70" w:rsidP="00396A70">
      <w:pPr>
        <w:pStyle w:val="a3"/>
        <w:spacing w:after="0"/>
        <w:ind w:firstLine="709"/>
      </w:pPr>
      <w:r>
        <w:t xml:space="preserve">1.Снижение покупательского спроса и соответственно, сокращение деятельности в сфере торговли и услуг. В настоящее время малый бизнес вытеснили крупные сети: «Магнит», «Пятерочка», «Монетка, </w:t>
      </w:r>
      <w:r w:rsidRPr="00F77FD4">
        <w:rPr>
          <w:rFonts w:eastAsia="Calibri Light"/>
        </w:rPr>
        <w:t>«Оптима»</w:t>
      </w:r>
      <w:r>
        <w:rPr>
          <w:rFonts w:eastAsia="Calibri Light"/>
        </w:rPr>
        <w:t xml:space="preserve"> и др. Кроме того, расчет доля покупок населения через интернет-магазины. </w:t>
      </w:r>
    </w:p>
    <w:p w:rsidR="00396A70" w:rsidRDefault="00396A70" w:rsidP="00396A70">
      <w:pPr>
        <w:pStyle w:val="a3"/>
        <w:spacing w:after="0"/>
        <w:ind w:firstLine="709"/>
      </w:pPr>
      <w:r>
        <w:t>2.Увеличение размера взносов в страховые фонды (ПФР), а также корректирующего коэффициента для субъектов, чьи виды деятельности предполагают патентную систему налогообложения.</w:t>
      </w:r>
    </w:p>
    <w:p w:rsidR="00396A70" w:rsidRDefault="00396A70" w:rsidP="00396A70">
      <w:pPr>
        <w:pStyle w:val="a3"/>
        <w:spacing w:after="0"/>
        <w:ind w:firstLine="709"/>
      </w:pPr>
      <w:r>
        <w:t>3.Повышение с 01.01.2019 размера сбора налога на добавленную стоимость на 2 процентных пункта, а также переход с 01.07.2019 на онлайн-кассы представителей микробизнеса.</w:t>
      </w:r>
    </w:p>
    <w:p w:rsidR="00396A70" w:rsidRDefault="00396A70" w:rsidP="00396A70">
      <w:pPr>
        <w:pStyle w:val="a3"/>
        <w:spacing w:after="0"/>
        <w:ind w:firstLine="709"/>
      </w:pPr>
      <w:r>
        <w:t>4.Изменение методики учета субъектов предпринимательства. С 2018 года сведения о количестве субъектов малого и среднего предпринимательства, зарегистрированных на территории, сформированы в соответствии с Единым реестром субъектов малого и среднего предпринимательства электронного сервиса федеральной налоговой службы.</w:t>
      </w:r>
    </w:p>
    <w:p w:rsidR="00396A70" w:rsidRPr="00A9789B" w:rsidRDefault="00396A70" w:rsidP="00396A70">
      <w:pPr>
        <w:pStyle w:val="a3"/>
        <w:spacing w:after="0"/>
        <w:ind w:firstLine="709"/>
      </w:pPr>
      <w:r w:rsidRPr="00A9789B">
        <w:t>Оценка количества субъектов малого и среднего предпринимательства произведена с учетом субъектов предпринимательства, осуществляющих свою деятельность, но не предоставивших свою отчетность в установленные сроки в налоговый орган, и в связи с этим не отраженным в Едином реестре субъектов малого и среднего предпринимательства.</w:t>
      </w:r>
    </w:p>
    <w:p w:rsidR="00E3092F" w:rsidRPr="0066795C" w:rsidRDefault="00E3092F" w:rsidP="00396A70">
      <w:pPr>
        <w:ind w:firstLine="709"/>
      </w:pPr>
      <w:r w:rsidRPr="0066795C">
        <w:t>Объем налоговых поступлений в городской бюджет от субъектов малого бизнеса за январь-сентябрь 2019 года составил 136,7 млн рублей, в том числе:</w:t>
      </w:r>
    </w:p>
    <w:p w:rsidR="00E3092F" w:rsidRPr="0066795C" w:rsidRDefault="00E3092F" w:rsidP="00396A70">
      <w:pPr>
        <w:ind w:firstLine="709"/>
        <w:rPr>
          <w:rFonts w:ascii="Times New Roman CYR" w:hAnsi="Times New Roman CYR" w:cs="Times New Roman CYR"/>
        </w:rPr>
      </w:pPr>
      <w:r w:rsidRPr="0066795C">
        <w:rPr>
          <w:rFonts w:ascii="Times New Roman CYR" w:hAnsi="Times New Roman CYR" w:cs="Times New Roman CYR"/>
        </w:rPr>
        <w:t>в виде единого налога на вмененный доход – 24,6 млн рублей;</w:t>
      </w:r>
    </w:p>
    <w:p w:rsidR="00E3092F" w:rsidRPr="0066795C" w:rsidRDefault="00E3092F" w:rsidP="00396A70">
      <w:pPr>
        <w:ind w:firstLine="709"/>
        <w:rPr>
          <w:rFonts w:ascii="Times New Roman CYR" w:hAnsi="Times New Roman CYR" w:cs="Times New Roman CYR"/>
        </w:rPr>
      </w:pPr>
      <w:r w:rsidRPr="0066795C">
        <w:rPr>
          <w:rFonts w:ascii="Times New Roman CYR" w:hAnsi="Times New Roman CYR" w:cs="Times New Roman CYR"/>
        </w:rPr>
        <w:t>по упрощенной системе налогообложения – 107,3 млн рублей;</w:t>
      </w:r>
    </w:p>
    <w:p w:rsidR="00E3092F" w:rsidRPr="0066795C" w:rsidRDefault="00E3092F" w:rsidP="00396A70">
      <w:pPr>
        <w:ind w:firstLine="709"/>
        <w:rPr>
          <w:rFonts w:ascii="Times New Roman CYR" w:hAnsi="Times New Roman CYR" w:cs="Times New Roman CYR"/>
        </w:rPr>
      </w:pPr>
      <w:r w:rsidRPr="0066795C">
        <w:rPr>
          <w:rFonts w:ascii="Times New Roman CYR" w:hAnsi="Times New Roman CYR" w:cs="Times New Roman CYR"/>
        </w:rPr>
        <w:t>в виде стоимости патента в связи с применением упрощенной системы налогообложения – 4,8 млн рублей.</w:t>
      </w:r>
    </w:p>
    <w:p w:rsidR="00E3092F" w:rsidRPr="0066795C" w:rsidRDefault="00E3092F" w:rsidP="00E3092F">
      <w:pPr>
        <w:ind w:firstLine="709"/>
      </w:pPr>
      <w:r w:rsidRPr="0066795C">
        <w:lastRenderedPageBreak/>
        <w:t>Удельный вес налогов на совокупный доход в общем объеме поступивших налоговых доходов в бюджет городского округа город Мегион снизился с 17,2% в январе-сентябре 2018 года до 15,8% в январе-сентябре 2019 года.</w:t>
      </w:r>
    </w:p>
    <w:p w:rsidR="00E3092F" w:rsidRPr="0066795C" w:rsidRDefault="00E3092F" w:rsidP="00E3092F">
      <w:pPr>
        <w:pStyle w:val="ab"/>
        <w:spacing w:before="0" w:beforeAutospacing="0" w:after="0" w:afterAutospacing="0"/>
        <w:ind w:firstLine="709"/>
        <w:rPr>
          <w:rStyle w:val="apple-style-span"/>
          <w:color w:val="auto"/>
        </w:rPr>
      </w:pPr>
      <w:r w:rsidRPr="0066795C">
        <w:rPr>
          <w:color w:val="auto"/>
        </w:rPr>
        <w:t>Основным источником финансирования деятельности сферы малого и среднего предпринимательства по-прежнему остаются личные сбережения предпринимателей. Привлечение заемных и кредитных ресурсов остается для предпринимателей достаточно проблематичным.</w:t>
      </w:r>
    </w:p>
    <w:p w:rsidR="00E3092F" w:rsidRPr="0066795C" w:rsidRDefault="00E3092F" w:rsidP="00E3092F">
      <w:pPr>
        <w:ind w:firstLine="709"/>
      </w:pPr>
      <w:r w:rsidRPr="0066795C">
        <w:rPr>
          <w:rStyle w:val="apple-style-span"/>
        </w:rPr>
        <w:t xml:space="preserve">Одним из эффективных механизмов поддержки и развития малого и среднего предпринимательства является развитие инфраструктуры поддержки малого и среднего предпринимательства, а также реализация муниципальной программы «Поддержка и развитие малого и среднего предпринимательства на территории городского округа город Мегион на 2019 – 2025 годах». </w:t>
      </w:r>
    </w:p>
    <w:p w:rsidR="00396A70" w:rsidRPr="00D31245" w:rsidRDefault="00396A70" w:rsidP="00396A70">
      <w:pPr>
        <w:pStyle w:val="a3"/>
        <w:spacing w:after="0"/>
        <w:ind w:left="0" w:firstLine="709"/>
      </w:pPr>
      <w:r w:rsidRPr="00A9789B">
        <w:t>Несмотря на меры поддержки, малый бизнес по-прежнему находится в сложной</w:t>
      </w:r>
      <w:r>
        <w:t xml:space="preserve"> ситуации: послабления и льготы с одной стороны дополняются дальнейшим усилением налоговой нагрузки, сложностью получения кредитных средств, административными барьерами и прочими ограничивающими факторами.</w:t>
      </w:r>
    </w:p>
    <w:p w:rsidR="00396A70" w:rsidRDefault="00396A70" w:rsidP="00396A70">
      <w:pPr>
        <w:pStyle w:val="a3"/>
        <w:spacing w:after="0"/>
        <w:ind w:left="0" w:firstLine="709"/>
      </w:pPr>
      <w:r>
        <w:t>Большая часть трудностей (проблем) в сфере малого и среднего предпринимательства присуща не только территории городского округа, но и другим муниципальным образованиям автономного округа, а также России в целом, и требует системного общегосударственного решения.</w:t>
      </w:r>
    </w:p>
    <w:p w:rsidR="00137289" w:rsidRDefault="00137289" w:rsidP="00396A70">
      <w:pPr>
        <w:ind w:firstLine="709"/>
      </w:pPr>
    </w:p>
    <w:p w:rsidR="00396A70" w:rsidRPr="0066795C" w:rsidRDefault="00396A70" w:rsidP="00B658AC"/>
    <w:p w:rsidR="00485F66" w:rsidRPr="0066795C" w:rsidRDefault="00485F66" w:rsidP="00B658AC">
      <w:r w:rsidRPr="0066795C">
        <w:t xml:space="preserve">ТРУД, ЗАНЯТОСТЬ, ОПЛАТА ТРУДА </w:t>
      </w:r>
    </w:p>
    <w:p w:rsidR="0066795C" w:rsidRDefault="0066795C" w:rsidP="00343ED4">
      <w:pPr>
        <w:ind w:firstLine="709"/>
      </w:pPr>
    </w:p>
    <w:p w:rsidR="003666C4" w:rsidRPr="0066795C" w:rsidRDefault="003666C4" w:rsidP="003666C4">
      <w:pPr>
        <w:ind w:firstLine="709"/>
      </w:pPr>
      <w:r w:rsidRPr="0066795C">
        <w:t xml:space="preserve">Численность населения городского округа город Мегион в экономически активном возрасте составляет 38637 человек или же 71,4%  от общей численности населения. </w:t>
      </w:r>
    </w:p>
    <w:p w:rsidR="003666C4" w:rsidRPr="0066795C" w:rsidRDefault="003666C4" w:rsidP="003666C4">
      <w:pPr>
        <w:ind w:firstLine="709"/>
      </w:pPr>
      <w:r w:rsidRPr="0066795C">
        <w:t>Из их числа 32</w:t>
      </w:r>
      <w:r>
        <w:t>9</w:t>
      </w:r>
      <w:r w:rsidRPr="0066795C">
        <w:t>10 человек (</w:t>
      </w:r>
      <w:r>
        <w:t>85,2</w:t>
      </w:r>
      <w:r w:rsidRPr="0066795C">
        <w:t>%) заняты на рынке труда городского округа.</w:t>
      </w:r>
    </w:p>
    <w:p w:rsidR="003666C4" w:rsidRPr="0039575A" w:rsidRDefault="003666C4" w:rsidP="003666C4">
      <w:pPr>
        <w:tabs>
          <w:tab w:val="left" w:pos="8763"/>
        </w:tabs>
        <w:ind w:firstLine="709"/>
      </w:pPr>
      <w:r w:rsidRPr="0039575A">
        <w:t xml:space="preserve">Немногим более половины числа </w:t>
      </w:r>
      <w:r>
        <w:t>занятых в экономике, или же 56,1</w:t>
      </w:r>
      <w:r w:rsidRPr="0039575A">
        <w:t xml:space="preserve">%, трудятся в крупных и средних предприятиях городского округа, </w:t>
      </w:r>
      <w:r>
        <w:t>20,2</w:t>
      </w:r>
      <w:r w:rsidRPr="0039575A">
        <w:t xml:space="preserve">% заняты в сфере малого бизнеса, остальные </w:t>
      </w:r>
      <w:r>
        <w:t>23,7</w:t>
      </w:r>
      <w:r w:rsidRPr="0039575A">
        <w:t xml:space="preserve">% учитываются по строке «неучтенный сектор», </w:t>
      </w:r>
      <w:r>
        <w:t xml:space="preserve">который </w:t>
      </w:r>
      <w:r w:rsidRPr="0039575A">
        <w:t>включа</w:t>
      </w:r>
      <w:r>
        <w:t>ет</w:t>
      </w:r>
      <w:r w:rsidRPr="0039575A">
        <w:t xml:space="preserve"> в себя численность работающих  в организациях, дислоцированных на территории городского округа, но производящих работы на других территориях и учитываемых в показателях той территории, работающих вахтовым методом, без заключения трудового договора, безработных граждан.</w:t>
      </w:r>
    </w:p>
    <w:p w:rsidR="003666C4" w:rsidRDefault="003666C4" w:rsidP="003666C4">
      <w:pPr>
        <w:ind w:firstLine="709"/>
        <w:rPr>
          <w:color w:val="000000" w:themeColor="text1"/>
        </w:rPr>
      </w:pPr>
      <w:r w:rsidRPr="00441F15">
        <w:t xml:space="preserve">В связи с тем, что снижается общая численность населения, </w:t>
      </w:r>
      <w:r>
        <w:t>а также</w:t>
      </w:r>
      <w:r w:rsidRPr="00441F15">
        <w:rPr>
          <w:color w:val="000000" w:themeColor="text1"/>
        </w:rPr>
        <w:t xml:space="preserve"> численность населения в трудоспособном возрасте, в оценочном 2019 году численность рабочей силы сни</w:t>
      </w:r>
      <w:r>
        <w:rPr>
          <w:color w:val="000000" w:themeColor="text1"/>
        </w:rPr>
        <w:t>зит</w:t>
      </w:r>
      <w:r w:rsidRPr="00441F15">
        <w:rPr>
          <w:color w:val="000000" w:themeColor="text1"/>
        </w:rPr>
        <w:t xml:space="preserve">ся. </w:t>
      </w:r>
    </w:p>
    <w:p w:rsidR="003666C4" w:rsidRPr="00441F15" w:rsidRDefault="003666C4" w:rsidP="003666C4">
      <w:pPr>
        <w:ind w:firstLine="709"/>
        <w:rPr>
          <w:color w:val="000000" w:themeColor="text1"/>
        </w:rPr>
      </w:pPr>
    </w:p>
    <w:p w:rsidR="00485F66" w:rsidRPr="0066795C" w:rsidRDefault="00485F66" w:rsidP="00B658AC">
      <w:pPr>
        <w:tabs>
          <w:tab w:val="left" w:pos="2856"/>
        </w:tabs>
      </w:pPr>
      <w:r w:rsidRPr="0066795C">
        <w:t>Безработица</w:t>
      </w:r>
    </w:p>
    <w:p w:rsidR="00485F66" w:rsidRPr="0066795C" w:rsidRDefault="00485F66" w:rsidP="00B658AC">
      <w:pPr>
        <w:rPr>
          <w:sz w:val="20"/>
          <w:szCs w:val="20"/>
        </w:rPr>
      </w:pPr>
      <w:r w:rsidRPr="0066795C">
        <w:rPr>
          <w:sz w:val="20"/>
          <w:szCs w:val="20"/>
        </w:rPr>
        <w:tab/>
      </w:r>
    </w:p>
    <w:p w:rsidR="00485F66" w:rsidRPr="0066795C" w:rsidRDefault="00485F66" w:rsidP="00235342">
      <w:pPr>
        <w:ind w:firstLine="709"/>
      </w:pPr>
      <w:r w:rsidRPr="0066795C">
        <w:t>По состоянию на 01.10.201</w:t>
      </w:r>
      <w:r w:rsidR="001B5C61" w:rsidRPr="0066795C">
        <w:t>9</w:t>
      </w:r>
      <w:r w:rsidRPr="0066795C">
        <w:t xml:space="preserve"> численность официально признанных безработными граждан составляет </w:t>
      </w:r>
      <w:r w:rsidR="00137289" w:rsidRPr="0066795C">
        <w:t>6</w:t>
      </w:r>
      <w:r w:rsidRPr="0066795C">
        <w:t>3 человека, что ниже того же показателя на 01.10.201</w:t>
      </w:r>
      <w:r w:rsidR="00137289" w:rsidRPr="0066795C">
        <w:t>8</w:t>
      </w:r>
      <w:r w:rsidR="005D7B28" w:rsidRPr="0066795C">
        <w:t xml:space="preserve"> на </w:t>
      </w:r>
      <w:r w:rsidR="00137289" w:rsidRPr="0066795C">
        <w:t>20</w:t>
      </w:r>
      <w:r w:rsidR="00953444">
        <w:t xml:space="preserve"> человек, или </w:t>
      </w:r>
      <w:r w:rsidR="00137289" w:rsidRPr="0066795C">
        <w:t>24</w:t>
      </w:r>
      <w:r w:rsidR="00AA2D05">
        <w:t>,1</w:t>
      </w:r>
      <w:r w:rsidRPr="0066795C">
        <w:t>%.</w:t>
      </w:r>
    </w:p>
    <w:p w:rsidR="00485F66" w:rsidRPr="0066795C" w:rsidRDefault="00485F66" w:rsidP="00235342">
      <w:pPr>
        <w:tabs>
          <w:tab w:val="left" w:pos="2856"/>
        </w:tabs>
        <w:ind w:firstLine="709"/>
        <w:rPr>
          <w:rFonts w:eastAsia="Calibri"/>
          <w:szCs w:val="22"/>
          <w:lang w:eastAsia="en-US"/>
        </w:rPr>
      </w:pPr>
      <w:r w:rsidRPr="0066795C">
        <w:rPr>
          <w:rFonts w:eastAsia="Calibri"/>
          <w:szCs w:val="22"/>
          <w:lang w:eastAsia="en-US"/>
        </w:rPr>
        <w:t>Уровень зарегистрированной безработицы на 01.10.201</w:t>
      </w:r>
      <w:r w:rsidR="001B5C61" w:rsidRPr="0066795C">
        <w:rPr>
          <w:rFonts w:eastAsia="Calibri"/>
          <w:szCs w:val="22"/>
          <w:lang w:eastAsia="en-US"/>
        </w:rPr>
        <w:t>9</w:t>
      </w:r>
      <w:r w:rsidRPr="0066795C">
        <w:rPr>
          <w:rFonts w:eastAsia="Calibri"/>
          <w:szCs w:val="22"/>
          <w:lang w:eastAsia="en-US"/>
        </w:rPr>
        <w:t xml:space="preserve"> составляет 0,</w:t>
      </w:r>
      <w:r w:rsidR="001F7ACA" w:rsidRPr="0066795C">
        <w:rPr>
          <w:rFonts w:eastAsia="Calibri"/>
          <w:szCs w:val="22"/>
          <w:lang w:eastAsia="en-US"/>
        </w:rPr>
        <w:t>16</w:t>
      </w:r>
      <w:r w:rsidR="003666C4">
        <w:rPr>
          <w:rFonts w:eastAsia="Calibri"/>
          <w:szCs w:val="22"/>
          <w:lang w:eastAsia="en-US"/>
        </w:rPr>
        <w:t>%</w:t>
      </w:r>
      <w:r w:rsidR="00EB36BA" w:rsidRPr="0066795C">
        <w:rPr>
          <w:rFonts w:eastAsia="Calibri"/>
          <w:szCs w:val="22"/>
          <w:lang w:eastAsia="en-US"/>
        </w:rPr>
        <w:t xml:space="preserve"> против 0,</w:t>
      </w:r>
      <w:r w:rsidR="001B5C61" w:rsidRPr="0066795C">
        <w:rPr>
          <w:rFonts w:eastAsia="Calibri"/>
          <w:szCs w:val="22"/>
          <w:lang w:eastAsia="en-US"/>
        </w:rPr>
        <w:t>21</w:t>
      </w:r>
      <w:r w:rsidR="00EB36BA" w:rsidRPr="0066795C">
        <w:rPr>
          <w:rFonts w:eastAsia="Calibri"/>
          <w:szCs w:val="22"/>
          <w:lang w:eastAsia="en-US"/>
        </w:rPr>
        <w:t xml:space="preserve"> на 01</w:t>
      </w:r>
      <w:r w:rsidRPr="0066795C">
        <w:rPr>
          <w:rFonts w:eastAsia="Calibri"/>
          <w:szCs w:val="22"/>
          <w:lang w:eastAsia="en-US"/>
        </w:rPr>
        <w:t>.</w:t>
      </w:r>
      <w:r w:rsidR="00EB36BA" w:rsidRPr="0066795C">
        <w:rPr>
          <w:rFonts w:eastAsia="Calibri"/>
          <w:szCs w:val="22"/>
          <w:lang w:eastAsia="en-US"/>
        </w:rPr>
        <w:t>10.201</w:t>
      </w:r>
      <w:r w:rsidR="001B5C61" w:rsidRPr="0066795C">
        <w:rPr>
          <w:rFonts w:eastAsia="Calibri"/>
          <w:szCs w:val="22"/>
          <w:lang w:eastAsia="en-US"/>
        </w:rPr>
        <w:t>8</w:t>
      </w:r>
      <w:r w:rsidR="00EB36BA" w:rsidRPr="0066795C">
        <w:rPr>
          <w:rFonts w:eastAsia="Calibri"/>
          <w:szCs w:val="22"/>
          <w:lang w:eastAsia="en-US"/>
        </w:rPr>
        <w:t>.</w:t>
      </w:r>
      <w:r w:rsidR="003666C4">
        <w:rPr>
          <w:rFonts w:eastAsia="Calibri"/>
          <w:szCs w:val="22"/>
          <w:lang w:eastAsia="en-US"/>
        </w:rPr>
        <w:t xml:space="preserve"> На конец 2019 года уровень безработицы по оценке составит 0,17%.</w:t>
      </w:r>
    </w:p>
    <w:p w:rsidR="00485F66" w:rsidRPr="0066795C" w:rsidRDefault="00485F66" w:rsidP="00235342">
      <w:pPr>
        <w:autoSpaceDE w:val="0"/>
        <w:autoSpaceDN w:val="0"/>
        <w:adjustRightInd w:val="0"/>
        <w:ind w:firstLine="709"/>
      </w:pPr>
      <w:r w:rsidRPr="0066795C">
        <w:t>В  целях снижения уровня безработицы и организации занятости населения на территории городского округа город Мегион реализуется программа «Содействие занятости населения в Ханты-Мансийском автономном округе – Югре на 2018-2025 годы и на период до 2030 года».</w:t>
      </w:r>
    </w:p>
    <w:p w:rsidR="00485F66" w:rsidRPr="0066795C" w:rsidRDefault="00485F66" w:rsidP="00235342">
      <w:pPr>
        <w:autoSpaceDE w:val="0"/>
        <w:autoSpaceDN w:val="0"/>
        <w:adjustRightInd w:val="0"/>
        <w:ind w:firstLine="709"/>
      </w:pPr>
      <w:r w:rsidRPr="0066795C">
        <w:t>С начала 201</w:t>
      </w:r>
      <w:r w:rsidR="001B5C61" w:rsidRPr="0066795C">
        <w:t>9</w:t>
      </w:r>
      <w:r w:rsidRPr="0066795C">
        <w:t xml:space="preserve"> года за услугами в центр занятости населения обратилось </w:t>
      </w:r>
      <w:r w:rsidR="00490960" w:rsidRPr="0066795C">
        <w:t>772</w:t>
      </w:r>
      <w:r w:rsidRPr="0066795C">
        <w:t xml:space="preserve"> человек</w:t>
      </w:r>
      <w:r w:rsidR="00490960" w:rsidRPr="0066795C">
        <w:t>а</w:t>
      </w:r>
      <w:r w:rsidR="00953444">
        <w:t xml:space="preserve">. </w:t>
      </w:r>
      <w:r w:rsidRPr="0066795C">
        <w:t xml:space="preserve">В базе данных на отчетную дату имеется </w:t>
      </w:r>
      <w:r w:rsidR="00137289" w:rsidRPr="0066795C">
        <w:t>90</w:t>
      </w:r>
      <w:r w:rsidR="00490960" w:rsidRPr="0066795C">
        <w:t>5</w:t>
      </w:r>
      <w:r w:rsidRPr="0066795C">
        <w:t xml:space="preserve"> ваканси</w:t>
      </w:r>
      <w:r w:rsidR="00137289" w:rsidRPr="0066795C">
        <w:t>й</w:t>
      </w:r>
      <w:r w:rsidRPr="0066795C">
        <w:t xml:space="preserve"> против </w:t>
      </w:r>
      <w:r w:rsidR="001B5C61" w:rsidRPr="0066795C">
        <w:t>864</w:t>
      </w:r>
      <w:r w:rsidRPr="0066795C">
        <w:t xml:space="preserve"> на ту же дату 201</w:t>
      </w:r>
      <w:r w:rsidR="001B5C61" w:rsidRPr="0066795C">
        <w:t>8</w:t>
      </w:r>
      <w:r w:rsidRPr="0066795C">
        <w:t xml:space="preserve"> года, </w:t>
      </w:r>
      <w:r w:rsidRPr="0066795C">
        <w:lastRenderedPageBreak/>
        <w:t xml:space="preserve">которые не могут заполниться из-за несоответствия требуемой и предлагаемой квалификации рабочей силы. </w:t>
      </w:r>
    </w:p>
    <w:p w:rsidR="00485F66" w:rsidRPr="0066795C" w:rsidRDefault="00485F66" w:rsidP="00235342">
      <w:pPr>
        <w:tabs>
          <w:tab w:val="left" w:pos="0"/>
          <w:tab w:val="left" w:pos="709"/>
        </w:tabs>
        <w:ind w:firstLine="709"/>
        <w:contextualSpacing/>
      </w:pPr>
      <w:r w:rsidRPr="0066795C">
        <w:t>Коэффициент напряженности на рынке труда на территории городского округа                         составляет  0,</w:t>
      </w:r>
      <w:r w:rsidR="0090375F" w:rsidRPr="0066795C">
        <w:t>09</w:t>
      </w:r>
      <w:r w:rsidRPr="0066795C">
        <w:t xml:space="preserve"> человек на одно свободное рабочее место. </w:t>
      </w:r>
    </w:p>
    <w:p w:rsidR="00485F66" w:rsidRPr="0066795C" w:rsidRDefault="00485F66" w:rsidP="00235342">
      <w:pPr>
        <w:ind w:firstLine="709"/>
      </w:pPr>
      <w:r w:rsidRPr="0066795C">
        <w:t>В целях недопущения задолженности по заработной плате администрация города продолжает проводить еженедельный мониторинг за своевременностью выплаты заработной платы хозяйствующими субъектами. В охваченных мониторингом организациях по состоянию на 01.10.201</w:t>
      </w:r>
      <w:r w:rsidR="001B5C61" w:rsidRPr="0066795C">
        <w:t>9</w:t>
      </w:r>
      <w:r w:rsidRPr="0066795C">
        <w:t xml:space="preserve"> задолженности по заработной плате не выявлено.          </w:t>
      </w:r>
    </w:p>
    <w:p w:rsidR="00F35C28" w:rsidRPr="0066795C" w:rsidRDefault="00F35C28" w:rsidP="00F35C28">
      <w:pPr>
        <w:pStyle w:val="21"/>
        <w:spacing w:after="0" w:line="240" w:lineRule="auto"/>
        <w:ind w:firstLine="708"/>
      </w:pPr>
      <w:r w:rsidRPr="0066795C">
        <w:t xml:space="preserve">При администрации города создана рабочая группа по снижению неформальной занятости, легализации заработной платы, повышению собираемости страховых взносов                      во внебюджетные фонды. </w:t>
      </w:r>
    </w:p>
    <w:p w:rsidR="00F35C28" w:rsidRPr="0066795C" w:rsidRDefault="003359FD" w:rsidP="00F35C28">
      <w:pPr>
        <w:pStyle w:val="21"/>
        <w:spacing w:after="0" w:line="240" w:lineRule="auto"/>
        <w:ind w:firstLine="708"/>
      </w:pPr>
      <w:r w:rsidRPr="0066795C">
        <w:t>Деятельность</w:t>
      </w:r>
      <w:r w:rsidR="00F35C28" w:rsidRPr="0066795C">
        <w:t xml:space="preserve"> рабочей группы направлена на установление фактов незаконного            увольнения</w:t>
      </w:r>
      <w:r w:rsidR="00F35C28" w:rsidRPr="0066795C">
        <w:tab/>
        <w:t xml:space="preserve"> работников, принудительного увольнения работников, невыплаты или задержки по выплате заработной платы.</w:t>
      </w:r>
    </w:p>
    <w:p w:rsidR="00F35C28" w:rsidRPr="0066795C" w:rsidRDefault="00F35C28" w:rsidP="00F35C28">
      <w:pPr>
        <w:widowControl w:val="0"/>
        <w:ind w:firstLine="709"/>
        <w:rPr>
          <w:rFonts w:eastAsia="Calibri"/>
        </w:rPr>
      </w:pPr>
      <w:r w:rsidRPr="0066795C">
        <w:rPr>
          <w:rFonts w:eastAsia="Calibri"/>
        </w:rPr>
        <w:t>С конфликтными ситуациями, связанными с сокращениями, увольнениями, задержкой заработной платы работники организаций, зарегистрированных на территории городского округа город Мегион, не обращались.</w:t>
      </w:r>
    </w:p>
    <w:p w:rsidR="00F35C28" w:rsidRPr="0066795C" w:rsidRDefault="00F35C28" w:rsidP="00F35C28">
      <w:pPr>
        <w:ind w:firstLine="709"/>
      </w:pPr>
      <w:r w:rsidRPr="0066795C">
        <w:t xml:space="preserve">По информации Территориального органа Федеральной службы государственной статистики по Тюменской области, Ханты-Мансийскому автономному округу – Югре                                                      и Ямало-Ненецкому автономному округу – Югре на 01.09.2019 просроченная задолженность              по выплате средств на заработную плату, по наблюдаемым видам экономической деятельности, отсутствует </w:t>
      </w:r>
    </w:p>
    <w:p w:rsidR="00485F66" w:rsidRPr="0066795C" w:rsidRDefault="00485F66" w:rsidP="00235342">
      <w:pPr>
        <w:ind w:firstLine="709"/>
        <w:rPr>
          <w:rFonts w:eastAsia="Calibri"/>
          <w:sz w:val="22"/>
          <w:szCs w:val="22"/>
          <w:lang w:eastAsia="en-US"/>
        </w:rPr>
      </w:pPr>
    </w:p>
    <w:p w:rsidR="00485F66" w:rsidRPr="0066795C" w:rsidRDefault="00485F66" w:rsidP="00B658AC">
      <w:r w:rsidRPr="0066795C">
        <w:t>Оплата труда</w:t>
      </w:r>
    </w:p>
    <w:p w:rsidR="00485F66" w:rsidRPr="0066795C" w:rsidRDefault="00485F66" w:rsidP="00B658AC"/>
    <w:p w:rsidR="00485F66" w:rsidRPr="0066795C" w:rsidRDefault="00485F66" w:rsidP="00235342">
      <w:pPr>
        <w:ind w:firstLine="709"/>
      </w:pPr>
      <w:r w:rsidRPr="0066795C">
        <w:t>Уровень среднемесячной заработной платы работников крупных и средних предприятий за январь-сентябрь 201</w:t>
      </w:r>
      <w:r w:rsidR="00FD413D" w:rsidRPr="0066795C">
        <w:t>9</w:t>
      </w:r>
      <w:r w:rsidRPr="0066795C">
        <w:t xml:space="preserve"> года, по предварительным данным, увеличившись к аналогичному показателю соответствующего периода  201</w:t>
      </w:r>
      <w:r w:rsidR="006A4684" w:rsidRPr="0066795C">
        <w:t>8</w:t>
      </w:r>
      <w:r w:rsidRPr="0066795C">
        <w:t xml:space="preserve"> года  на </w:t>
      </w:r>
      <w:r w:rsidR="000A7A94" w:rsidRPr="0066795C">
        <w:t>8,</w:t>
      </w:r>
      <w:r w:rsidR="00024985" w:rsidRPr="0066795C">
        <w:t>39</w:t>
      </w:r>
      <w:r w:rsidRPr="0066795C">
        <w:t xml:space="preserve">%, составил </w:t>
      </w:r>
      <w:r w:rsidR="00024985" w:rsidRPr="0066795C">
        <w:t>68783,9</w:t>
      </w:r>
      <w:r w:rsidRPr="0066795C">
        <w:t xml:space="preserve"> рубл</w:t>
      </w:r>
      <w:r w:rsidR="001F77FB" w:rsidRPr="0066795C">
        <w:t>ей</w:t>
      </w:r>
      <w:r w:rsidRPr="0066795C">
        <w:t>.</w:t>
      </w:r>
    </w:p>
    <w:p w:rsidR="00485F66" w:rsidRPr="0066795C" w:rsidRDefault="00485F66" w:rsidP="00B658AC">
      <w:pPr>
        <w:jc w:val="center"/>
      </w:pPr>
    </w:p>
    <w:p w:rsidR="00485F66" w:rsidRPr="0066795C" w:rsidRDefault="00485F66" w:rsidP="00B658AC">
      <w:pPr>
        <w:jc w:val="center"/>
      </w:pPr>
      <w:r w:rsidRPr="0066795C">
        <w:t>Среднемесячная заработная плата работников крупных и средних предприятий городского округа город Мегион за январь-сентябрь 201</w:t>
      </w:r>
      <w:r w:rsidR="00FD413D" w:rsidRPr="0066795C">
        <w:t>8</w:t>
      </w:r>
      <w:r w:rsidRPr="0066795C">
        <w:t>-201</w:t>
      </w:r>
      <w:r w:rsidR="00FD413D" w:rsidRPr="0066795C">
        <w:t>9</w:t>
      </w:r>
      <w:r w:rsidRPr="0066795C">
        <w:t xml:space="preserve"> годов</w:t>
      </w:r>
    </w:p>
    <w:p w:rsidR="00485F66" w:rsidRPr="0066795C" w:rsidRDefault="00485F66" w:rsidP="00B658AC">
      <w:pPr>
        <w:jc w:val="center"/>
      </w:pPr>
    </w:p>
    <w:tbl>
      <w:tblPr>
        <w:tblW w:w="9636" w:type="dxa"/>
        <w:tblInd w:w="108" w:type="dxa"/>
        <w:tblLayout w:type="fixed"/>
        <w:tblLook w:val="01E0" w:firstRow="1" w:lastRow="1" w:firstColumn="1" w:lastColumn="1" w:noHBand="0" w:noVBand="0"/>
      </w:tblPr>
      <w:tblGrid>
        <w:gridCol w:w="4678"/>
        <w:gridCol w:w="1730"/>
        <w:gridCol w:w="1814"/>
        <w:gridCol w:w="1414"/>
      </w:tblGrid>
      <w:tr w:rsidR="0066795C" w:rsidRPr="0066795C" w:rsidTr="007F4C9F">
        <w:trPr>
          <w:trHeight w:val="131"/>
          <w:tblHeader/>
        </w:trPr>
        <w:tc>
          <w:tcPr>
            <w:tcW w:w="4678" w:type="dxa"/>
            <w:tcBorders>
              <w:top w:val="single" w:sz="4" w:space="0" w:color="auto"/>
              <w:left w:val="single" w:sz="4" w:space="0" w:color="auto"/>
              <w:bottom w:val="single" w:sz="4" w:space="0" w:color="auto"/>
              <w:right w:val="single" w:sz="4" w:space="0" w:color="auto"/>
            </w:tcBorders>
            <w:vAlign w:val="center"/>
            <w:hideMark/>
          </w:tcPr>
          <w:p w:rsidR="00485F66" w:rsidRPr="0066795C" w:rsidRDefault="00485F66" w:rsidP="00B658AC">
            <w:pPr>
              <w:jc w:val="center"/>
              <w:rPr>
                <w:sz w:val="20"/>
                <w:szCs w:val="20"/>
              </w:rPr>
            </w:pPr>
            <w:r w:rsidRPr="0066795C">
              <w:rPr>
                <w:sz w:val="20"/>
                <w:szCs w:val="20"/>
              </w:rPr>
              <w:t>Показатели</w:t>
            </w:r>
          </w:p>
        </w:tc>
        <w:tc>
          <w:tcPr>
            <w:tcW w:w="1730" w:type="dxa"/>
            <w:tcBorders>
              <w:top w:val="single" w:sz="4" w:space="0" w:color="auto"/>
              <w:left w:val="single" w:sz="4" w:space="0" w:color="auto"/>
              <w:bottom w:val="single" w:sz="4" w:space="0" w:color="auto"/>
              <w:right w:val="single" w:sz="4" w:space="0" w:color="auto"/>
            </w:tcBorders>
            <w:vAlign w:val="center"/>
            <w:hideMark/>
          </w:tcPr>
          <w:p w:rsidR="00485F66" w:rsidRPr="0066795C" w:rsidRDefault="00485F66" w:rsidP="00164203">
            <w:pPr>
              <w:jc w:val="center"/>
              <w:rPr>
                <w:sz w:val="20"/>
                <w:szCs w:val="20"/>
              </w:rPr>
            </w:pPr>
            <w:r w:rsidRPr="0066795C">
              <w:rPr>
                <w:sz w:val="20"/>
                <w:szCs w:val="20"/>
              </w:rPr>
              <w:t>январь-сентябрь 201</w:t>
            </w:r>
            <w:r w:rsidR="00164203" w:rsidRPr="0066795C">
              <w:rPr>
                <w:sz w:val="20"/>
                <w:szCs w:val="20"/>
              </w:rPr>
              <w:t>8</w:t>
            </w:r>
            <w:r w:rsidRPr="0066795C">
              <w:rPr>
                <w:sz w:val="20"/>
                <w:szCs w:val="20"/>
              </w:rPr>
              <w:t xml:space="preserve"> года</w:t>
            </w:r>
          </w:p>
        </w:tc>
        <w:tc>
          <w:tcPr>
            <w:tcW w:w="1814" w:type="dxa"/>
            <w:tcBorders>
              <w:top w:val="single" w:sz="4" w:space="0" w:color="auto"/>
              <w:left w:val="single" w:sz="4" w:space="0" w:color="auto"/>
              <w:bottom w:val="single" w:sz="4" w:space="0" w:color="auto"/>
              <w:right w:val="single" w:sz="4" w:space="0" w:color="auto"/>
            </w:tcBorders>
            <w:vAlign w:val="center"/>
            <w:hideMark/>
          </w:tcPr>
          <w:p w:rsidR="00485F66" w:rsidRPr="0066795C" w:rsidRDefault="00485F66" w:rsidP="00164203">
            <w:pPr>
              <w:jc w:val="center"/>
              <w:rPr>
                <w:sz w:val="20"/>
                <w:szCs w:val="20"/>
              </w:rPr>
            </w:pPr>
            <w:r w:rsidRPr="0066795C">
              <w:rPr>
                <w:sz w:val="20"/>
                <w:szCs w:val="20"/>
              </w:rPr>
              <w:t>январь-сентябрь 201</w:t>
            </w:r>
            <w:r w:rsidR="00164203" w:rsidRPr="0066795C">
              <w:rPr>
                <w:sz w:val="20"/>
                <w:szCs w:val="20"/>
              </w:rPr>
              <w:t>9</w:t>
            </w:r>
            <w:r w:rsidRPr="0066795C">
              <w:rPr>
                <w:sz w:val="20"/>
                <w:szCs w:val="20"/>
              </w:rPr>
              <w:t xml:space="preserve"> года</w:t>
            </w:r>
          </w:p>
        </w:tc>
        <w:tc>
          <w:tcPr>
            <w:tcW w:w="1414" w:type="dxa"/>
            <w:tcBorders>
              <w:top w:val="single" w:sz="4" w:space="0" w:color="auto"/>
              <w:left w:val="single" w:sz="4" w:space="0" w:color="auto"/>
              <w:bottom w:val="single" w:sz="4" w:space="0" w:color="auto"/>
              <w:right w:val="single" w:sz="4" w:space="0" w:color="auto"/>
            </w:tcBorders>
            <w:vAlign w:val="center"/>
            <w:hideMark/>
          </w:tcPr>
          <w:p w:rsidR="00485F66" w:rsidRPr="0066795C" w:rsidRDefault="00485F66" w:rsidP="00B658AC">
            <w:pPr>
              <w:jc w:val="center"/>
              <w:rPr>
                <w:sz w:val="20"/>
                <w:szCs w:val="20"/>
              </w:rPr>
            </w:pPr>
            <w:r w:rsidRPr="0066795C">
              <w:rPr>
                <w:sz w:val="20"/>
                <w:szCs w:val="20"/>
              </w:rPr>
              <w:t>%</w:t>
            </w:r>
          </w:p>
        </w:tc>
      </w:tr>
      <w:tr w:rsidR="0066795C" w:rsidRPr="0066795C" w:rsidTr="007F4C9F">
        <w:trPr>
          <w:trHeight w:val="19"/>
        </w:trPr>
        <w:tc>
          <w:tcPr>
            <w:tcW w:w="4678" w:type="dxa"/>
            <w:tcBorders>
              <w:top w:val="single" w:sz="4" w:space="0" w:color="auto"/>
              <w:left w:val="single" w:sz="4" w:space="0" w:color="auto"/>
              <w:bottom w:val="single" w:sz="4" w:space="0" w:color="auto"/>
              <w:right w:val="single" w:sz="4" w:space="0" w:color="auto"/>
            </w:tcBorders>
            <w:vAlign w:val="center"/>
            <w:hideMark/>
          </w:tcPr>
          <w:p w:rsidR="004860E7" w:rsidRPr="0066795C" w:rsidRDefault="004860E7" w:rsidP="00B658AC">
            <w:pPr>
              <w:tabs>
                <w:tab w:val="center" w:pos="4677"/>
                <w:tab w:val="right" w:pos="9355"/>
              </w:tabs>
              <w:jc w:val="left"/>
            </w:pPr>
            <w:r w:rsidRPr="0066795C">
              <w:t xml:space="preserve">Номинальная начисленная среднемесячная заработная плата работников крупных и средних предприятий среднесписочного состава, </w:t>
            </w:r>
            <w:r w:rsidRPr="0066795C">
              <w:rPr>
                <w:sz w:val="20"/>
                <w:szCs w:val="20"/>
              </w:rPr>
              <w:t>рублей на 1 работника в месяц</w:t>
            </w:r>
          </w:p>
          <w:p w:rsidR="004860E7" w:rsidRPr="0066795C" w:rsidRDefault="004860E7" w:rsidP="00B658AC">
            <w:pPr>
              <w:tabs>
                <w:tab w:val="center" w:pos="4677"/>
                <w:tab w:val="right" w:pos="9355"/>
              </w:tabs>
              <w:jc w:val="left"/>
            </w:pPr>
            <w:r w:rsidRPr="0066795C">
              <w:t xml:space="preserve">(по данным отдела Госстатистики) </w:t>
            </w:r>
          </w:p>
        </w:tc>
        <w:tc>
          <w:tcPr>
            <w:tcW w:w="1730" w:type="dxa"/>
            <w:tcBorders>
              <w:top w:val="single" w:sz="4" w:space="0" w:color="auto"/>
              <w:left w:val="single" w:sz="4" w:space="0" w:color="auto"/>
              <w:bottom w:val="single" w:sz="4" w:space="0" w:color="auto"/>
              <w:right w:val="single" w:sz="4" w:space="0" w:color="auto"/>
            </w:tcBorders>
          </w:tcPr>
          <w:p w:rsidR="004860E7" w:rsidRPr="0066795C" w:rsidRDefault="004860E7" w:rsidP="00942AEC">
            <w:pPr>
              <w:jc w:val="center"/>
            </w:pPr>
            <w:r w:rsidRPr="0066795C">
              <w:t>63461,8</w:t>
            </w:r>
          </w:p>
        </w:tc>
        <w:tc>
          <w:tcPr>
            <w:tcW w:w="1814" w:type="dxa"/>
            <w:tcBorders>
              <w:top w:val="single" w:sz="4" w:space="0" w:color="auto"/>
              <w:left w:val="single" w:sz="4" w:space="0" w:color="auto"/>
              <w:bottom w:val="single" w:sz="4" w:space="0" w:color="auto"/>
              <w:right w:val="single" w:sz="4" w:space="0" w:color="auto"/>
            </w:tcBorders>
          </w:tcPr>
          <w:p w:rsidR="004860E7" w:rsidRPr="0066795C" w:rsidRDefault="00B11F11" w:rsidP="00942AEC">
            <w:pPr>
              <w:jc w:val="center"/>
            </w:pPr>
            <w:r w:rsidRPr="0066795C">
              <w:t>68783,9</w:t>
            </w:r>
          </w:p>
        </w:tc>
        <w:tc>
          <w:tcPr>
            <w:tcW w:w="1414" w:type="dxa"/>
            <w:tcBorders>
              <w:top w:val="single" w:sz="4" w:space="0" w:color="auto"/>
              <w:left w:val="single" w:sz="4" w:space="0" w:color="auto"/>
              <w:bottom w:val="single" w:sz="4" w:space="0" w:color="auto"/>
              <w:right w:val="single" w:sz="4" w:space="0" w:color="auto"/>
            </w:tcBorders>
          </w:tcPr>
          <w:p w:rsidR="00B11F11" w:rsidRPr="0066795C" w:rsidRDefault="00B11F11" w:rsidP="00B11F11">
            <w:pPr>
              <w:jc w:val="center"/>
            </w:pPr>
            <w:r w:rsidRPr="0066795C">
              <w:t>108,39</w:t>
            </w:r>
          </w:p>
          <w:p w:rsidR="004860E7" w:rsidRPr="0066795C" w:rsidRDefault="004860E7" w:rsidP="00D66F97"/>
        </w:tc>
      </w:tr>
      <w:tr w:rsidR="0066795C" w:rsidRPr="0066795C" w:rsidTr="007F4C9F">
        <w:trPr>
          <w:trHeight w:val="11"/>
        </w:trPr>
        <w:tc>
          <w:tcPr>
            <w:tcW w:w="4678" w:type="dxa"/>
            <w:tcBorders>
              <w:top w:val="single" w:sz="4" w:space="0" w:color="auto"/>
              <w:left w:val="single" w:sz="4" w:space="0" w:color="auto"/>
              <w:bottom w:val="single" w:sz="4" w:space="0" w:color="auto"/>
              <w:right w:val="single" w:sz="4" w:space="0" w:color="auto"/>
            </w:tcBorders>
            <w:vAlign w:val="center"/>
            <w:hideMark/>
          </w:tcPr>
          <w:p w:rsidR="004860E7" w:rsidRPr="0066795C" w:rsidRDefault="004860E7" w:rsidP="00B658AC">
            <w:pPr>
              <w:tabs>
                <w:tab w:val="center" w:pos="4677"/>
                <w:tab w:val="right" w:pos="9355"/>
              </w:tabs>
              <w:jc w:val="left"/>
              <w:rPr>
                <w:sz w:val="20"/>
                <w:szCs w:val="20"/>
              </w:rPr>
            </w:pPr>
            <w:r w:rsidRPr="0066795C">
              <w:rPr>
                <w:sz w:val="20"/>
                <w:szCs w:val="20"/>
              </w:rPr>
              <w:t>в том числе по отраслям:</w:t>
            </w:r>
          </w:p>
        </w:tc>
        <w:tc>
          <w:tcPr>
            <w:tcW w:w="1730" w:type="dxa"/>
            <w:tcBorders>
              <w:top w:val="single" w:sz="4" w:space="0" w:color="auto"/>
              <w:left w:val="single" w:sz="4" w:space="0" w:color="auto"/>
              <w:bottom w:val="single" w:sz="4" w:space="0" w:color="auto"/>
              <w:right w:val="single" w:sz="4" w:space="0" w:color="auto"/>
            </w:tcBorders>
          </w:tcPr>
          <w:p w:rsidR="004860E7" w:rsidRPr="0066795C" w:rsidRDefault="004860E7" w:rsidP="00942AEC">
            <w:pPr>
              <w:jc w:val="center"/>
            </w:pPr>
          </w:p>
        </w:tc>
        <w:tc>
          <w:tcPr>
            <w:tcW w:w="1814" w:type="dxa"/>
            <w:tcBorders>
              <w:top w:val="single" w:sz="4" w:space="0" w:color="auto"/>
              <w:left w:val="single" w:sz="4" w:space="0" w:color="auto"/>
              <w:bottom w:val="single" w:sz="4" w:space="0" w:color="auto"/>
              <w:right w:val="single" w:sz="4" w:space="0" w:color="auto"/>
            </w:tcBorders>
          </w:tcPr>
          <w:p w:rsidR="004860E7" w:rsidRPr="0066795C" w:rsidRDefault="004860E7" w:rsidP="00942AEC">
            <w:pPr>
              <w:jc w:val="center"/>
            </w:pPr>
          </w:p>
        </w:tc>
        <w:tc>
          <w:tcPr>
            <w:tcW w:w="1414" w:type="dxa"/>
            <w:tcBorders>
              <w:top w:val="single" w:sz="4" w:space="0" w:color="auto"/>
              <w:left w:val="single" w:sz="4" w:space="0" w:color="auto"/>
              <w:bottom w:val="single" w:sz="4" w:space="0" w:color="auto"/>
              <w:right w:val="single" w:sz="4" w:space="0" w:color="auto"/>
            </w:tcBorders>
          </w:tcPr>
          <w:p w:rsidR="004860E7" w:rsidRPr="0066795C" w:rsidRDefault="004860E7" w:rsidP="00D66F97"/>
        </w:tc>
      </w:tr>
      <w:tr w:rsidR="0066795C" w:rsidRPr="0066795C" w:rsidTr="007F4C9F">
        <w:trPr>
          <w:trHeight w:val="45"/>
        </w:trPr>
        <w:tc>
          <w:tcPr>
            <w:tcW w:w="4678" w:type="dxa"/>
            <w:tcBorders>
              <w:top w:val="single" w:sz="4" w:space="0" w:color="auto"/>
              <w:left w:val="single" w:sz="4" w:space="0" w:color="auto"/>
              <w:bottom w:val="single" w:sz="4" w:space="0" w:color="auto"/>
              <w:right w:val="single" w:sz="4" w:space="0" w:color="auto"/>
            </w:tcBorders>
            <w:vAlign w:val="center"/>
            <w:hideMark/>
          </w:tcPr>
          <w:p w:rsidR="00B11F11" w:rsidRPr="0066795C" w:rsidRDefault="00B11F11" w:rsidP="00B658AC">
            <w:pPr>
              <w:tabs>
                <w:tab w:val="center" w:pos="4677"/>
                <w:tab w:val="right" w:pos="9355"/>
              </w:tabs>
              <w:jc w:val="left"/>
            </w:pPr>
            <w:r w:rsidRPr="0066795C">
              <w:t>добыча полезных ископаемых</w:t>
            </w:r>
          </w:p>
        </w:tc>
        <w:tc>
          <w:tcPr>
            <w:tcW w:w="1730" w:type="dxa"/>
            <w:tcBorders>
              <w:top w:val="single" w:sz="4" w:space="0" w:color="auto"/>
              <w:left w:val="single" w:sz="4" w:space="0" w:color="auto"/>
              <w:bottom w:val="single" w:sz="4" w:space="0" w:color="auto"/>
              <w:right w:val="single" w:sz="4" w:space="0" w:color="auto"/>
            </w:tcBorders>
          </w:tcPr>
          <w:p w:rsidR="00B11F11" w:rsidRPr="0066795C" w:rsidRDefault="00B11F11" w:rsidP="00942AEC">
            <w:pPr>
              <w:jc w:val="center"/>
            </w:pPr>
            <w:r w:rsidRPr="0066795C">
              <w:t>91154,5</w:t>
            </w:r>
          </w:p>
        </w:tc>
        <w:tc>
          <w:tcPr>
            <w:tcW w:w="1814" w:type="dxa"/>
            <w:tcBorders>
              <w:top w:val="single" w:sz="4" w:space="0" w:color="auto"/>
              <w:left w:val="single" w:sz="4" w:space="0" w:color="auto"/>
              <w:bottom w:val="single" w:sz="4" w:space="0" w:color="auto"/>
              <w:right w:val="single" w:sz="4" w:space="0" w:color="auto"/>
            </w:tcBorders>
          </w:tcPr>
          <w:p w:rsidR="00B11F11" w:rsidRPr="0066795C" w:rsidRDefault="00B11F11" w:rsidP="00942AEC">
            <w:pPr>
              <w:jc w:val="center"/>
            </w:pPr>
            <w:r w:rsidRPr="0066795C">
              <w:t>99623,4</w:t>
            </w:r>
          </w:p>
        </w:tc>
        <w:tc>
          <w:tcPr>
            <w:tcW w:w="1414" w:type="dxa"/>
            <w:tcBorders>
              <w:top w:val="single" w:sz="4" w:space="0" w:color="auto"/>
              <w:left w:val="single" w:sz="4" w:space="0" w:color="auto"/>
              <w:bottom w:val="single" w:sz="4" w:space="0" w:color="auto"/>
              <w:right w:val="single" w:sz="4" w:space="0" w:color="auto"/>
            </w:tcBorders>
            <w:vAlign w:val="center"/>
          </w:tcPr>
          <w:p w:rsidR="00B11F11" w:rsidRPr="0066795C" w:rsidRDefault="00B11F11">
            <w:pPr>
              <w:jc w:val="center"/>
            </w:pPr>
            <w:r w:rsidRPr="0066795C">
              <w:t>109,29</w:t>
            </w:r>
          </w:p>
        </w:tc>
      </w:tr>
      <w:tr w:rsidR="0066795C" w:rsidRPr="0066795C" w:rsidTr="007F4C9F">
        <w:trPr>
          <w:trHeight w:val="45"/>
        </w:trPr>
        <w:tc>
          <w:tcPr>
            <w:tcW w:w="4678" w:type="dxa"/>
            <w:tcBorders>
              <w:top w:val="single" w:sz="4" w:space="0" w:color="auto"/>
              <w:left w:val="single" w:sz="4" w:space="0" w:color="auto"/>
              <w:bottom w:val="single" w:sz="4" w:space="0" w:color="auto"/>
              <w:right w:val="single" w:sz="4" w:space="0" w:color="auto"/>
            </w:tcBorders>
            <w:vAlign w:val="center"/>
            <w:hideMark/>
          </w:tcPr>
          <w:p w:rsidR="00B11F11" w:rsidRPr="0066795C" w:rsidRDefault="00B11F11" w:rsidP="00B658AC">
            <w:pPr>
              <w:tabs>
                <w:tab w:val="center" w:pos="4677"/>
                <w:tab w:val="right" w:pos="9355"/>
              </w:tabs>
              <w:jc w:val="left"/>
            </w:pPr>
            <w:r w:rsidRPr="0066795C">
              <w:t>обрабатывающие производства</w:t>
            </w:r>
          </w:p>
        </w:tc>
        <w:tc>
          <w:tcPr>
            <w:tcW w:w="1730" w:type="dxa"/>
            <w:tcBorders>
              <w:top w:val="single" w:sz="4" w:space="0" w:color="auto"/>
              <w:left w:val="single" w:sz="4" w:space="0" w:color="auto"/>
              <w:bottom w:val="single" w:sz="4" w:space="0" w:color="auto"/>
              <w:right w:val="single" w:sz="4" w:space="0" w:color="auto"/>
            </w:tcBorders>
          </w:tcPr>
          <w:p w:rsidR="00B11F11" w:rsidRPr="0066795C" w:rsidRDefault="00B11F11" w:rsidP="00942AEC">
            <w:pPr>
              <w:jc w:val="center"/>
            </w:pPr>
            <w:r w:rsidRPr="0066795C">
              <w:t>44844,7</w:t>
            </w:r>
          </w:p>
        </w:tc>
        <w:tc>
          <w:tcPr>
            <w:tcW w:w="1814" w:type="dxa"/>
            <w:tcBorders>
              <w:top w:val="single" w:sz="4" w:space="0" w:color="auto"/>
              <w:left w:val="single" w:sz="4" w:space="0" w:color="auto"/>
              <w:bottom w:val="single" w:sz="4" w:space="0" w:color="auto"/>
              <w:right w:val="single" w:sz="4" w:space="0" w:color="auto"/>
            </w:tcBorders>
          </w:tcPr>
          <w:p w:rsidR="00B11F11" w:rsidRPr="0066795C" w:rsidRDefault="00B11F11" w:rsidP="00942AEC">
            <w:pPr>
              <w:jc w:val="center"/>
            </w:pPr>
            <w:r w:rsidRPr="0066795C">
              <w:t>50417,2</w:t>
            </w:r>
          </w:p>
        </w:tc>
        <w:tc>
          <w:tcPr>
            <w:tcW w:w="1414" w:type="dxa"/>
            <w:tcBorders>
              <w:top w:val="single" w:sz="4" w:space="0" w:color="auto"/>
              <w:left w:val="single" w:sz="4" w:space="0" w:color="auto"/>
              <w:bottom w:val="single" w:sz="4" w:space="0" w:color="auto"/>
              <w:right w:val="single" w:sz="4" w:space="0" w:color="auto"/>
            </w:tcBorders>
            <w:vAlign w:val="center"/>
          </w:tcPr>
          <w:p w:rsidR="00B11F11" w:rsidRPr="0066795C" w:rsidRDefault="00B11F11">
            <w:pPr>
              <w:jc w:val="center"/>
            </w:pPr>
            <w:r w:rsidRPr="0066795C">
              <w:t>112,43</w:t>
            </w:r>
          </w:p>
        </w:tc>
      </w:tr>
      <w:tr w:rsidR="0066795C" w:rsidRPr="0066795C" w:rsidTr="007F4C9F">
        <w:trPr>
          <w:trHeight w:val="45"/>
        </w:trPr>
        <w:tc>
          <w:tcPr>
            <w:tcW w:w="4678" w:type="dxa"/>
            <w:tcBorders>
              <w:top w:val="single" w:sz="4" w:space="0" w:color="auto"/>
              <w:left w:val="single" w:sz="4" w:space="0" w:color="auto"/>
              <w:bottom w:val="single" w:sz="4" w:space="0" w:color="auto"/>
              <w:right w:val="single" w:sz="4" w:space="0" w:color="auto"/>
            </w:tcBorders>
            <w:vAlign w:val="center"/>
            <w:hideMark/>
          </w:tcPr>
          <w:p w:rsidR="00B11F11" w:rsidRPr="0066795C" w:rsidRDefault="00B11F11" w:rsidP="00B658AC">
            <w:pPr>
              <w:tabs>
                <w:tab w:val="center" w:pos="4677"/>
                <w:tab w:val="right" w:pos="9355"/>
              </w:tabs>
              <w:jc w:val="left"/>
            </w:pPr>
            <w:r w:rsidRPr="0066795C">
              <w:t>обеспечение электроэнергией, газом и паром, кондиционирование</w:t>
            </w:r>
          </w:p>
        </w:tc>
        <w:tc>
          <w:tcPr>
            <w:tcW w:w="1730" w:type="dxa"/>
            <w:tcBorders>
              <w:top w:val="single" w:sz="4" w:space="0" w:color="auto"/>
              <w:left w:val="single" w:sz="4" w:space="0" w:color="auto"/>
              <w:bottom w:val="single" w:sz="4" w:space="0" w:color="auto"/>
              <w:right w:val="single" w:sz="4" w:space="0" w:color="auto"/>
            </w:tcBorders>
          </w:tcPr>
          <w:p w:rsidR="00B11F11" w:rsidRPr="0066795C" w:rsidRDefault="00B11F11" w:rsidP="00942AEC">
            <w:pPr>
              <w:jc w:val="center"/>
            </w:pPr>
            <w:r w:rsidRPr="0066795C">
              <w:t>60735,6</w:t>
            </w:r>
          </w:p>
        </w:tc>
        <w:tc>
          <w:tcPr>
            <w:tcW w:w="1814" w:type="dxa"/>
            <w:tcBorders>
              <w:top w:val="single" w:sz="4" w:space="0" w:color="auto"/>
              <w:left w:val="single" w:sz="4" w:space="0" w:color="auto"/>
              <w:bottom w:val="single" w:sz="4" w:space="0" w:color="auto"/>
              <w:right w:val="single" w:sz="4" w:space="0" w:color="auto"/>
            </w:tcBorders>
          </w:tcPr>
          <w:p w:rsidR="00B11F11" w:rsidRPr="0066795C" w:rsidRDefault="00B11F11" w:rsidP="00942AEC">
            <w:pPr>
              <w:jc w:val="center"/>
            </w:pPr>
            <w:r w:rsidRPr="0066795C">
              <w:t>64179,5</w:t>
            </w:r>
          </w:p>
        </w:tc>
        <w:tc>
          <w:tcPr>
            <w:tcW w:w="1414" w:type="dxa"/>
            <w:tcBorders>
              <w:top w:val="single" w:sz="4" w:space="0" w:color="auto"/>
              <w:left w:val="single" w:sz="4" w:space="0" w:color="auto"/>
              <w:bottom w:val="single" w:sz="4" w:space="0" w:color="auto"/>
              <w:right w:val="single" w:sz="4" w:space="0" w:color="auto"/>
            </w:tcBorders>
            <w:vAlign w:val="center"/>
          </w:tcPr>
          <w:p w:rsidR="00B11F11" w:rsidRPr="0066795C" w:rsidRDefault="00B11F11">
            <w:pPr>
              <w:jc w:val="center"/>
            </w:pPr>
            <w:r w:rsidRPr="0066795C">
              <w:t>105,67</w:t>
            </w:r>
          </w:p>
        </w:tc>
      </w:tr>
      <w:tr w:rsidR="0066795C" w:rsidRPr="0066795C" w:rsidTr="007F4C9F">
        <w:trPr>
          <w:trHeight w:val="45"/>
        </w:trPr>
        <w:tc>
          <w:tcPr>
            <w:tcW w:w="4678" w:type="dxa"/>
            <w:tcBorders>
              <w:top w:val="single" w:sz="4" w:space="0" w:color="auto"/>
              <w:left w:val="single" w:sz="4" w:space="0" w:color="auto"/>
              <w:bottom w:val="single" w:sz="4" w:space="0" w:color="auto"/>
              <w:right w:val="single" w:sz="4" w:space="0" w:color="auto"/>
            </w:tcBorders>
            <w:vAlign w:val="center"/>
            <w:hideMark/>
          </w:tcPr>
          <w:p w:rsidR="00B11F11" w:rsidRPr="0066795C" w:rsidRDefault="00B11F11" w:rsidP="00B658AC">
            <w:pPr>
              <w:tabs>
                <w:tab w:val="center" w:pos="4677"/>
                <w:tab w:val="right" w:pos="9355"/>
              </w:tabs>
              <w:jc w:val="left"/>
            </w:pPr>
            <w:r w:rsidRPr="0066795C">
              <w:t xml:space="preserve">строительство </w:t>
            </w:r>
          </w:p>
        </w:tc>
        <w:tc>
          <w:tcPr>
            <w:tcW w:w="1730" w:type="dxa"/>
            <w:tcBorders>
              <w:top w:val="single" w:sz="4" w:space="0" w:color="auto"/>
              <w:left w:val="single" w:sz="4" w:space="0" w:color="auto"/>
              <w:bottom w:val="single" w:sz="4" w:space="0" w:color="auto"/>
              <w:right w:val="single" w:sz="4" w:space="0" w:color="auto"/>
            </w:tcBorders>
          </w:tcPr>
          <w:p w:rsidR="00B11F11" w:rsidRPr="0066795C" w:rsidRDefault="00B11F11" w:rsidP="00942AEC">
            <w:pPr>
              <w:jc w:val="center"/>
            </w:pPr>
            <w:r w:rsidRPr="0066795C">
              <w:t>53751,6</w:t>
            </w:r>
          </w:p>
        </w:tc>
        <w:tc>
          <w:tcPr>
            <w:tcW w:w="1814" w:type="dxa"/>
            <w:tcBorders>
              <w:top w:val="single" w:sz="4" w:space="0" w:color="auto"/>
              <w:left w:val="single" w:sz="4" w:space="0" w:color="auto"/>
              <w:bottom w:val="single" w:sz="4" w:space="0" w:color="auto"/>
              <w:right w:val="single" w:sz="4" w:space="0" w:color="auto"/>
            </w:tcBorders>
          </w:tcPr>
          <w:p w:rsidR="00B11F11" w:rsidRPr="0066795C" w:rsidRDefault="00B11F11" w:rsidP="00942AEC">
            <w:pPr>
              <w:jc w:val="center"/>
            </w:pPr>
            <w:r w:rsidRPr="0066795C">
              <w:t>57968,4</w:t>
            </w:r>
          </w:p>
        </w:tc>
        <w:tc>
          <w:tcPr>
            <w:tcW w:w="1414" w:type="dxa"/>
            <w:tcBorders>
              <w:top w:val="single" w:sz="4" w:space="0" w:color="auto"/>
              <w:left w:val="single" w:sz="4" w:space="0" w:color="auto"/>
              <w:bottom w:val="single" w:sz="4" w:space="0" w:color="auto"/>
              <w:right w:val="single" w:sz="4" w:space="0" w:color="auto"/>
            </w:tcBorders>
            <w:vAlign w:val="center"/>
          </w:tcPr>
          <w:p w:rsidR="00B11F11" w:rsidRPr="0066795C" w:rsidRDefault="00B11F11">
            <w:pPr>
              <w:jc w:val="center"/>
            </w:pPr>
            <w:r w:rsidRPr="0066795C">
              <w:t>107,84</w:t>
            </w:r>
          </w:p>
        </w:tc>
      </w:tr>
      <w:tr w:rsidR="0066795C" w:rsidRPr="0066795C" w:rsidTr="007F4C9F">
        <w:trPr>
          <w:trHeight w:val="21"/>
        </w:trPr>
        <w:tc>
          <w:tcPr>
            <w:tcW w:w="4678" w:type="dxa"/>
            <w:tcBorders>
              <w:top w:val="single" w:sz="4" w:space="0" w:color="auto"/>
              <w:left w:val="single" w:sz="4" w:space="0" w:color="auto"/>
              <w:bottom w:val="single" w:sz="4" w:space="0" w:color="auto"/>
              <w:right w:val="single" w:sz="4" w:space="0" w:color="auto"/>
            </w:tcBorders>
            <w:vAlign w:val="center"/>
          </w:tcPr>
          <w:p w:rsidR="00B11F11" w:rsidRPr="0066795C" w:rsidRDefault="00B11F11" w:rsidP="00B658AC">
            <w:pPr>
              <w:tabs>
                <w:tab w:val="center" w:pos="4677"/>
                <w:tab w:val="right" w:pos="9355"/>
              </w:tabs>
              <w:jc w:val="left"/>
            </w:pPr>
            <w:r w:rsidRPr="0066795C">
              <w:t>транспортировка и хранение</w:t>
            </w:r>
          </w:p>
        </w:tc>
        <w:tc>
          <w:tcPr>
            <w:tcW w:w="1730" w:type="dxa"/>
            <w:tcBorders>
              <w:top w:val="single" w:sz="4" w:space="0" w:color="auto"/>
              <w:left w:val="single" w:sz="4" w:space="0" w:color="auto"/>
              <w:bottom w:val="single" w:sz="4" w:space="0" w:color="auto"/>
              <w:right w:val="single" w:sz="4" w:space="0" w:color="auto"/>
            </w:tcBorders>
          </w:tcPr>
          <w:p w:rsidR="00B11F11" w:rsidRPr="0066795C" w:rsidRDefault="00B11F11" w:rsidP="00942AEC">
            <w:pPr>
              <w:jc w:val="center"/>
            </w:pPr>
            <w:r w:rsidRPr="0066795C">
              <w:t>46274</w:t>
            </w:r>
          </w:p>
        </w:tc>
        <w:tc>
          <w:tcPr>
            <w:tcW w:w="1814" w:type="dxa"/>
            <w:tcBorders>
              <w:top w:val="single" w:sz="4" w:space="0" w:color="auto"/>
              <w:left w:val="single" w:sz="4" w:space="0" w:color="auto"/>
              <w:bottom w:val="single" w:sz="4" w:space="0" w:color="auto"/>
              <w:right w:val="single" w:sz="4" w:space="0" w:color="auto"/>
            </w:tcBorders>
          </w:tcPr>
          <w:p w:rsidR="00B11F11" w:rsidRPr="0066795C" w:rsidRDefault="00B11F11" w:rsidP="00942AEC">
            <w:pPr>
              <w:jc w:val="center"/>
            </w:pPr>
            <w:r w:rsidRPr="0066795C">
              <w:t>51674,6</w:t>
            </w:r>
          </w:p>
        </w:tc>
        <w:tc>
          <w:tcPr>
            <w:tcW w:w="1414" w:type="dxa"/>
            <w:tcBorders>
              <w:top w:val="single" w:sz="4" w:space="0" w:color="auto"/>
              <w:left w:val="single" w:sz="4" w:space="0" w:color="auto"/>
              <w:bottom w:val="single" w:sz="4" w:space="0" w:color="auto"/>
              <w:right w:val="single" w:sz="4" w:space="0" w:color="auto"/>
            </w:tcBorders>
            <w:vAlign w:val="center"/>
          </w:tcPr>
          <w:p w:rsidR="00B11F11" w:rsidRPr="0066795C" w:rsidRDefault="00B11F11">
            <w:pPr>
              <w:jc w:val="center"/>
            </w:pPr>
            <w:r w:rsidRPr="0066795C">
              <w:t>111,67</w:t>
            </w:r>
          </w:p>
        </w:tc>
      </w:tr>
      <w:tr w:rsidR="0066795C" w:rsidRPr="0066795C" w:rsidTr="007F4C9F">
        <w:trPr>
          <w:trHeight w:val="21"/>
        </w:trPr>
        <w:tc>
          <w:tcPr>
            <w:tcW w:w="4678" w:type="dxa"/>
            <w:tcBorders>
              <w:top w:val="single" w:sz="4" w:space="0" w:color="auto"/>
              <w:left w:val="single" w:sz="4" w:space="0" w:color="auto"/>
              <w:bottom w:val="single" w:sz="4" w:space="0" w:color="auto"/>
              <w:right w:val="single" w:sz="4" w:space="0" w:color="auto"/>
            </w:tcBorders>
            <w:vAlign w:val="center"/>
          </w:tcPr>
          <w:p w:rsidR="00B11F11" w:rsidRPr="0066795C" w:rsidRDefault="00B11F11" w:rsidP="00B658AC">
            <w:pPr>
              <w:tabs>
                <w:tab w:val="center" w:pos="4677"/>
                <w:tab w:val="right" w:pos="9355"/>
              </w:tabs>
              <w:jc w:val="left"/>
            </w:pPr>
            <w:r w:rsidRPr="0066795C">
              <w:t>финансирование и страхование</w:t>
            </w:r>
          </w:p>
        </w:tc>
        <w:tc>
          <w:tcPr>
            <w:tcW w:w="1730" w:type="dxa"/>
            <w:tcBorders>
              <w:top w:val="single" w:sz="4" w:space="0" w:color="auto"/>
              <w:left w:val="single" w:sz="4" w:space="0" w:color="auto"/>
              <w:bottom w:val="single" w:sz="4" w:space="0" w:color="auto"/>
              <w:right w:val="single" w:sz="4" w:space="0" w:color="auto"/>
            </w:tcBorders>
          </w:tcPr>
          <w:p w:rsidR="00B11F11" w:rsidRPr="0066795C" w:rsidRDefault="00B11F11" w:rsidP="00942AEC">
            <w:pPr>
              <w:jc w:val="center"/>
            </w:pPr>
            <w:r w:rsidRPr="0066795C">
              <w:t>59820,3</w:t>
            </w:r>
          </w:p>
        </w:tc>
        <w:tc>
          <w:tcPr>
            <w:tcW w:w="1814" w:type="dxa"/>
            <w:tcBorders>
              <w:top w:val="single" w:sz="4" w:space="0" w:color="auto"/>
              <w:left w:val="single" w:sz="4" w:space="0" w:color="auto"/>
              <w:bottom w:val="single" w:sz="4" w:space="0" w:color="auto"/>
              <w:right w:val="single" w:sz="4" w:space="0" w:color="auto"/>
            </w:tcBorders>
          </w:tcPr>
          <w:p w:rsidR="00B11F11" w:rsidRPr="0066795C" w:rsidRDefault="00B11F11" w:rsidP="00942AEC">
            <w:pPr>
              <w:jc w:val="center"/>
            </w:pPr>
            <w:r w:rsidRPr="0066795C">
              <w:t>68204,9</w:t>
            </w:r>
          </w:p>
        </w:tc>
        <w:tc>
          <w:tcPr>
            <w:tcW w:w="1414" w:type="dxa"/>
            <w:tcBorders>
              <w:top w:val="single" w:sz="4" w:space="0" w:color="auto"/>
              <w:left w:val="single" w:sz="4" w:space="0" w:color="auto"/>
              <w:bottom w:val="single" w:sz="4" w:space="0" w:color="auto"/>
              <w:right w:val="single" w:sz="4" w:space="0" w:color="auto"/>
            </w:tcBorders>
            <w:vAlign w:val="center"/>
          </w:tcPr>
          <w:p w:rsidR="00B11F11" w:rsidRPr="0066795C" w:rsidRDefault="00B11F11">
            <w:pPr>
              <w:jc w:val="center"/>
            </w:pPr>
            <w:r w:rsidRPr="0066795C">
              <w:t>114,02</w:t>
            </w:r>
          </w:p>
        </w:tc>
      </w:tr>
      <w:tr w:rsidR="0066795C" w:rsidRPr="0066795C" w:rsidTr="007F4C9F">
        <w:trPr>
          <w:trHeight w:val="21"/>
        </w:trPr>
        <w:tc>
          <w:tcPr>
            <w:tcW w:w="4678" w:type="dxa"/>
            <w:tcBorders>
              <w:top w:val="single" w:sz="4" w:space="0" w:color="auto"/>
              <w:left w:val="single" w:sz="4" w:space="0" w:color="auto"/>
              <w:bottom w:val="single" w:sz="4" w:space="0" w:color="auto"/>
              <w:right w:val="single" w:sz="4" w:space="0" w:color="auto"/>
            </w:tcBorders>
            <w:vAlign w:val="center"/>
          </w:tcPr>
          <w:p w:rsidR="00B11F11" w:rsidRPr="0066795C" w:rsidRDefault="00B11F11" w:rsidP="00B658AC">
            <w:pPr>
              <w:tabs>
                <w:tab w:val="center" w:pos="4677"/>
                <w:tab w:val="right" w:pos="9355"/>
              </w:tabs>
              <w:jc w:val="left"/>
            </w:pPr>
            <w:r w:rsidRPr="0066795C">
              <w:t>торговля</w:t>
            </w:r>
          </w:p>
        </w:tc>
        <w:tc>
          <w:tcPr>
            <w:tcW w:w="1730" w:type="dxa"/>
            <w:tcBorders>
              <w:top w:val="single" w:sz="4" w:space="0" w:color="auto"/>
              <w:left w:val="single" w:sz="4" w:space="0" w:color="auto"/>
              <w:bottom w:val="single" w:sz="4" w:space="0" w:color="auto"/>
              <w:right w:val="single" w:sz="4" w:space="0" w:color="auto"/>
            </w:tcBorders>
          </w:tcPr>
          <w:p w:rsidR="00B11F11" w:rsidRPr="0066795C" w:rsidRDefault="00B11F11" w:rsidP="00942AEC">
            <w:pPr>
              <w:jc w:val="center"/>
            </w:pPr>
            <w:r w:rsidRPr="0066795C">
              <w:t>35918,1</w:t>
            </w:r>
          </w:p>
        </w:tc>
        <w:tc>
          <w:tcPr>
            <w:tcW w:w="1814" w:type="dxa"/>
            <w:tcBorders>
              <w:top w:val="single" w:sz="4" w:space="0" w:color="auto"/>
              <w:left w:val="single" w:sz="4" w:space="0" w:color="auto"/>
              <w:bottom w:val="single" w:sz="4" w:space="0" w:color="auto"/>
              <w:right w:val="single" w:sz="4" w:space="0" w:color="auto"/>
            </w:tcBorders>
          </w:tcPr>
          <w:p w:rsidR="00B11F11" w:rsidRPr="0066795C" w:rsidRDefault="00B11F11" w:rsidP="00942AEC">
            <w:pPr>
              <w:jc w:val="center"/>
            </w:pPr>
            <w:r w:rsidRPr="0066795C">
              <w:t>36144,9</w:t>
            </w:r>
          </w:p>
        </w:tc>
        <w:tc>
          <w:tcPr>
            <w:tcW w:w="1414" w:type="dxa"/>
            <w:tcBorders>
              <w:top w:val="single" w:sz="4" w:space="0" w:color="auto"/>
              <w:left w:val="single" w:sz="4" w:space="0" w:color="auto"/>
              <w:bottom w:val="single" w:sz="4" w:space="0" w:color="auto"/>
              <w:right w:val="single" w:sz="4" w:space="0" w:color="auto"/>
            </w:tcBorders>
            <w:vAlign w:val="center"/>
          </w:tcPr>
          <w:p w:rsidR="00B11F11" w:rsidRPr="0066795C" w:rsidRDefault="00B11F11">
            <w:pPr>
              <w:jc w:val="center"/>
            </w:pPr>
            <w:r w:rsidRPr="0066795C">
              <w:t>100,63</w:t>
            </w:r>
          </w:p>
        </w:tc>
      </w:tr>
      <w:tr w:rsidR="0066795C" w:rsidRPr="0066795C" w:rsidTr="007F4C9F">
        <w:trPr>
          <w:trHeight w:val="21"/>
        </w:trPr>
        <w:tc>
          <w:tcPr>
            <w:tcW w:w="4678" w:type="dxa"/>
            <w:tcBorders>
              <w:top w:val="single" w:sz="4" w:space="0" w:color="auto"/>
              <w:left w:val="single" w:sz="4" w:space="0" w:color="auto"/>
              <w:bottom w:val="single" w:sz="4" w:space="0" w:color="auto"/>
              <w:right w:val="single" w:sz="4" w:space="0" w:color="auto"/>
            </w:tcBorders>
            <w:vAlign w:val="center"/>
            <w:hideMark/>
          </w:tcPr>
          <w:p w:rsidR="00B11F11" w:rsidRPr="0066795C" w:rsidRDefault="00B11F11" w:rsidP="00B658AC">
            <w:pPr>
              <w:tabs>
                <w:tab w:val="center" w:pos="4677"/>
                <w:tab w:val="right" w:pos="9355"/>
              </w:tabs>
              <w:jc w:val="left"/>
            </w:pPr>
            <w:r w:rsidRPr="0066795C">
              <w:t>образование</w:t>
            </w:r>
          </w:p>
        </w:tc>
        <w:tc>
          <w:tcPr>
            <w:tcW w:w="1730" w:type="dxa"/>
            <w:tcBorders>
              <w:top w:val="single" w:sz="4" w:space="0" w:color="auto"/>
              <w:left w:val="single" w:sz="4" w:space="0" w:color="auto"/>
              <w:bottom w:val="single" w:sz="4" w:space="0" w:color="auto"/>
              <w:right w:val="single" w:sz="4" w:space="0" w:color="auto"/>
            </w:tcBorders>
          </w:tcPr>
          <w:p w:rsidR="00B11F11" w:rsidRPr="0066795C" w:rsidRDefault="00B11F11" w:rsidP="00942AEC">
            <w:pPr>
              <w:jc w:val="center"/>
            </w:pPr>
            <w:r w:rsidRPr="0066795C">
              <w:t>49937,5</w:t>
            </w:r>
          </w:p>
        </w:tc>
        <w:tc>
          <w:tcPr>
            <w:tcW w:w="1814" w:type="dxa"/>
            <w:tcBorders>
              <w:top w:val="single" w:sz="4" w:space="0" w:color="auto"/>
              <w:left w:val="single" w:sz="4" w:space="0" w:color="auto"/>
              <w:bottom w:val="single" w:sz="4" w:space="0" w:color="auto"/>
              <w:right w:val="single" w:sz="4" w:space="0" w:color="auto"/>
            </w:tcBorders>
          </w:tcPr>
          <w:p w:rsidR="00B11F11" w:rsidRPr="0066795C" w:rsidRDefault="00B11F11" w:rsidP="00942AEC">
            <w:pPr>
              <w:jc w:val="center"/>
            </w:pPr>
            <w:r w:rsidRPr="0066795C">
              <w:t>52472,2</w:t>
            </w:r>
          </w:p>
        </w:tc>
        <w:tc>
          <w:tcPr>
            <w:tcW w:w="1414" w:type="dxa"/>
            <w:tcBorders>
              <w:top w:val="single" w:sz="4" w:space="0" w:color="auto"/>
              <w:left w:val="single" w:sz="4" w:space="0" w:color="auto"/>
              <w:bottom w:val="single" w:sz="4" w:space="0" w:color="auto"/>
              <w:right w:val="single" w:sz="4" w:space="0" w:color="auto"/>
            </w:tcBorders>
            <w:vAlign w:val="center"/>
          </w:tcPr>
          <w:p w:rsidR="00B11F11" w:rsidRPr="0066795C" w:rsidRDefault="00B11F11">
            <w:pPr>
              <w:jc w:val="center"/>
            </w:pPr>
            <w:r w:rsidRPr="0066795C">
              <w:t>105,08</w:t>
            </w:r>
          </w:p>
        </w:tc>
      </w:tr>
      <w:tr w:rsidR="0066795C" w:rsidRPr="0066795C" w:rsidTr="007F4C9F">
        <w:trPr>
          <w:trHeight w:val="21"/>
        </w:trPr>
        <w:tc>
          <w:tcPr>
            <w:tcW w:w="4678" w:type="dxa"/>
            <w:tcBorders>
              <w:top w:val="single" w:sz="4" w:space="0" w:color="auto"/>
              <w:left w:val="single" w:sz="4" w:space="0" w:color="auto"/>
              <w:bottom w:val="single" w:sz="4" w:space="0" w:color="auto"/>
              <w:right w:val="single" w:sz="4" w:space="0" w:color="auto"/>
            </w:tcBorders>
            <w:vAlign w:val="center"/>
            <w:hideMark/>
          </w:tcPr>
          <w:p w:rsidR="00B11F11" w:rsidRPr="0066795C" w:rsidRDefault="00B11F11" w:rsidP="00B658AC">
            <w:pPr>
              <w:tabs>
                <w:tab w:val="center" w:pos="4677"/>
                <w:tab w:val="right" w:pos="9355"/>
              </w:tabs>
              <w:jc w:val="left"/>
            </w:pPr>
            <w:r w:rsidRPr="0066795C">
              <w:t>здравоохранение</w:t>
            </w:r>
          </w:p>
        </w:tc>
        <w:tc>
          <w:tcPr>
            <w:tcW w:w="1730" w:type="dxa"/>
            <w:tcBorders>
              <w:top w:val="single" w:sz="4" w:space="0" w:color="auto"/>
              <w:left w:val="single" w:sz="4" w:space="0" w:color="auto"/>
              <w:bottom w:val="single" w:sz="4" w:space="0" w:color="auto"/>
              <w:right w:val="single" w:sz="4" w:space="0" w:color="auto"/>
            </w:tcBorders>
          </w:tcPr>
          <w:p w:rsidR="00B11F11" w:rsidRPr="0066795C" w:rsidRDefault="003666C4" w:rsidP="00942AEC">
            <w:pPr>
              <w:jc w:val="center"/>
            </w:pPr>
            <w:r>
              <w:t>71114,2</w:t>
            </w:r>
          </w:p>
        </w:tc>
        <w:tc>
          <w:tcPr>
            <w:tcW w:w="1814" w:type="dxa"/>
            <w:tcBorders>
              <w:top w:val="single" w:sz="4" w:space="0" w:color="auto"/>
              <w:left w:val="single" w:sz="4" w:space="0" w:color="auto"/>
              <w:bottom w:val="single" w:sz="4" w:space="0" w:color="auto"/>
              <w:right w:val="single" w:sz="4" w:space="0" w:color="auto"/>
            </w:tcBorders>
          </w:tcPr>
          <w:p w:rsidR="00B11F11" w:rsidRPr="0066795C" w:rsidRDefault="00B11F11" w:rsidP="003666C4">
            <w:pPr>
              <w:jc w:val="center"/>
            </w:pPr>
            <w:r w:rsidRPr="0066795C">
              <w:t>7</w:t>
            </w:r>
            <w:r w:rsidR="003666C4">
              <w:t>5252,4</w:t>
            </w:r>
          </w:p>
        </w:tc>
        <w:tc>
          <w:tcPr>
            <w:tcW w:w="1414" w:type="dxa"/>
            <w:tcBorders>
              <w:top w:val="single" w:sz="4" w:space="0" w:color="auto"/>
              <w:left w:val="single" w:sz="4" w:space="0" w:color="auto"/>
              <w:bottom w:val="single" w:sz="4" w:space="0" w:color="auto"/>
              <w:right w:val="single" w:sz="4" w:space="0" w:color="auto"/>
            </w:tcBorders>
            <w:vAlign w:val="center"/>
          </w:tcPr>
          <w:p w:rsidR="00B11F11" w:rsidRPr="0066795C" w:rsidRDefault="003666C4">
            <w:pPr>
              <w:jc w:val="center"/>
            </w:pPr>
            <w:r>
              <w:t>105,82</w:t>
            </w:r>
          </w:p>
        </w:tc>
      </w:tr>
      <w:tr w:rsidR="0066795C" w:rsidRPr="0066795C" w:rsidTr="007F4C9F">
        <w:trPr>
          <w:trHeight w:val="21"/>
        </w:trPr>
        <w:tc>
          <w:tcPr>
            <w:tcW w:w="4678" w:type="dxa"/>
            <w:tcBorders>
              <w:top w:val="single" w:sz="4" w:space="0" w:color="auto"/>
              <w:left w:val="single" w:sz="4" w:space="0" w:color="auto"/>
              <w:bottom w:val="single" w:sz="4" w:space="0" w:color="auto"/>
              <w:right w:val="single" w:sz="4" w:space="0" w:color="auto"/>
            </w:tcBorders>
            <w:vAlign w:val="center"/>
            <w:hideMark/>
          </w:tcPr>
          <w:p w:rsidR="00B11F11" w:rsidRPr="0066795C" w:rsidRDefault="00B11F11" w:rsidP="00B658AC">
            <w:pPr>
              <w:tabs>
                <w:tab w:val="center" w:pos="4677"/>
                <w:tab w:val="right" w:pos="9355"/>
              </w:tabs>
              <w:jc w:val="left"/>
            </w:pPr>
            <w:r w:rsidRPr="0066795C">
              <w:t>культура, физическая культура и спорт</w:t>
            </w:r>
          </w:p>
        </w:tc>
        <w:tc>
          <w:tcPr>
            <w:tcW w:w="1730" w:type="dxa"/>
            <w:tcBorders>
              <w:top w:val="single" w:sz="4" w:space="0" w:color="auto"/>
              <w:left w:val="single" w:sz="4" w:space="0" w:color="auto"/>
              <w:bottom w:val="single" w:sz="4" w:space="0" w:color="auto"/>
              <w:right w:val="single" w:sz="4" w:space="0" w:color="auto"/>
            </w:tcBorders>
          </w:tcPr>
          <w:p w:rsidR="00B11F11" w:rsidRPr="0066795C" w:rsidRDefault="00B11F11" w:rsidP="00942AEC">
            <w:pPr>
              <w:jc w:val="center"/>
            </w:pPr>
            <w:r w:rsidRPr="0066795C">
              <w:t>56495,9</w:t>
            </w:r>
          </w:p>
        </w:tc>
        <w:tc>
          <w:tcPr>
            <w:tcW w:w="1814" w:type="dxa"/>
            <w:tcBorders>
              <w:top w:val="single" w:sz="4" w:space="0" w:color="auto"/>
              <w:left w:val="single" w:sz="4" w:space="0" w:color="auto"/>
              <w:bottom w:val="single" w:sz="4" w:space="0" w:color="auto"/>
              <w:right w:val="single" w:sz="4" w:space="0" w:color="auto"/>
            </w:tcBorders>
          </w:tcPr>
          <w:p w:rsidR="00B11F11" w:rsidRPr="0066795C" w:rsidRDefault="00B11F11" w:rsidP="00942AEC">
            <w:pPr>
              <w:jc w:val="center"/>
            </w:pPr>
            <w:r w:rsidRPr="0066795C">
              <w:t>61263,9</w:t>
            </w:r>
          </w:p>
        </w:tc>
        <w:tc>
          <w:tcPr>
            <w:tcW w:w="1414" w:type="dxa"/>
            <w:tcBorders>
              <w:top w:val="single" w:sz="4" w:space="0" w:color="auto"/>
              <w:left w:val="single" w:sz="4" w:space="0" w:color="auto"/>
              <w:bottom w:val="single" w:sz="4" w:space="0" w:color="auto"/>
              <w:right w:val="single" w:sz="4" w:space="0" w:color="auto"/>
            </w:tcBorders>
            <w:vAlign w:val="center"/>
          </w:tcPr>
          <w:p w:rsidR="00B11F11" w:rsidRPr="0066795C" w:rsidRDefault="00B11F11">
            <w:pPr>
              <w:jc w:val="center"/>
            </w:pPr>
            <w:r w:rsidRPr="0066795C">
              <w:t>108,44</w:t>
            </w:r>
          </w:p>
        </w:tc>
      </w:tr>
    </w:tbl>
    <w:p w:rsidR="00485F66" w:rsidRPr="0066795C" w:rsidRDefault="00485F66" w:rsidP="00B658AC"/>
    <w:p w:rsidR="00485F66" w:rsidRDefault="00485F66" w:rsidP="00235342">
      <w:pPr>
        <w:ind w:firstLine="709"/>
      </w:pPr>
      <w:r w:rsidRPr="0066795C">
        <w:t>Уровень заработной платы за 9 месяцев 201</w:t>
      </w:r>
      <w:r w:rsidR="00FD413D" w:rsidRPr="0066795C">
        <w:t>9</w:t>
      </w:r>
      <w:r w:rsidRPr="0066795C">
        <w:t xml:space="preserve"> года вырос во всех отраслях в пределах </w:t>
      </w:r>
      <w:r w:rsidR="00B11F11" w:rsidRPr="0066795C">
        <w:t>5</w:t>
      </w:r>
      <w:r w:rsidR="00FD413D" w:rsidRPr="0066795C">
        <w:t>,</w:t>
      </w:r>
      <w:r w:rsidR="00B11F11" w:rsidRPr="0066795C">
        <w:t>08</w:t>
      </w:r>
      <w:r w:rsidRPr="0066795C">
        <w:t>-</w:t>
      </w:r>
      <w:r w:rsidR="004860E7" w:rsidRPr="0066795C">
        <w:t>12,</w:t>
      </w:r>
      <w:r w:rsidR="00B11F11" w:rsidRPr="0066795C">
        <w:t>43</w:t>
      </w:r>
      <w:r w:rsidRPr="0066795C">
        <w:t>% благодаря проведенной в  начале года индексации  заработной платы работников бюджетной сфер</w:t>
      </w:r>
      <w:r w:rsidR="00A64BE2" w:rsidRPr="0066795C">
        <w:t>ы</w:t>
      </w:r>
      <w:r w:rsidRPr="0066795C">
        <w:t xml:space="preserve"> и </w:t>
      </w:r>
      <w:r w:rsidR="00C14756">
        <w:t xml:space="preserve">постепенной </w:t>
      </w:r>
      <w:r w:rsidR="0063023E">
        <w:t>индексации</w:t>
      </w:r>
      <w:r w:rsidRPr="0066795C">
        <w:t xml:space="preserve"> </w:t>
      </w:r>
      <w:r w:rsidR="00C14756">
        <w:t xml:space="preserve">в течение года </w:t>
      </w:r>
      <w:r w:rsidR="0063023E" w:rsidRPr="0066795C">
        <w:t xml:space="preserve">заработных плат </w:t>
      </w:r>
      <w:r w:rsidR="00C14756">
        <w:t>в остальных отраслях</w:t>
      </w:r>
      <w:r w:rsidR="0063023E">
        <w:t xml:space="preserve"> экономики.</w:t>
      </w:r>
    </w:p>
    <w:p w:rsidR="000958E8" w:rsidRDefault="000958E8" w:rsidP="00B658AC"/>
    <w:p w:rsidR="002C6781" w:rsidRPr="0066795C" w:rsidRDefault="002C6781" w:rsidP="00B658AC"/>
    <w:p w:rsidR="00E3092F" w:rsidRPr="0066795C" w:rsidRDefault="00E3092F" w:rsidP="00E3092F">
      <w:r w:rsidRPr="0066795C">
        <w:t>ДОХОДЫ И РАСХОДЫ МЕСТНОГО БЮДЖЕТА.</w:t>
      </w:r>
    </w:p>
    <w:p w:rsidR="00E3092F" w:rsidRPr="0066795C" w:rsidRDefault="00E3092F" w:rsidP="00E3092F">
      <w:pPr>
        <w:pStyle w:val="a3"/>
        <w:spacing w:after="0"/>
        <w:ind w:left="0"/>
      </w:pPr>
    </w:p>
    <w:p w:rsidR="00E3092F" w:rsidRPr="0066795C" w:rsidRDefault="00E3092F" w:rsidP="00E3092F">
      <w:pPr>
        <w:ind w:firstLine="709"/>
      </w:pPr>
      <w:r w:rsidRPr="0066795C">
        <w:rPr>
          <w:rStyle w:val="af3"/>
          <w:b w:val="0"/>
        </w:rPr>
        <w:t>Исполнение местного бюджета по доходам</w:t>
      </w:r>
    </w:p>
    <w:p w:rsidR="00E3092F" w:rsidRPr="0066795C" w:rsidRDefault="00E3092F" w:rsidP="00E3092F">
      <w:pPr>
        <w:ind w:firstLine="709"/>
      </w:pPr>
    </w:p>
    <w:p w:rsidR="00E3092F" w:rsidRPr="0066795C" w:rsidRDefault="00E3092F" w:rsidP="00E3092F">
      <w:pPr>
        <w:ind w:firstLine="709"/>
      </w:pPr>
      <w:r w:rsidRPr="0066795C">
        <w:t>Доходы</w:t>
      </w:r>
      <w:r w:rsidRPr="0066795C">
        <w:rPr>
          <w:rStyle w:val="apple-converted-space"/>
        </w:rPr>
        <w:t> </w:t>
      </w:r>
      <w:r w:rsidRPr="0066795C">
        <w:t>местного бюджета на 2019 год утверждены в сумме 4 973,3 млн рублей. За январь-сентябрь 2019 года в местный бюджет поступило 3 076,9 млн рублей, или 61,9% от плана 2019 года. По сравнению с аналогичным периодом 2018 годом поступления увеличились на 69,5 млн рублей или на 2,3%.</w:t>
      </w:r>
    </w:p>
    <w:p w:rsidR="00E3092F" w:rsidRPr="0066795C" w:rsidRDefault="00E3092F" w:rsidP="00E3092F">
      <w:pPr>
        <w:ind w:firstLine="709"/>
      </w:pPr>
    </w:p>
    <w:p w:rsidR="00E3092F" w:rsidRPr="0066795C" w:rsidRDefault="00E3092F" w:rsidP="00E3092F">
      <w:r w:rsidRPr="0066795C">
        <w:t>Структура доходов местного бюджета характеризуется следующими показателями:</w:t>
      </w:r>
    </w:p>
    <w:p w:rsidR="00E3092F" w:rsidRPr="0066795C" w:rsidRDefault="00E3092F" w:rsidP="00E3092F"/>
    <w:p w:rsidR="00E3092F" w:rsidRPr="0066795C" w:rsidRDefault="00E3092F" w:rsidP="00E3092F">
      <w:pPr>
        <w:jc w:val="right"/>
        <w:rPr>
          <w:sz w:val="20"/>
          <w:szCs w:val="20"/>
        </w:rPr>
      </w:pPr>
      <w:r w:rsidRPr="0066795C">
        <w:rPr>
          <w:sz w:val="20"/>
          <w:szCs w:val="20"/>
        </w:rPr>
        <w:t>млн рублей</w:t>
      </w:r>
    </w:p>
    <w:tbl>
      <w:tblPr>
        <w:tblW w:w="0" w:type="auto"/>
        <w:tblInd w:w="108" w:type="dxa"/>
        <w:tblLayout w:type="fixed"/>
        <w:tblCellMar>
          <w:left w:w="0" w:type="dxa"/>
          <w:right w:w="0" w:type="dxa"/>
        </w:tblCellMar>
        <w:tblLook w:val="00A0" w:firstRow="1" w:lastRow="0" w:firstColumn="1" w:lastColumn="0" w:noHBand="0" w:noVBand="0"/>
      </w:tblPr>
      <w:tblGrid>
        <w:gridCol w:w="4400"/>
        <w:gridCol w:w="1778"/>
        <w:gridCol w:w="1778"/>
        <w:gridCol w:w="1778"/>
      </w:tblGrid>
      <w:tr w:rsidR="0066795C" w:rsidRPr="0066795C" w:rsidTr="00953444">
        <w:trPr>
          <w:trHeight w:val="75"/>
          <w:tblHeader/>
        </w:trPr>
        <w:tc>
          <w:tcPr>
            <w:tcW w:w="4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092F" w:rsidRPr="0066795C" w:rsidRDefault="00E3092F" w:rsidP="00953444">
            <w:pPr>
              <w:jc w:val="center"/>
              <w:rPr>
                <w:sz w:val="20"/>
                <w:szCs w:val="20"/>
              </w:rPr>
            </w:pPr>
            <w:r w:rsidRPr="0066795C">
              <w:rPr>
                <w:rStyle w:val="af3"/>
                <w:b w:val="0"/>
                <w:sz w:val="20"/>
                <w:szCs w:val="20"/>
              </w:rPr>
              <w:t>Наименование доходов</w:t>
            </w:r>
          </w:p>
        </w:tc>
        <w:tc>
          <w:tcPr>
            <w:tcW w:w="1778" w:type="dxa"/>
            <w:tcBorders>
              <w:top w:val="single" w:sz="8" w:space="0" w:color="auto"/>
              <w:left w:val="nil"/>
              <w:bottom w:val="single" w:sz="8" w:space="0" w:color="auto"/>
              <w:right w:val="single" w:sz="4" w:space="0" w:color="auto"/>
            </w:tcBorders>
            <w:vAlign w:val="center"/>
          </w:tcPr>
          <w:p w:rsidR="00E3092F" w:rsidRPr="0066795C" w:rsidRDefault="00E3092F" w:rsidP="00953444">
            <w:pPr>
              <w:jc w:val="center"/>
              <w:rPr>
                <w:rStyle w:val="af3"/>
                <w:b w:val="0"/>
                <w:sz w:val="20"/>
                <w:szCs w:val="20"/>
              </w:rPr>
            </w:pPr>
            <w:r w:rsidRPr="0066795C">
              <w:rPr>
                <w:rStyle w:val="af3"/>
                <w:b w:val="0"/>
                <w:sz w:val="20"/>
                <w:szCs w:val="20"/>
              </w:rPr>
              <w:t>9 месяцев</w:t>
            </w:r>
          </w:p>
          <w:p w:rsidR="00E3092F" w:rsidRPr="0066795C" w:rsidRDefault="00E3092F" w:rsidP="00953444">
            <w:pPr>
              <w:jc w:val="center"/>
              <w:rPr>
                <w:sz w:val="20"/>
                <w:szCs w:val="20"/>
              </w:rPr>
            </w:pPr>
            <w:r w:rsidRPr="0066795C">
              <w:rPr>
                <w:rStyle w:val="af3"/>
                <w:b w:val="0"/>
                <w:sz w:val="20"/>
                <w:szCs w:val="20"/>
              </w:rPr>
              <w:t>2018 года</w:t>
            </w:r>
          </w:p>
        </w:tc>
        <w:tc>
          <w:tcPr>
            <w:tcW w:w="177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E3092F" w:rsidRPr="0066795C" w:rsidRDefault="00E3092F" w:rsidP="00953444">
            <w:pPr>
              <w:jc w:val="center"/>
              <w:rPr>
                <w:rStyle w:val="af3"/>
                <w:b w:val="0"/>
                <w:sz w:val="20"/>
                <w:szCs w:val="20"/>
              </w:rPr>
            </w:pPr>
            <w:r w:rsidRPr="0066795C">
              <w:rPr>
                <w:rStyle w:val="af3"/>
                <w:b w:val="0"/>
                <w:sz w:val="20"/>
                <w:szCs w:val="20"/>
              </w:rPr>
              <w:t>9 месяцев</w:t>
            </w:r>
          </w:p>
          <w:p w:rsidR="00E3092F" w:rsidRPr="0066795C" w:rsidRDefault="00E3092F" w:rsidP="00953444">
            <w:pPr>
              <w:jc w:val="center"/>
              <w:rPr>
                <w:sz w:val="20"/>
                <w:szCs w:val="20"/>
              </w:rPr>
            </w:pPr>
            <w:r w:rsidRPr="0066795C">
              <w:rPr>
                <w:rStyle w:val="af3"/>
                <w:b w:val="0"/>
                <w:sz w:val="20"/>
                <w:szCs w:val="20"/>
              </w:rPr>
              <w:t>2019 года</w:t>
            </w:r>
          </w:p>
        </w:tc>
        <w:tc>
          <w:tcPr>
            <w:tcW w:w="17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092F" w:rsidRPr="0066795C" w:rsidRDefault="00E3092F" w:rsidP="00953444">
            <w:pPr>
              <w:jc w:val="center"/>
              <w:rPr>
                <w:sz w:val="20"/>
                <w:szCs w:val="20"/>
              </w:rPr>
            </w:pPr>
            <w:r w:rsidRPr="0066795C">
              <w:rPr>
                <w:rStyle w:val="af3"/>
                <w:b w:val="0"/>
                <w:sz w:val="20"/>
                <w:szCs w:val="20"/>
              </w:rPr>
              <w:t>Темп роста (снижения), %</w:t>
            </w:r>
          </w:p>
        </w:tc>
      </w:tr>
      <w:tr w:rsidR="0066795C" w:rsidRPr="0066795C" w:rsidTr="00953444">
        <w:trPr>
          <w:trHeight w:val="439"/>
        </w:trPr>
        <w:tc>
          <w:tcPr>
            <w:tcW w:w="4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092F" w:rsidRPr="0066795C" w:rsidRDefault="00E3092F" w:rsidP="00953444">
            <w:pPr>
              <w:jc w:val="left"/>
            </w:pPr>
            <w:r w:rsidRPr="0066795C">
              <w:t>Всего налоговых и неналоговых доходов</w:t>
            </w:r>
          </w:p>
        </w:tc>
        <w:tc>
          <w:tcPr>
            <w:tcW w:w="1778" w:type="dxa"/>
            <w:tcBorders>
              <w:top w:val="nil"/>
              <w:left w:val="nil"/>
              <w:bottom w:val="single" w:sz="8" w:space="0" w:color="auto"/>
              <w:right w:val="single" w:sz="4" w:space="0" w:color="auto"/>
            </w:tcBorders>
            <w:vAlign w:val="center"/>
          </w:tcPr>
          <w:p w:rsidR="00E3092F" w:rsidRPr="0066795C" w:rsidRDefault="00E3092F" w:rsidP="00953444">
            <w:pPr>
              <w:jc w:val="center"/>
            </w:pPr>
            <w:r w:rsidRPr="0066795C">
              <w:t>898,1 </w:t>
            </w:r>
          </w:p>
        </w:tc>
        <w:tc>
          <w:tcPr>
            <w:tcW w:w="177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E3092F" w:rsidRPr="0066795C" w:rsidRDefault="00E3092F" w:rsidP="00953444">
            <w:pPr>
              <w:jc w:val="center"/>
            </w:pPr>
            <w:r w:rsidRPr="0066795C">
              <w:t>1 033,5</w:t>
            </w:r>
          </w:p>
        </w:tc>
        <w:tc>
          <w:tcPr>
            <w:tcW w:w="1778" w:type="dxa"/>
            <w:tcBorders>
              <w:top w:val="nil"/>
              <w:left w:val="nil"/>
              <w:bottom w:val="single" w:sz="8" w:space="0" w:color="auto"/>
              <w:right w:val="single" w:sz="8" w:space="0" w:color="auto"/>
            </w:tcBorders>
            <w:tcMar>
              <w:top w:w="0" w:type="dxa"/>
              <w:left w:w="108" w:type="dxa"/>
              <w:bottom w:w="0" w:type="dxa"/>
              <w:right w:w="108" w:type="dxa"/>
            </w:tcMar>
            <w:vAlign w:val="center"/>
          </w:tcPr>
          <w:p w:rsidR="00E3092F" w:rsidRPr="0066795C" w:rsidRDefault="00E3092F" w:rsidP="00953444">
            <w:pPr>
              <w:jc w:val="center"/>
            </w:pPr>
            <w:r w:rsidRPr="0066795C">
              <w:t>115,1</w:t>
            </w:r>
          </w:p>
        </w:tc>
      </w:tr>
      <w:tr w:rsidR="0066795C" w:rsidRPr="0066795C" w:rsidTr="00953444">
        <w:trPr>
          <w:trHeight w:val="233"/>
        </w:trPr>
        <w:tc>
          <w:tcPr>
            <w:tcW w:w="4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092F" w:rsidRPr="0066795C" w:rsidRDefault="00E3092F" w:rsidP="00953444">
            <w:pPr>
              <w:jc w:val="left"/>
              <w:rPr>
                <w:i/>
              </w:rPr>
            </w:pPr>
            <w:r w:rsidRPr="0066795C">
              <w:t xml:space="preserve">в том числе: </w:t>
            </w:r>
            <w:r w:rsidRPr="0066795C">
              <w:rPr>
                <w:i/>
              </w:rPr>
              <w:t>Налоговые доходы</w:t>
            </w:r>
          </w:p>
        </w:tc>
        <w:tc>
          <w:tcPr>
            <w:tcW w:w="1778" w:type="dxa"/>
            <w:tcBorders>
              <w:top w:val="nil"/>
              <w:left w:val="nil"/>
              <w:bottom w:val="single" w:sz="8" w:space="0" w:color="auto"/>
              <w:right w:val="single" w:sz="4" w:space="0" w:color="auto"/>
            </w:tcBorders>
            <w:vAlign w:val="bottom"/>
          </w:tcPr>
          <w:p w:rsidR="00E3092F" w:rsidRPr="0066795C" w:rsidRDefault="00E3092F" w:rsidP="00953444">
            <w:pPr>
              <w:jc w:val="center"/>
              <w:rPr>
                <w:i/>
              </w:rPr>
            </w:pPr>
            <w:r w:rsidRPr="0066795C">
              <w:rPr>
                <w:i/>
              </w:rPr>
              <w:t>761,9 </w:t>
            </w:r>
          </w:p>
        </w:tc>
        <w:tc>
          <w:tcPr>
            <w:tcW w:w="177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bottom"/>
          </w:tcPr>
          <w:p w:rsidR="00E3092F" w:rsidRPr="0066795C" w:rsidRDefault="00E3092F" w:rsidP="00953444">
            <w:pPr>
              <w:jc w:val="center"/>
              <w:rPr>
                <w:i/>
              </w:rPr>
            </w:pPr>
            <w:r w:rsidRPr="0066795C">
              <w:rPr>
                <w:i/>
              </w:rPr>
              <w:t>863,6</w:t>
            </w:r>
          </w:p>
        </w:tc>
        <w:tc>
          <w:tcPr>
            <w:tcW w:w="1778" w:type="dxa"/>
            <w:tcBorders>
              <w:top w:val="nil"/>
              <w:left w:val="nil"/>
              <w:bottom w:val="single" w:sz="8" w:space="0" w:color="auto"/>
              <w:right w:val="single" w:sz="8" w:space="0" w:color="auto"/>
            </w:tcBorders>
            <w:tcMar>
              <w:top w:w="0" w:type="dxa"/>
              <w:left w:w="108" w:type="dxa"/>
              <w:bottom w:w="0" w:type="dxa"/>
              <w:right w:w="108" w:type="dxa"/>
            </w:tcMar>
            <w:vAlign w:val="bottom"/>
          </w:tcPr>
          <w:p w:rsidR="00E3092F" w:rsidRPr="0066795C" w:rsidRDefault="00E3092F" w:rsidP="00953444">
            <w:pPr>
              <w:jc w:val="center"/>
              <w:rPr>
                <w:i/>
              </w:rPr>
            </w:pPr>
            <w:r w:rsidRPr="0066795C">
              <w:rPr>
                <w:i/>
              </w:rPr>
              <w:t>113,4</w:t>
            </w:r>
          </w:p>
        </w:tc>
      </w:tr>
      <w:tr w:rsidR="0066795C" w:rsidRPr="0066795C" w:rsidTr="00953444">
        <w:trPr>
          <w:trHeight w:val="381"/>
        </w:trPr>
        <w:tc>
          <w:tcPr>
            <w:tcW w:w="4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092F" w:rsidRPr="0066795C" w:rsidRDefault="00E3092F" w:rsidP="00953444">
            <w:pPr>
              <w:jc w:val="left"/>
              <w:rPr>
                <w:i/>
              </w:rPr>
            </w:pPr>
            <w:r w:rsidRPr="0066795C">
              <w:rPr>
                <w:i/>
              </w:rPr>
              <w:t>Неналоговые доходы</w:t>
            </w:r>
          </w:p>
        </w:tc>
        <w:tc>
          <w:tcPr>
            <w:tcW w:w="1778" w:type="dxa"/>
            <w:tcBorders>
              <w:top w:val="nil"/>
              <w:left w:val="nil"/>
              <w:bottom w:val="single" w:sz="8" w:space="0" w:color="auto"/>
              <w:right w:val="single" w:sz="4" w:space="0" w:color="auto"/>
            </w:tcBorders>
            <w:vAlign w:val="center"/>
          </w:tcPr>
          <w:p w:rsidR="00E3092F" w:rsidRPr="0066795C" w:rsidRDefault="00E3092F" w:rsidP="00953444">
            <w:pPr>
              <w:jc w:val="center"/>
              <w:rPr>
                <w:i/>
              </w:rPr>
            </w:pPr>
            <w:r w:rsidRPr="0066795C">
              <w:rPr>
                <w:i/>
              </w:rPr>
              <w:t>136,1 </w:t>
            </w:r>
          </w:p>
        </w:tc>
        <w:tc>
          <w:tcPr>
            <w:tcW w:w="177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E3092F" w:rsidRPr="0066795C" w:rsidRDefault="00E3092F" w:rsidP="00953444">
            <w:pPr>
              <w:jc w:val="center"/>
              <w:rPr>
                <w:i/>
              </w:rPr>
            </w:pPr>
            <w:r w:rsidRPr="0066795C">
              <w:rPr>
                <w:i/>
              </w:rPr>
              <w:t>169,9</w:t>
            </w:r>
          </w:p>
        </w:tc>
        <w:tc>
          <w:tcPr>
            <w:tcW w:w="1778" w:type="dxa"/>
            <w:tcBorders>
              <w:top w:val="nil"/>
              <w:left w:val="nil"/>
              <w:bottom w:val="single" w:sz="8" w:space="0" w:color="auto"/>
              <w:right w:val="single" w:sz="8" w:space="0" w:color="auto"/>
            </w:tcBorders>
            <w:tcMar>
              <w:top w:w="0" w:type="dxa"/>
              <w:left w:w="108" w:type="dxa"/>
              <w:bottom w:w="0" w:type="dxa"/>
              <w:right w:w="108" w:type="dxa"/>
            </w:tcMar>
            <w:vAlign w:val="center"/>
          </w:tcPr>
          <w:p w:rsidR="00E3092F" w:rsidRPr="0066795C" w:rsidRDefault="00E3092F" w:rsidP="00953444">
            <w:pPr>
              <w:jc w:val="center"/>
              <w:rPr>
                <w:i/>
              </w:rPr>
            </w:pPr>
            <w:r w:rsidRPr="0066795C">
              <w:rPr>
                <w:i/>
              </w:rPr>
              <w:t>124,8</w:t>
            </w:r>
          </w:p>
        </w:tc>
      </w:tr>
      <w:tr w:rsidR="0066795C" w:rsidRPr="0066795C" w:rsidTr="00953444">
        <w:trPr>
          <w:trHeight w:val="207"/>
        </w:trPr>
        <w:tc>
          <w:tcPr>
            <w:tcW w:w="4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092F" w:rsidRPr="0066795C" w:rsidRDefault="00E3092F" w:rsidP="00953444">
            <w:pPr>
              <w:jc w:val="left"/>
            </w:pPr>
            <w:r w:rsidRPr="0066795C">
              <w:t xml:space="preserve">Безвозмездные поступления </w:t>
            </w:r>
          </w:p>
        </w:tc>
        <w:tc>
          <w:tcPr>
            <w:tcW w:w="1778" w:type="dxa"/>
            <w:tcBorders>
              <w:top w:val="nil"/>
              <w:left w:val="nil"/>
              <w:bottom w:val="single" w:sz="8" w:space="0" w:color="auto"/>
              <w:right w:val="single" w:sz="4" w:space="0" w:color="auto"/>
            </w:tcBorders>
            <w:vAlign w:val="center"/>
          </w:tcPr>
          <w:p w:rsidR="00E3092F" w:rsidRPr="0066795C" w:rsidRDefault="00E3092F" w:rsidP="00953444">
            <w:pPr>
              <w:jc w:val="center"/>
            </w:pPr>
            <w:r w:rsidRPr="0066795C">
              <w:t>2 109,3 </w:t>
            </w:r>
          </w:p>
        </w:tc>
        <w:tc>
          <w:tcPr>
            <w:tcW w:w="177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E3092F" w:rsidRPr="0066795C" w:rsidRDefault="00E3092F" w:rsidP="00953444">
            <w:pPr>
              <w:jc w:val="center"/>
            </w:pPr>
            <w:r w:rsidRPr="0066795C">
              <w:t>2 043,4</w:t>
            </w:r>
          </w:p>
        </w:tc>
        <w:tc>
          <w:tcPr>
            <w:tcW w:w="1778" w:type="dxa"/>
            <w:tcBorders>
              <w:top w:val="nil"/>
              <w:left w:val="nil"/>
              <w:bottom w:val="single" w:sz="8" w:space="0" w:color="auto"/>
              <w:right w:val="single" w:sz="8" w:space="0" w:color="auto"/>
            </w:tcBorders>
            <w:tcMar>
              <w:top w:w="0" w:type="dxa"/>
              <w:left w:w="108" w:type="dxa"/>
              <w:bottom w:w="0" w:type="dxa"/>
              <w:right w:w="108" w:type="dxa"/>
            </w:tcMar>
            <w:vAlign w:val="center"/>
          </w:tcPr>
          <w:p w:rsidR="00E3092F" w:rsidRPr="0066795C" w:rsidRDefault="00E3092F" w:rsidP="00953444">
            <w:pPr>
              <w:jc w:val="center"/>
            </w:pPr>
            <w:r w:rsidRPr="0066795C">
              <w:t>96,9</w:t>
            </w:r>
          </w:p>
        </w:tc>
      </w:tr>
      <w:tr w:rsidR="0066795C" w:rsidRPr="0066795C" w:rsidTr="00953444">
        <w:trPr>
          <w:trHeight w:val="75"/>
        </w:trPr>
        <w:tc>
          <w:tcPr>
            <w:tcW w:w="4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092F" w:rsidRPr="0066795C" w:rsidRDefault="00E3092F" w:rsidP="00953444">
            <w:pPr>
              <w:jc w:val="left"/>
              <w:rPr>
                <w:bCs/>
              </w:rPr>
            </w:pPr>
            <w:r w:rsidRPr="0066795C">
              <w:rPr>
                <w:rStyle w:val="af3"/>
                <w:b w:val="0"/>
              </w:rPr>
              <w:t>Всего доходов</w:t>
            </w:r>
          </w:p>
        </w:tc>
        <w:tc>
          <w:tcPr>
            <w:tcW w:w="1778" w:type="dxa"/>
            <w:tcBorders>
              <w:top w:val="nil"/>
              <w:left w:val="nil"/>
              <w:bottom w:val="single" w:sz="8" w:space="0" w:color="auto"/>
              <w:right w:val="single" w:sz="4" w:space="0" w:color="auto"/>
            </w:tcBorders>
            <w:vAlign w:val="center"/>
          </w:tcPr>
          <w:p w:rsidR="00E3092F" w:rsidRPr="0066795C" w:rsidRDefault="00E3092F" w:rsidP="00953444">
            <w:pPr>
              <w:jc w:val="center"/>
              <w:rPr>
                <w:bCs/>
              </w:rPr>
            </w:pPr>
            <w:r w:rsidRPr="0066795C">
              <w:rPr>
                <w:bCs/>
              </w:rPr>
              <w:t>3 007,4 </w:t>
            </w:r>
          </w:p>
        </w:tc>
        <w:tc>
          <w:tcPr>
            <w:tcW w:w="177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E3092F" w:rsidRPr="0066795C" w:rsidRDefault="00E3092F" w:rsidP="00953444">
            <w:pPr>
              <w:jc w:val="center"/>
              <w:rPr>
                <w:bCs/>
              </w:rPr>
            </w:pPr>
            <w:r w:rsidRPr="0066795C">
              <w:rPr>
                <w:bCs/>
              </w:rPr>
              <w:t>3 076,9</w:t>
            </w:r>
          </w:p>
        </w:tc>
        <w:tc>
          <w:tcPr>
            <w:tcW w:w="1778" w:type="dxa"/>
            <w:tcBorders>
              <w:top w:val="nil"/>
              <w:left w:val="nil"/>
              <w:bottom w:val="single" w:sz="8" w:space="0" w:color="auto"/>
              <w:right w:val="single" w:sz="8" w:space="0" w:color="auto"/>
            </w:tcBorders>
            <w:tcMar>
              <w:top w:w="0" w:type="dxa"/>
              <w:left w:w="108" w:type="dxa"/>
              <w:bottom w:w="0" w:type="dxa"/>
              <w:right w:w="108" w:type="dxa"/>
            </w:tcMar>
            <w:vAlign w:val="center"/>
          </w:tcPr>
          <w:p w:rsidR="00E3092F" w:rsidRPr="0066795C" w:rsidRDefault="00E3092F" w:rsidP="00953444">
            <w:pPr>
              <w:jc w:val="center"/>
              <w:rPr>
                <w:bCs/>
              </w:rPr>
            </w:pPr>
            <w:r w:rsidRPr="0066795C">
              <w:rPr>
                <w:bCs/>
              </w:rPr>
              <w:t>102,3</w:t>
            </w:r>
          </w:p>
        </w:tc>
      </w:tr>
    </w:tbl>
    <w:p w:rsidR="00E3092F" w:rsidRPr="0066795C" w:rsidRDefault="00E3092F" w:rsidP="00E3092F">
      <w:r w:rsidRPr="0066795C">
        <w:t>           </w:t>
      </w:r>
    </w:p>
    <w:p w:rsidR="00E3092F" w:rsidRPr="0066795C" w:rsidRDefault="00E3092F" w:rsidP="00E3092F">
      <w:pPr>
        <w:ind w:firstLine="709"/>
      </w:pPr>
      <w:r w:rsidRPr="0066795C">
        <w:t>В отчетном периоде собственные доходы составили 1 033,5 млн рублей и увеличились на 15,1% по отношению к январю-сентябрю 2018 года. Основными источниками формирования собственных доходов местного бюджета за 9 месяцев</w:t>
      </w:r>
      <w:r w:rsidRPr="0066795C">
        <w:rPr>
          <w:rStyle w:val="af3"/>
          <w:b w:val="0"/>
        </w:rPr>
        <w:t xml:space="preserve"> 2019 года</w:t>
      </w:r>
      <w:r w:rsidRPr="0066795C">
        <w:t xml:space="preserve"> явились: налог на доходы физических лиц (64,4% от суммы собственных доходов), налоги на имущество (4,3%), налоги на совокупный доход (13,2%), доходы от использования имущества, находящегося в муниципальной собственности (11,1%), доходы от продажи материальных и нематериальных активов (3,5%). </w:t>
      </w:r>
    </w:p>
    <w:p w:rsidR="00E3092F" w:rsidRPr="0066795C" w:rsidRDefault="00E3092F" w:rsidP="00E3092F">
      <w:pPr>
        <w:ind w:firstLine="709"/>
        <w:rPr>
          <w:rStyle w:val="apple-converted-space"/>
        </w:rPr>
      </w:pPr>
      <w:r w:rsidRPr="0066795C">
        <w:t xml:space="preserve">За январь-сентябрь 2019 года в бюджет города поступило </w:t>
      </w:r>
      <w:r w:rsidRPr="0066795C">
        <w:rPr>
          <w:rStyle w:val="apple-style-span"/>
        </w:rPr>
        <w:t>863,6 млн рублей налоговых доходов. В общей сумме доходов консолидированного бюджета городского округа налоговые доходы составляют 28,1%. По сравнению с аналогичным периодом 2018 года налоговые доходы увеличились на 13,4%, или на 101,7 млн рублей.</w:t>
      </w:r>
      <w:r w:rsidRPr="0066795C">
        <w:rPr>
          <w:rStyle w:val="apple-converted-space"/>
        </w:rPr>
        <w:t> </w:t>
      </w:r>
    </w:p>
    <w:p w:rsidR="00E3092F" w:rsidRDefault="00E3092F" w:rsidP="00E3092F">
      <w:pPr>
        <w:ind w:firstLine="709"/>
        <w:rPr>
          <w:rStyle w:val="apple-style-span"/>
        </w:rPr>
      </w:pPr>
      <w:r w:rsidRPr="0066795C">
        <w:t xml:space="preserve">Основную долю налоговых поступлений бюджета городского округа город Мегион составляет налог на доходы физических лиц – 77,1%. </w:t>
      </w:r>
      <w:r w:rsidRPr="0066795C">
        <w:rPr>
          <w:rStyle w:val="apple-style-span"/>
        </w:rPr>
        <w:t>По сравнению с аналогичным периодом 2018 года налог на доходы физических лиц увеличился на 15,1% и составил 665,8 млн рублей.</w:t>
      </w:r>
    </w:p>
    <w:p w:rsidR="00E3092F" w:rsidRPr="0066795C" w:rsidRDefault="00E3092F" w:rsidP="00E3092F">
      <w:pPr>
        <w:ind w:firstLine="709"/>
      </w:pPr>
      <w:r w:rsidRPr="0066795C">
        <w:t xml:space="preserve">Исполнение местного бюджета по неналоговым доходам за 9 месяцев 2019 года составило 169,9 млн рублей и по сравнению с аналогичным периодом 2018 года неналоговые доходы увеличились на 24,8%. Удельный вес неналоговых доходов в собственных доходах местного бюджета составляет 16,4%. </w:t>
      </w:r>
    </w:p>
    <w:p w:rsidR="00E3092F" w:rsidRPr="0066795C" w:rsidRDefault="00E3092F" w:rsidP="00E3092F">
      <w:pPr>
        <w:ind w:firstLine="709"/>
      </w:pPr>
      <w:r w:rsidRPr="0066795C">
        <w:t>Наибольшую долю – 67,4% в неналоговых доходах местного бюджета составляют доходы от использования имущества, находящегося в государственной и муниципальной собственности, которые за январь-сентябрь 2019 года составили 114,5 млн рублей. По сравнению с аналогичным периодом 2018 года данные поступления увеличились на 54,0%.</w:t>
      </w:r>
    </w:p>
    <w:p w:rsidR="00E3092F" w:rsidRPr="0066795C" w:rsidRDefault="00E3092F" w:rsidP="00E3092F">
      <w:pPr>
        <w:ind w:firstLine="709"/>
      </w:pPr>
      <w:r w:rsidRPr="0066795C">
        <w:lastRenderedPageBreak/>
        <w:t xml:space="preserve">Основную часть доходов бюджета городского округа город Мегион составляют безвозмездные поступления от других бюджетов бюджетной системы, что свидетельствует о высокой дотационности городского округа. Безвозмездные поступления за отчетный период снизились по сравнению с 9 месяцами 2018 года на 3,1% и составили 2 043,4 млн рублей. </w:t>
      </w:r>
    </w:p>
    <w:p w:rsidR="00E3092F" w:rsidRPr="0066795C" w:rsidRDefault="00E3092F" w:rsidP="00E3092F">
      <w:pPr>
        <w:ind w:firstLine="709"/>
      </w:pPr>
      <w:r w:rsidRPr="0066795C">
        <w:t>В расчете на одного жителя доходы бюджета городского округа город Мегион за январь-сентябрь 2019 года составили 56,8 тыс. рублей.</w:t>
      </w:r>
    </w:p>
    <w:p w:rsidR="00E3092F" w:rsidRPr="0066795C" w:rsidRDefault="00E3092F" w:rsidP="00E3092F">
      <w:pPr>
        <w:pStyle w:val="af"/>
        <w:spacing w:after="0"/>
        <w:ind w:firstLine="709"/>
        <w:rPr>
          <w:rStyle w:val="af3"/>
          <w:b w:val="0"/>
        </w:rPr>
      </w:pPr>
    </w:p>
    <w:p w:rsidR="00E3092F" w:rsidRPr="0066795C" w:rsidRDefault="00E3092F" w:rsidP="00E3092F">
      <w:pPr>
        <w:pStyle w:val="af"/>
        <w:spacing w:after="0"/>
        <w:rPr>
          <w:rStyle w:val="af3"/>
          <w:b w:val="0"/>
        </w:rPr>
      </w:pPr>
      <w:r w:rsidRPr="0066795C">
        <w:rPr>
          <w:rStyle w:val="af3"/>
          <w:b w:val="0"/>
        </w:rPr>
        <w:t>Исполнение местного бюджета по расходам</w:t>
      </w:r>
    </w:p>
    <w:p w:rsidR="00E3092F" w:rsidRPr="0066795C" w:rsidRDefault="00E3092F" w:rsidP="00E3092F">
      <w:pPr>
        <w:pStyle w:val="af"/>
        <w:spacing w:after="0"/>
      </w:pPr>
    </w:p>
    <w:p w:rsidR="00E3092F" w:rsidRPr="0066795C" w:rsidRDefault="00E3092F" w:rsidP="00E3092F">
      <w:pPr>
        <w:pStyle w:val="af"/>
        <w:widowControl w:val="0"/>
        <w:suppressAutoHyphens/>
        <w:spacing w:after="0"/>
        <w:ind w:firstLine="709"/>
      </w:pPr>
      <w:r w:rsidRPr="0066795C">
        <w:t>Основной целью бюджетной политики в области расходов в отчетном периоде являлось обеспечение расходных обязательств городского округа с соблюдением качества и условий предоставления муниципальных услуг, обеспечение достойной жизни жителей города, содействие социальному и экономическому развитию города при безусловном учете эффективности и результативности бюджетных расходов.</w:t>
      </w:r>
    </w:p>
    <w:p w:rsidR="00E3092F" w:rsidRPr="0066795C" w:rsidRDefault="00E3092F" w:rsidP="00E3092F">
      <w:pPr>
        <w:pStyle w:val="a3"/>
        <w:spacing w:after="0"/>
        <w:ind w:left="0" w:firstLine="709"/>
      </w:pPr>
      <w:r w:rsidRPr="0066795C">
        <w:t>Расходная часть бюджета городского округа город Мегион на 2019 год утверждена в сумме 5 584,4 млн рублей. Исполнение консолидированного бюджета городского округа город Мегион за январь-сентябрь 2019 года составило 3 477,3 млн рублей, или 62,3% от плана 2019 года. По сравнению с аналогичным периодом 2018 года расходы увеличились на 16,7%.</w:t>
      </w:r>
    </w:p>
    <w:p w:rsidR="00E3092F" w:rsidRPr="0066795C" w:rsidRDefault="00E3092F" w:rsidP="00E3092F">
      <w:pPr>
        <w:pStyle w:val="a3"/>
        <w:spacing w:after="0"/>
        <w:ind w:left="0" w:firstLine="709"/>
      </w:pPr>
      <w:r w:rsidRPr="0066795C">
        <w:t>В разрезе основных направлений структура расходов бюджета городского округа город Мегион сложилась следующим образом:</w:t>
      </w:r>
    </w:p>
    <w:p w:rsidR="00E3092F" w:rsidRPr="0066795C" w:rsidRDefault="00E3092F" w:rsidP="00E3092F">
      <w:pPr>
        <w:pStyle w:val="a3"/>
        <w:spacing w:after="0"/>
        <w:ind w:left="0" w:firstLine="709"/>
        <w:rPr>
          <w:sz w:val="16"/>
          <w:szCs w:val="16"/>
        </w:rPr>
      </w:pPr>
    </w:p>
    <w:tbl>
      <w:tblPr>
        <w:tblW w:w="9771" w:type="dxa"/>
        <w:tblLayout w:type="fixed"/>
        <w:tblLook w:val="01E0" w:firstRow="1" w:lastRow="1" w:firstColumn="1" w:lastColumn="1" w:noHBand="0" w:noVBand="0"/>
      </w:tblPr>
      <w:tblGrid>
        <w:gridCol w:w="3248"/>
        <w:gridCol w:w="1537"/>
        <w:gridCol w:w="1538"/>
        <w:gridCol w:w="1806"/>
        <w:gridCol w:w="1642"/>
      </w:tblGrid>
      <w:tr w:rsidR="0066795C" w:rsidRPr="0066795C" w:rsidTr="00953444">
        <w:trPr>
          <w:trHeight w:val="404"/>
          <w:tblHeader/>
        </w:trPr>
        <w:tc>
          <w:tcPr>
            <w:tcW w:w="3248" w:type="dxa"/>
            <w:vMerge w:val="restart"/>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pStyle w:val="af"/>
              <w:widowControl w:val="0"/>
              <w:tabs>
                <w:tab w:val="center" w:pos="4677"/>
                <w:tab w:val="right" w:pos="9355"/>
              </w:tabs>
              <w:suppressAutoHyphens/>
              <w:spacing w:after="0"/>
              <w:jc w:val="center"/>
              <w:rPr>
                <w:sz w:val="20"/>
                <w:szCs w:val="20"/>
              </w:rPr>
            </w:pPr>
          </w:p>
        </w:tc>
        <w:tc>
          <w:tcPr>
            <w:tcW w:w="3075" w:type="dxa"/>
            <w:gridSpan w:val="2"/>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pStyle w:val="af"/>
              <w:widowControl w:val="0"/>
              <w:tabs>
                <w:tab w:val="center" w:pos="4677"/>
                <w:tab w:val="right" w:pos="9355"/>
              </w:tabs>
              <w:suppressAutoHyphens/>
              <w:spacing w:after="0"/>
              <w:jc w:val="center"/>
              <w:rPr>
                <w:sz w:val="20"/>
                <w:szCs w:val="20"/>
              </w:rPr>
            </w:pPr>
            <w:r w:rsidRPr="0066795C">
              <w:rPr>
                <w:sz w:val="20"/>
                <w:szCs w:val="20"/>
              </w:rPr>
              <w:t>9 месяцев 2018 года</w:t>
            </w:r>
          </w:p>
        </w:tc>
        <w:tc>
          <w:tcPr>
            <w:tcW w:w="3448" w:type="dxa"/>
            <w:gridSpan w:val="2"/>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pStyle w:val="af"/>
              <w:widowControl w:val="0"/>
              <w:tabs>
                <w:tab w:val="center" w:pos="4677"/>
                <w:tab w:val="right" w:pos="9355"/>
              </w:tabs>
              <w:suppressAutoHyphens/>
              <w:spacing w:after="0"/>
              <w:jc w:val="center"/>
              <w:rPr>
                <w:sz w:val="20"/>
                <w:szCs w:val="20"/>
              </w:rPr>
            </w:pPr>
            <w:r w:rsidRPr="0066795C">
              <w:rPr>
                <w:sz w:val="20"/>
                <w:szCs w:val="20"/>
              </w:rPr>
              <w:t>9 месяцев 2019 года</w:t>
            </w:r>
          </w:p>
        </w:tc>
      </w:tr>
      <w:tr w:rsidR="0066795C" w:rsidRPr="0066795C" w:rsidTr="00953444">
        <w:trPr>
          <w:trHeight w:val="313"/>
          <w:tblHeader/>
        </w:trPr>
        <w:tc>
          <w:tcPr>
            <w:tcW w:w="3248"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E3092F" w:rsidRPr="0066795C" w:rsidRDefault="00E3092F" w:rsidP="00953444">
            <w:pPr>
              <w:tabs>
                <w:tab w:val="center" w:pos="4677"/>
                <w:tab w:val="right" w:pos="9355"/>
              </w:tabs>
              <w:jc w:val="center"/>
              <w:rPr>
                <w:bCs/>
                <w:sz w:val="20"/>
                <w:szCs w:val="20"/>
              </w:rPr>
            </w:pPr>
          </w:p>
        </w:tc>
        <w:tc>
          <w:tcPr>
            <w:tcW w:w="1537"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pStyle w:val="af"/>
              <w:widowControl w:val="0"/>
              <w:tabs>
                <w:tab w:val="center" w:pos="4677"/>
                <w:tab w:val="right" w:pos="9355"/>
              </w:tabs>
              <w:suppressAutoHyphens/>
              <w:spacing w:after="0"/>
              <w:jc w:val="center"/>
              <w:rPr>
                <w:sz w:val="20"/>
                <w:szCs w:val="20"/>
              </w:rPr>
            </w:pPr>
            <w:r w:rsidRPr="0066795C">
              <w:rPr>
                <w:sz w:val="20"/>
                <w:szCs w:val="20"/>
              </w:rPr>
              <w:t>сумма, млн руб.</w:t>
            </w:r>
          </w:p>
        </w:tc>
        <w:tc>
          <w:tcPr>
            <w:tcW w:w="153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pStyle w:val="af"/>
              <w:widowControl w:val="0"/>
              <w:tabs>
                <w:tab w:val="center" w:pos="4677"/>
                <w:tab w:val="right" w:pos="9355"/>
              </w:tabs>
              <w:suppressAutoHyphens/>
              <w:spacing w:after="0"/>
              <w:jc w:val="center"/>
              <w:rPr>
                <w:sz w:val="20"/>
                <w:szCs w:val="20"/>
              </w:rPr>
            </w:pPr>
            <w:r w:rsidRPr="0066795C">
              <w:rPr>
                <w:sz w:val="20"/>
                <w:szCs w:val="20"/>
              </w:rPr>
              <w:t>уд. вес %</w:t>
            </w:r>
          </w:p>
        </w:tc>
        <w:tc>
          <w:tcPr>
            <w:tcW w:w="180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pStyle w:val="af"/>
              <w:widowControl w:val="0"/>
              <w:tabs>
                <w:tab w:val="center" w:pos="4677"/>
                <w:tab w:val="right" w:pos="9355"/>
              </w:tabs>
              <w:suppressAutoHyphens/>
              <w:spacing w:after="0"/>
              <w:jc w:val="center"/>
              <w:rPr>
                <w:sz w:val="20"/>
                <w:szCs w:val="20"/>
              </w:rPr>
            </w:pPr>
            <w:r w:rsidRPr="0066795C">
              <w:rPr>
                <w:sz w:val="20"/>
                <w:szCs w:val="20"/>
              </w:rPr>
              <w:t>сумма, млн  руб.</w:t>
            </w:r>
          </w:p>
        </w:tc>
        <w:tc>
          <w:tcPr>
            <w:tcW w:w="1642"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pStyle w:val="af"/>
              <w:widowControl w:val="0"/>
              <w:tabs>
                <w:tab w:val="center" w:pos="4677"/>
                <w:tab w:val="right" w:pos="9355"/>
              </w:tabs>
              <w:suppressAutoHyphens/>
              <w:spacing w:after="0"/>
              <w:jc w:val="center"/>
              <w:rPr>
                <w:sz w:val="20"/>
                <w:szCs w:val="20"/>
              </w:rPr>
            </w:pPr>
            <w:r w:rsidRPr="0066795C">
              <w:rPr>
                <w:sz w:val="20"/>
                <w:szCs w:val="20"/>
              </w:rPr>
              <w:t>уд. вес %</w:t>
            </w:r>
          </w:p>
        </w:tc>
      </w:tr>
      <w:tr w:rsidR="0066795C" w:rsidRPr="0066795C" w:rsidTr="00953444">
        <w:trPr>
          <w:trHeight w:val="275"/>
        </w:trPr>
        <w:tc>
          <w:tcPr>
            <w:tcW w:w="324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autoSpaceDE w:val="0"/>
              <w:autoSpaceDN w:val="0"/>
              <w:adjustRightInd w:val="0"/>
              <w:jc w:val="left"/>
              <w:rPr>
                <w:bCs/>
              </w:rPr>
            </w:pPr>
            <w:r w:rsidRPr="0066795C">
              <w:rPr>
                <w:bCs/>
              </w:rPr>
              <w:t>Расходы – всего</w:t>
            </w:r>
          </w:p>
        </w:tc>
        <w:tc>
          <w:tcPr>
            <w:tcW w:w="1537"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rPr>
                <w:bCs/>
              </w:rPr>
            </w:pPr>
            <w:r w:rsidRPr="0066795C">
              <w:rPr>
                <w:bCs/>
              </w:rPr>
              <w:t>2 978,6 </w:t>
            </w:r>
          </w:p>
        </w:tc>
        <w:tc>
          <w:tcPr>
            <w:tcW w:w="153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rPr>
                <w:bCs/>
              </w:rPr>
            </w:pPr>
            <w:r w:rsidRPr="0066795C">
              <w:rPr>
                <w:bCs/>
              </w:rPr>
              <w:t>100,0</w:t>
            </w:r>
          </w:p>
        </w:tc>
        <w:tc>
          <w:tcPr>
            <w:tcW w:w="180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rPr>
                <w:bCs/>
              </w:rPr>
            </w:pPr>
            <w:r w:rsidRPr="0066795C">
              <w:rPr>
                <w:bCs/>
              </w:rPr>
              <w:t>3 477,3</w:t>
            </w:r>
          </w:p>
        </w:tc>
        <w:tc>
          <w:tcPr>
            <w:tcW w:w="1642"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rPr>
                <w:bCs/>
              </w:rPr>
            </w:pPr>
            <w:r w:rsidRPr="0066795C">
              <w:rPr>
                <w:bCs/>
              </w:rPr>
              <w:t>100,0</w:t>
            </w:r>
          </w:p>
        </w:tc>
      </w:tr>
      <w:tr w:rsidR="0066795C" w:rsidRPr="0066795C" w:rsidTr="00953444">
        <w:trPr>
          <w:trHeight w:val="219"/>
        </w:trPr>
        <w:tc>
          <w:tcPr>
            <w:tcW w:w="324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autoSpaceDE w:val="0"/>
              <w:autoSpaceDN w:val="0"/>
              <w:adjustRightInd w:val="0"/>
              <w:jc w:val="left"/>
            </w:pPr>
            <w:r w:rsidRPr="0066795C">
              <w:t>в том числе:</w:t>
            </w:r>
          </w:p>
        </w:tc>
        <w:tc>
          <w:tcPr>
            <w:tcW w:w="1537"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rPr>
                <w:bCs/>
              </w:rPr>
            </w:pPr>
          </w:p>
        </w:tc>
        <w:tc>
          <w:tcPr>
            <w:tcW w:w="153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rPr>
                <w:bCs/>
              </w:rPr>
            </w:pPr>
          </w:p>
        </w:tc>
        <w:tc>
          <w:tcPr>
            <w:tcW w:w="180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rPr>
                <w:bCs/>
              </w:rPr>
            </w:pPr>
          </w:p>
        </w:tc>
        <w:tc>
          <w:tcPr>
            <w:tcW w:w="1642"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rPr>
                <w:bCs/>
              </w:rPr>
            </w:pPr>
          </w:p>
        </w:tc>
      </w:tr>
      <w:tr w:rsidR="0066795C" w:rsidRPr="0066795C" w:rsidTr="00953444">
        <w:trPr>
          <w:trHeight w:val="458"/>
        </w:trPr>
        <w:tc>
          <w:tcPr>
            <w:tcW w:w="324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autoSpaceDE w:val="0"/>
              <w:autoSpaceDN w:val="0"/>
              <w:adjustRightInd w:val="0"/>
              <w:jc w:val="left"/>
            </w:pPr>
            <w:r w:rsidRPr="0066795C">
              <w:t>Общегосударственные расходы</w:t>
            </w:r>
          </w:p>
        </w:tc>
        <w:tc>
          <w:tcPr>
            <w:tcW w:w="1537"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337,1 </w:t>
            </w:r>
          </w:p>
        </w:tc>
        <w:tc>
          <w:tcPr>
            <w:tcW w:w="153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11,32</w:t>
            </w:r>
          </w:p>
        </w:tc>
        <w:tc>
          <w:tcPr>
            <w:tcW w:w="180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384,4</w:t>
            </w:r>
          </w:p>
        </w:tc>
        <w:tc>
          <w:tcPr>
            <w:tcW w:w="1642"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11,05</w:t>
            </w:r>
          </w:p>
        </w:tc>
      </w:tr>
      <w:tr w:rsidR="0066795C" w:rsidRPr="0066795C" w:rsidTr="00953444">
        <w:trPr>
          <w:trHeight w:val="291"/>
        </w:trPr>
        <w:tc>
          <w:tcPr>
            <w:tcW w:w="324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autoSpaceDE w:val="0"/>
              <w:autoSpaceDN w:val="0"/>
              <w:adjustRightInd w:val="0"/>
              <w:jc w:val="left"/>
            </w:pPr>
            <w:r w:rsidRPr="0066795C">
              <w:t>Обслуживание государственного и муниципального долга</w:t>
            </w:r>
          </w:p>
        </w:tc>
        <w:tc>
          <w:tcPr>
            <w:tcW w:w="1537"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0,0</w:t>
            </w:r>
          </w:p>
        </w:tc>
        <w:tc>
          <w:tcPr>
            <w:tcW w:w="153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0</w:t>
            </w:r>
          </w:p>
        </w:tc>
        <w:tc>
          <w:tcPr>
            <w:tcW w:w="180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2,8</w:t>
            </w:r>
          </w:p>
        </w:tc>
        <w:tc>
          <w:tcPr>
            <w:tcW w:w="1642"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0,08</w:t>
            </w:r>
          </w:p>
        </w:tc>
      </w:tr>
      <w:tr w:rsidR="0066795C" w:rsidRPr="0066795C" w:rsidTr="00953444">
        <w:trPr>
          <w:trHeight w:val="262"/>
        </w:trPr>
        <w:tc>
          <w:tcPr>
            <w:tcW w:w="324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autoSpaceDE w:val="0"/>
              <w:autoSpaceDN w:val="0"/>
              <w:adjustRightInd w:val="0"/>
              <w:jc w:val="left"/>
            </w:pPr>
            <w:r w:rsidRPr="0066795C">
              <w:t>Национальная безопасность и правоохранительная деятельность</w:t>
            </w:r>
          </w:p>
        </w:tc>
        <w:tc>
          <w:tcPr>
            <w:tcW w:w="1537"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31,0 </w:t>
            </w:r>
          </w:p>
        </w:tc>
        <w:tc>
          <w:tcPr>
            <w:tcW w:w="153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1,04</w:t>
            </w:r>
          </w:p>
        </w:tc>
        <w:tc>
          <w:tcPr>
            <w:tcW w:w="180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33,5</w:t>
            </w:r>
          </w:p>
        </w:tc>
        <w:tc>
          <w:tcPr>
            <w:tcW w:w="1642"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0,96</w:t>
            </w:r>
          </w:p>
        </w:tc>
      </w:tr>
      <w:tr w:rsidR="0066795C" w:rsidRPr="0066795C" w:rsidTr="00953444">
        <w:trPr>
          <w:trHeight w:val="315"/>
        </w:trPr>
        <w:tc>
          <w:tcPr>
            <w:tcW w:w="324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autoSpaceDE w:val="0"/>
              <w:autoSpaceDN w:val="0"/>
              <w:adjustRightInd w:val="0"/>
              <w:jc w:val="left"/>
            </w:pPr>
            <w:r w:rsidRPr="0066795C">
              <w:t>Национальная экономика</w:t>
            </w:r>
          </w:p>
        </w:tc>
        <w:tc>
          <w:tcPr>
            <w:tcW w:w="1537"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313,5 </w:t>
            </w:r>
          </w:p>
        </w:tc>
        <w:tc>
          <w:tcPr>
            <w:tcW w:w="153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10,53</w:t>
            </w:r>
          </w:p>
        </w:tc>
        <w:tc>
          <w:tcPr>
            <w:tcW w:w="180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264,9</w:t>
            </w:r>
          </w:p>
        </w:tc>
        <w:tc>
          <w:tcPr>
            <w:tcW w:w="1642"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7,62</w:t>
            </w:r>
          </w:p>
        </w:tc>
      </w:tr>
      <w:tr w:rsidR="0066795C" w:rsidRPr="0066795C" w:rsidTr="00953444">
        <w:trPr>
          <w:trHeight w:val="277"/>
        </w:trPr>
        <w:tc>
          <w:tcPr>
            <w:tcW w:w="324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autoSpaceDE w:val="0"/>
              <w:autoSpaceDN w:val="0"/>
              <w:adjustRightInd w:val="0"/>
              <w:jc w:val="left"/>
            </w:pPr>
            <w:r w:rsidRPr="0066795C">
              <w:t>Жилищно-коммунальное хозяйство</w:t>
            </w:r>
          </w:p>
        </w:tc>
        <w:tc>
          <w:tcPr>
            <w:tcW w:w="1537"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188,5 </w:t>
            </w:r>
          </w:p>
        </w:tc>
        <w:tc>
          <w:tcPr>
            <w:tcW w:w="153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6,33</w:t>
            </w:r>
          </w:p>
        </w:tc>
        <w:tc>
          <w:tcPr>
            <w:tcW w:w="180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273,5</w:t>
            </w:r>
          </w:p>
        </w:tc>
        <w:tc>
          <w:tcPr>
            <w:tcW w:w="1642"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7,87</w:t>
            </w:r>
          </w:p>
        </w:tc>
      </w:tr>
      <w:tr w:rsidR="0066795C" w:rsidRPr="0066795C" w:rsidTr="00953444">
        <w:trPr>
          <w:trHeight w:val="219"/>
        </w:trPr>
        <w:tc>
          <w:tcPr>
            <w:tcW w:w="324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autoSpaceDE w:val="0"/>
              <w:autoSpaceDN w:val="0"/>
              <w:adjustRightInd w:val="0"/>
              <w:jc w:val="left"/>
            </w:pPr>
            <w:r w:rsidRPr="0066795C">
              <w:t>Образование</w:t>
            </w:r>
          </w:p>
        </w:tc>
        <w:tc>
          <w:tcPr>
            <w:tcW w:w="1537"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1 730,3 </w:t>
            </w:r>
          </w:p>
        </w:tc>
        <w:tc>
          <w:tcPr>
            <w:tcW w:w="153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58,09</w:t>
            </w:r>
          </w:p>
        </w:tc>
        <w:tc>
          <w:tcPr>
            <w:tcW w:w="180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1 861,3</w:t>
            </w:r>
          </w:p>
        </w:tc>
        <w:tc>
          <w:tcPr>
            <w:tcW w:w="1642"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53,53</w:t>
            </w:r>
          </w:p>
        </w:tc>
      </w:tr>
      <w:tr w:rsidR="0066795C" w:rsidRPr="0066795C" w:rsidTr="00953444">
        <w:trPr>
          <w:trHeight w:val="260"/>
        </w:trPr>
        <w:tc>
          <w:tcPr>
            <w:tcW w:w="324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autoSpaceDE w:val="0"/>
              <w:autoSpaceDN w:val="0"/>
              <w:adjustRightInd w:val="0"/>
              <w:jc w:val="left"/>
            </w:pPr>
            <w:r w:rsidRPr="0066795C">
              <w:t xml:space="preserve">Культура </w:t>
            </w:r>
          </w:p>
        </w:tc>
        <w:tc>
          <w:tcPr>
            <w:tcW w:w="1537"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169,1 </w:t>
            </w:r>
          </w:p>
        </w:tc>
        <w:tc>
          <w:tcPr>
            <w:tcW w:w="153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5,68</w:t>
            </w:r>
          </w:p>
        </w:tc>
        <w:tc>
          <w:tcPr>
            <w:tcW w:w="180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178,4</w:t>
            </w:r>
          </w:p>
        </w:tc>
        <w:tc>
          <w:tcPr>
            <w:tcW w:w="1642"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5,13</w:t>
            </w:r>
          </w:p>
        </w:tc>
      </w:tr>
      <w:tr w:rsidR="0066795C" w:rsidRPr="0066795C" w:rsidTr="00953444">
        <w:trPr>
          <w:trHeight w:val="265"/>
        </w:trPr>
        <w:tc>
          <w:tcPr>
            <w:tcW w:w="324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autoSpaceDE w:val="0"/>
              <w:autoSpaceDN w:val="0"/>
              <w:adjustRightInd w:val="0"/>
              <w:jc w:val="left"/>
            </w:pPr>
            <w:r w:rsidRPr="0066795C">
              <w:t>Средства массовой информации</w:t>
            </w:r>
          </w:p>
        </w:tc>
        <w:tc>
          <w:tcPr>
            <w:tcW w:w="1537"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11,9 </w:t>
            </w:r>
          </w:p>
        </w:tc>
        <w:tc>
          <w:tcPr>
            <w:tcW w:w="153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0,40</w:t>
            </w:r>
          </w:p>
        </w:tc>
        <w:tc>
          <w:tcPr>
            <w:tcW w:w="180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12,5</w:t>
            </w:r>
          </w:p>
        </w:tc>
        <w:tc>
          <w:tcPr>
            <w:tcW w:w="1642"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0,36</w:t>
            </w:r>
          </w:p>
        </w:tc>
      </w:tr>
      <w:tr w:rsidR="0066795C" w:rsidRPr="0066795C" w:rsidTr="00953444">
        <w:trPr>
          <w:trHeight w:val="131"/>
        </w:trPr>
        <w:tc>
          <w:tcPr>
            <w:tcW w:w="324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autoSpaceDE w:val="0"/>
              <w:autoSpaceDN w:val="0"/>
              <w:adjustRightInd w:val="0"/>
              <w:jc w:val="left"/>
            </w:pPr>
            <w:r w:rsidRPr="0066795C">
              <w:t>Здравоохранение</w:t>
            </w:r>
          </w:p>
        </w:tc>
        <w:tc>
          <w:tcPr>
            <w:tcW w:w="1537"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0,9</w:t>
            </w:r>
          </w:p>
        </w:tc>
        <w:tc>
          <w:tcPr>
            <w:tcW w:w="153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0,03</w:t>
            </w:r>
          </w:p>
        </w:tc>
        <w:tc>
          <w:tcPr>
            <w:tcW w:w="180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0,0</w:t>
            </w:r>
          </w:p>
        </w:tc>
        <w:tc>
          <w:tcPr>
            <w:tcW w:w="1642"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0,0</w:t>
            </w:r>
          </w:p>
        </w:tc>
      </w:tr>
      <w:tr w:rsidR="0066795C" w:rsidRPr="0066795C" w:rsidTr="00953444">
        <w:trPr>
          <w:trHeight w:val="131"/>
        </w:trPr>
        <w:tc>
          <w:tcPr>
            <w:tcW w:w="324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autoSpaceDE w:val="0"/>
              <w:autoSpaceDN w:val="0"/>
              <w:adjustRightInd w:val="0"/>
              <w:jc w:val="left"/>
            </w:pPr>
            <w:r w:rsidRPr="0066795C">
              <w:t>Физическая культура и спорт</w:t>
            </w:r>
          </w:p>
        </w:tc>
        <w:tc>
          <w:tcPr>
            <w:tcW w:w="1537"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126,4 </w:t>
            </w:r>
          </w:p>
        </w:tc>
        <w:tc>
          <w:tcPr>
            <w:tcW w:w="153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4,24</w:t>
            </w:r>
          </w:p>
        </w:tc>
        <w:tc>
          <w:tcPr>
            <w:tcW w:w="180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151,3</w:t>
            </w:r>
          </w:p>
        </w:tc>
        <w:tc>
          <w:tcPr>
            <w:tcW w:w="1642"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4,35</w:t>
            </w:r>
          </w:p>
        </w:tc>
      </w:tr>
      <w:tr w:rsidR="0066795C" w:rsidRPr="0066795C" w:rsidTr="00953444">
        <w:trPr>
          <w:trHeight w:val="138"/>
        </w:trPr>
        <w:tc>
          <w:tcPr>
            <w:tcW w:w="324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autoSpaceDE w:val="0"/>
              <w:autoSpaceDN w:val="0"/>
              <w:adjustRightInd w:val="0"/>
              <w:jc w:val="left"/>
            </w:pPr>
            <w:r w:rsidRPr="0066795C">
              <w:t>Социальная политика</w:t>
            </w:r>
          </w:p>
        </w:tc>
        <w:tc>
          <w:tcPr>
            <w:tcW w:w="1537"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69,9 </w:t>
            </w:r>
          </w:p>
        </w:tc>
        <w:tc>
          <w:tcPr>
            <w:tcW w:w="153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2,35</w:t>
            </w:r>
          </w:p>
        </w:tc>
        <w:tc>
          <w:tcPr>
            <w:tcW w:w="180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313,7</w:t>
            </w:r>
          </w:p>
        </w:tc>
        <w:tc>
          <w:tcPr>
            <w:tcW w:w="1642"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9,02</w:t>
            </w:r>
          </w:p>
        </w:tc>
      </w:tr>
      <w:tr w:rsidR="0066795C" w:rsidRPr="0066795C" w:rsidTr="00953444">
        <w:trPr>
          <w:trHeight w:val="138"/>
        </w:trPr>
        <w:tc>
          <w:tcPr>
            <w:tcW w:w="324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autoSpaceDE w:val="0"/>
              <w:autoSpaceDN w:val="0"/>
              <w:adjustRightInd w:val="0"/>
              <w:jc w:val="left"/>
            </w:pPr>
            <w:r w:rsidRPr="0066795C">
              <w:t>Охрана окружающей среды</w:t>
            </w:r>
          </w:p>
        </w:tc>
        <w:tc>
          <w:tcPr>
            <w:tcW w:w="1537"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0,0</w:t>
            </w:r>
          </w:p>
        </w:tc>
        <w:tc>
          <w:tcPr>
            <w:tcW w:w="1538"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0,0</w:t>
            </w:r>
          </w:p>
        </w:tc>
        <w:tc>
          <w:tcPr>
            <w:tcW w:w="1806"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1,0</w:t>
            </w:r>
          </w:p>
        </w:tc>
        <w:tc>
          <w:tcPr>
            <w:tcW w:w="1642" w:type="dxa"/>
            <w:tcBorders>
              <w:top w:val="single" w:sz="4" w:space="0" w:color="auto"/>
              <w:left w:val="single" w:sz="4" w:space="0" w:color="auto"/>
              <w:bottom w:val="single" w:sz="4" w:space="0" w:color="auto"/>
              <w:right w:val="single" w:sz="4" w:space="0" w:color="auto"/>
            </w:tcBorders>
            <w:vAlign w:val="center"/>
          </w:tcPr>
          <w:p w:rsidR="00E3092F" w:rsidRPr="0066795C" w:rsidRDefault="00E3092F" w:rsidP="00953444">
            <w:pPr>
              <w:tabs>
                <w:tab w:val="center" w:pos="4677"/>
                <w:tab w:val="right" w:pos="9355"/>
              </w:tabs>
              <w:jc w:val="center"/>
            </w:pPr>
            <w:r w:rsidRPr="0066795C">
              <w:t>0,03</w:t>
            </w:r>
          </w:p>
        </w:tc>
      </w:tr>
    </w:tbl>
    <w:p w:rsidR="00E3092F" w:rsidRPr="0066795C" w:rsidRDefault="00E3092F" w:rsidP="00E3092F"/>
    <w:p w:rsidR="00E3092F" w:rsidRPr="0066795C" w:rsidRDefault="00E3092F" w:rsidP="00E3092F">
      <w:pPr>
        <w:ind w:firstLine="709"/>
      </w:pPr>
      <w:r w:rsidRPr="0066795C">
        <w:t xml:space="preserve">Бюджетная политика в сфере расходов консолидированного бюджета городского округа город Мегион была направлена на решение социальных и экономических задач города. Приоритетом являлось обеспечение населения бюджетными услугами отраслей социальной сферы. </w:t>
      </w:r>
    </w:p>
    <w:p w:rsidR="00E3092F" w:rsidRPr="0066795C" w:rsidRDefault="00E3092F" w:rsidP="00E3092F">
      <w:pPr>
        <w:ind w:firstLine="709"/>
      </w:pPr>
      <w:r w:rsidRPr="0066795C">
        <w:lastRenderedPageBreak/>
        <w:t>На финансирование отраслей социальной сферы за 9 месяцев 2019 года направлено 2 504,7 млн рублей, в том числе по разделу образование – 1 861,3 млн рублей, культура, кинематография – 178,4 млн рублей, физическая культура и спорт – 151,3 млн рублей, социальная политика – 313,7 млн рублей.</w:t>
      </w:r>
    </w:p>
    <w:p w:rsidR="00E3092F" w:rsidRPr="0066795C" w:rsidRDefault="00E3092F" w:rsidP="00E3092F">
      <w:pPr>
        <w:ind w:firstLine="709"/>
      </w:pPr>
      <w:r w:rsidRPr="0066795C">
        <w:t xml:space="preserve">На финансирование других отраслей экономики направлено 972,6 млн рублей, что составляет 28,0% в общем объеме расходов. </w:t>
      </w:r>
    </w:p>
    <w:p w:rsidR="00E3092F" w:rsidRPr="0066795C" w:rsidRDefault="00E3092F" w:rsidP="00E3092F">
      <w:pPr>
        <w:pStyle w:val="12"/>
        <w:ind w:firstLine="709"/>
        <w:rPr>
          <w:rFonts w:ascii="Times New Roman" w:hAnsi="Times New Roman" w:cs="Times New Roman"/>
          <w:sz w:val="24"/>
          <w:szCs w:val="24"/>
        </w:rPr>
      </w:pPr>
      <w:r w:rsidRPr="0066795C">
        <w:rPr>
          <w:rFonts w:ascii="Times New Roman" w:hAnsi="Times New Roman" w:cs="Times New Roman"/>
          <w:sz w:val="24"/>
          <w:szCs w:val="24"/>
        </w:rPr>
        <w:t xml:space="preserve">Большинство задач в сфере доходов, поставленных в предыдущие годы, сохраняют свою актуальность. Политика в данной сфере направлена на сохранение, развитие и наращивание доходной базы. Поэтому повышение уровня собираемости и увеличения доходной части бюджета города стала одной из приоритетных задач на территории муниципального образования. </w:t>
      </w:r>
    </w:p>
    <w:p w:rsidR="00E3092F" w:rsidRPr="0066795C" w:rsidRDefault="00E3092F" w:rsidP="00E3092F">
      <w:pPr>
        <w:ind w:firstLine="709"/>
      </w:pPr>
      <w:r w:rsidRPr="0066795C">
        <w:t xml:space="preserve">Осуществляется взаимодействие администрации города с крупнейшим налогоплательщиком, осуществляющим свою деятельность на территории города. Согласно заключенным Соглашениям о благотворительной деятельности от ОАО «Славнефть-Мегионнефтегаз» в городской бюджет в течение отчетного периода поступило 17,9 млн рублей на организацию отдыха и оздоровление детей. Кроме того, в бюджет города поступили денежные средства по распоряжениям Правительства Тюменской области в сумме 2,8 млн рублей. Также заключены Соглашения о благотворительной деятельности между администрацией города Мегиона и ПАО Банк «ФК Открытие» на сумму 300,0 тыс. рублей на празднование 1 мая, 9 мая, дня города и проведение велопробега и Фондом «Меценат» на сумму 435,0 тыс. рублей на денежные выплаты участникам ВОВ 1941-1945 годов, инвалидам, вдовам, детям участникам ВОВ 1941-1945, труженикам тыла, узникам концлагерей. </w:t>
      </w:r>
    </w:p>
    <w:p w:rsidR="00E3092F" w:rsidRPr="0066795C" w:rsidRDefault="00E3092F" w:rsidP="00E3092F">
      <w:pPr>
        <w:pStyle w:val="12"/>
        <w:ind w:firstLine="709"/>
        <w:rPr>
          <w:rFonts w:ascii="Times New Roman" w:hAnsi="Times New Roman" w:cs="Times New Roman"/>
          <w:sz w:val="24"/>
          <w:szCs w:val="24"/>
        </w:rPr>
      </w:pPr>
      <w:r w:rsidRPr="0066795C">
        <w:rPr>
          <w:rFonts w:ascii="Times New Roman" w:hAnsi="Times New Roman" w:cs="Times New Roman"/>
          <w:sz w:val="24"/>
          <w:szCs w:val="24"/>
        </w:rPr>
        <w:t>Для осуществления мер, направленных на ликвидацию задолженности организаций и физических лиц, проводятся заседания комиссии по мобилизации доходов в бюджет города. В течение отчетного периода проведено два заседания комиссии на которых рассмотрены следующие вопросы:</w:t>
      </w:r>
    </w:p>
    <w:p w:rsidR="00E3092F" w:rsidRPr="0066795C" w:rsidRDefault="00E3092F" w:rsidP="00E3092F">
      <w:pPr>
        <w:ind w:firstLine="709"/>
      </w:pPr>
      <w:r w:rsidRPr="0066795C">
        <w:t xml:space="preserve">неуплата страховых взносов организациями; </w:t>
      </w:r>
    </w:p>
    <w:p w:rsidR="00E3092F" w:rsidRPr="0066795C" w:rsidRDefault="00E3092F" w:rsidP="00E3092F">
      <w:pPr>
        <w:ind w:firstLine="709"/>
      </w:pPr>
      <w:r w:rsidRPr="0066795C">
        <w:t>анализ задолженности и принимаемые меры по повышению собираемости налоговых платежей на территории городского округа город Мегион;</w:t>
      </w:r>
    </w:p>
    <w:p w:rsidR="00E3092F" w:rsidRPr="0066795C" w:rsidRDefault="00E3092F" w:rsidP="00E3092F">
      <w:pPr>
        <w:ind w:firstLine="709"/>
      </w:pPr>
      <w:r w:rsidRPr="0066795C">
        <w:t>анализ задолженности и принимаемые меры по повышению собираемости неналоговых платежей на территории городского округа город Мегион;</w:t>
      </w:r>
    </w:p>
    <w:p w:rsidR="00E3092F" w:rsidRPr="0066795C" w:rsidRDefault="00E3092F" w:rsidP="00E3092F">
      <w:pPr>
        <w:ind w:firstLine="709"/>
      </w:pPr>
      <w:r w:rsidRPr="0066795C">
        <w:t xml:space="preserve">отчет о проделанной работе с исполнительными листами, направленными департаментом муниципальной собственности администрации города в адрес отдела Федеральной службы судебных приставов по городу Мегиону.  </w:t>
      </w:r>
    </w:p>
    <w:p w:rsidR="00E3092F" w:rsidRPr="0066795C" w:rsidRDefault="00E3092F" w:rsidP="00E3092F">
      <w:pPr>
        <w:ind w:firstLine="709"/>
      </w:pPr>
      <w:r w:rsidRPr="0066795C">
        <w:t>С 9 индивидуальными предпринимателями и юридическими лицами проведена разъяснительная работа о необходимости своевременной уплаты платежей в бюджет и о погашении имеющейся задолженности, также 121 индивидуальному предпринимателю предложено уточнить наличие задолженности по налогам, сборам и принять меры к ее погашению.</w:t>
      </w:r>
    </w:p>
    <w:p w:rsidR="00E3092F" w:rsidRPr="0066795C" w:rsidRDefault="00E3092F" w:rsidP="00E3092F">
      <w:pPr>
        <w:pStyle w:val="a3"/>
        <w:spacing w:after="0"/>
        <w:ind w:left="0" w:firstLine="709"/>
      </w:pPr>
      <w:r w:rsidRPr="0066795C">
        <w:t xml:space="preserve">Проводится работа со списками должников, работников администрации города, органов администрации города, бюджетных, казенных и автономных учреждений города на предмет задолженности по уплате налогов, сборов во все уровни бюджетов. </w:t>
      </w:r>
    </w:p>
    <w:p w:rsidR="00E3092F" w:rsidRPr="0066795C" w:rsidRDefault="00E3092F" w:rsidP="00E3092F">
      <w:pPr>
        <w:ind w:firstLine="709"/>
      </w:pPr>
      <w:r w:rsidRPr="0066795C">
        <w:t xml:space="preserve">На территории муниципального образования в течение отчетного периода осуществляются мероприятия по информированию населения о погашении задолженности. Информация размещается на официальном сайте администрации города Мегиона в сети «Интернет».  </w:t>
      </w:r>
    </w:p>
    <w:p w:rsidR="00E3092F" w:rsidRPr="0066795C" w:rsidRDefault="00E3092F" w:rsidP="00E3092F">
      <w:pPr>
        <w:ind w:firstLine="709"/>
      </w:pPr>
      <w:r w:rsidRPr="0066795C">
        <w:t>В рамках проведенных мероприятий по взысканию задолженности по оплате за муниципальное имущество, включая земельные участки, в бюджет города поступило 10,7 млн рублей.</w:t>
      </w:r>
    </w:p>
    <w:p w:rsidR="00E3092F" w:rsidRPr="0066795C" w:rsidRDefault="00E3092F" w:rsidP="00E3092F">
      <w:pPr>
        <w:ind w:firstLine="709"/>
      </w:pPr>
      <w:r w:rsidRPr="0066795C">
        <w:t xml:space="preserve">В целях реализации решения Думы города Мегиона от 21.12.2018 №327 «О бюджете городского округа город Мегион на 2019 год и плановый период 2020 и 2021 годов» был </w:t>
      </w:r>
      <w:r w:rsidRPr="0066795C">
        <w:lastRenderedPageBreak/>
        <w:t>разработан план мероприятий по росту доходов, оптимизации расходов и поддержанию муниципального долга городского округа на безопасном уровне, утвержден постановлением администрации города от 18.01.2019 №64. План мероприятий включает в себя 12 мероприятий по росту доходов, планируемый бюджетный эффект от мероприятий по росту доходов в 2019 году составит 38,0 млн рублей. Реализация предусмотренных мероприятий по итогам девяти месяцев осуществлялась в плановом режиме. Бюджетный эффект за 9 месяцев 2019 года составил сумму в размере 35,0 млн рублей.</w:t>
      </w:r>
    </w:p>
    <w:p w:rsidR="00E3092F" w:rsidRPr="0066795C" w:rsidRDefault="00E3092F" w:rsidP="00E3092F">
      <w:pPr>
        <w:ind w:firstLine="709"/>
      </w:pPr>
      <w:r w:rsidRPr="0066795C">
        <w:t>Продолжается работа по сокращению невыясненных платежей. За январь-сентябрь 2019 года составлены и направлены в Управление Федерального казначейства по Ханты-Мансийскому автономному округу – Югре 335 уведомлений об уточнении вида и принадлежности платежа, которые впоследствии были уточнены и зачислены на соответствующие коды доходов бюджетной классификации.</w:t>
      </w:r>
    </w:p>
    <w:p w:rsidR="00E3092F" w:rsidRPr="0066795C" w:rsidRDefault="00E3092F" w:rsidP="00E3092F">
      <w:pPr>
        <w:ind w:firstLine="709"/>
      </w:pPr>
      <w:r w:rsidRPr="0066795C">
        <w:t xml:space="preserve">В рамках проведения анализа обоснованности и эффективности применения налоговых льгот, было принято постановление администрации города от 26.07.2011 №1687 «О бюджетной, социальной и экономической эффективности предоставляемых налоговых льгот» (с изменениями), которым утвержден Порядок оценки бюджетной, социальной и экономической эффективности предоставляемых (планируемых к предоставлению) налоговых льгот. В соответствии с нормативно правовым актом осуществляется мониторинг налоговых льгот по земельному налогу и налогу на имущество физических лиц. </w:t>
      </w:r>
    </w:p>
    <w:p w:rsidR="00E3092F" w:rsidRPr="0066795C" w:rsidRDefault="00E3092F" w:rsidP="00E3092F">
      <w:pPr>
        <w:ind w:firstLine="709"/>
      </w:pPr>
      <w:r w:rsidRPr="0066795C">
        <w:t>Льготы, которые предоставлены на основании нормативных актов представительного органа местного самоуправления, обоснованы и эффективны, так как предоставляются социально незащищенной категории населения. Анализ обоснованности и эффективности применения льгот по налогам в виде аналитической справки, был размещен на официальном сайте администрации города Мегиона в сети «Интернет».</w:t>
      </w:r>
    </w:p>
    <w:p w:rsidR="00E3092F" w:rsidRPr="0066795C" w:rsidRDefault="00E3092F" w:rsidP="00E3092F">
      <w:pPr>
        <w:ind w:firstLine="709"/>
      </w:pPr>
      <w:r w:rsidRPr="0066795C">
        <w:t xml:space="preserve">В рамках реализации плана мероприятий по повышению роли имущественных налогов в формировании бюджета Ханты-Мансийского автономного округа – Югры и бюджетов муниципальных образований Ханты-Мансийского автономного округа – Югры на 2018-2020 годы, утвержденного распоряжением Правительства автономного округа от 16.02.2018 №70-рп. На официальном сайте администрации города в сети «Интернет» и в средствах массовой информации была размещена следующая информация: </w:t>
      </w:r>
    </w:p>
    <w:p w:rsidR="00E3092F" w:rsidRPr="0066795C" w:rsidRDefault="00E3092F" w:rsidP="00E3092F">
      <w:pPr>
        <w:ind w:firstLine="709"/>
      </w:pPr>
      <w:r w:rsidRPr="0066795C">
        <w:t>информирование налогоплательщиков – собственников недвижимого имущества о необходимости уточнения технических характеристик объектов недвижимости, сведений об их правообладателях по Предварительному перечню на 2020 год;</w:t>
      </w:r>
    </w:p>
    <w:p w:rsidR="00E3092F" w:rsidRPr="0066795C" w:rsidRDefault="00E3092F" w:rsidP="00E3092F">
      <w:pPr>
        <w:ind w:firstLine="709"/>
      </w:pPr>
      <w:r w:rsidRPr="0066795C">
        <w:t>предварительный перечень объектов недвижимого имущества, в отношении которых налоговая база определяется как кадастровая стоимость, на 2020 год.</w:t>
      </w:r>
    </w:p>
    <w:p w:rsidR="00E3092F" w:rsidRPr="0066795C" w:rsidRDefault="00E3092F" w:rsidP="00E3092F">
      <w:pPr>
        <w:ind w:firstLine="709"/>
      </w:pPr>
      <w:r w:rsidRPr="0066795C">
        <w:t>В рамках работы по урегулированию кредиторской и дебиторской задолженности муниципальных учреждений проведены следующие мероприятия:</w:t>
      </w:r>
    </w:p>
    <w:p w:rsidR="00E3092F" w:rsidRPr="0066795C" w:rsidRDefault="00E3092F" w:rsidP="00E3092F">
      <w:pPr>
        <w:ind w:firstLine="709"/>
      </w:pPr>
      <w:r w:rsidRPr="0066795C">
        <w:t xml:space="preserve">В целях снижения общего объема кредиторской задолженности, в соответствии с приказом департамента финансов администрации города Мегиона, по итогам отчетности проводится мониторинг кредиторской задолженности. </w:t>
      </w:r>
    </w:p>
    <w:p w:rsidR="00E3092F" w:rsidRPr="0066795C" w:rsidRDefault="00E3092F" w:rsidP="00E3092F">
      <w:pPr>
        <w:ind w:firstLine="709"/>
      </w:pPr>
      <w:r w:rsidRPr="0066795C">
        <w:t>В сроки, установленные приказом Департамента финансов автономного округа – Югры для сдачи годовой, квартальной и месячной бюджетной отчетности об исполнении бюджета городского округа город Мегион, предоставляются сведения о состоянии дебиторской и кредиторской задолженности.</w:t>
      </w:r>
    </w:p>
    <w:p w:rsidR="00E3092F" w:rsidRPr="0066795C" w:rsidRDefault="00E3092F" w:rsidP="00E3092F">
      <w:pPr>
        <w:ind w:firstLine="709"/>
      </w:pPr>
      <w:r w:rsidRPr="0066795C">
        <w:t>Ежемесячно проводится анализ состояния дебиторской и кредиторской задолженности учреждений городского округа города Мегиона с целью выявления обоснованности возникновения сумм задолженности.</w:t>
      </w:r>
    </w:p>
    <w:p w:rsidR="00E3092F" w:rsidRPr="0066795C" w:rsidRDefault="00E3092F" w:rsidP="00E3092F">
      <w:pPr>
        <w:ind w:firstLine="709"/>
      </w:pPr>
      <w:r w:rsidRPr="0066795C">
        <w:t>С целью выявления и погашения задолженности по налогам, пеням, штрафам проведена совместная работа с Управлением Федеральной налоговой службой по Ханты-Мансийскому автономному округу-Югре. Муниципальным учреждениям направлены письма о незамедлительном погашении имеющейся задолженности.</w:t>
      </w:r>
    </w:p>
    <w:p w:rsidR="00E3092F" w:rsidRPr="0066795C" w:rsidRDefault="00E3092F" w:rsidP="00E3092F">
      <w:pPr>
        <w:ind w:firstLine="709"/>
      </w:pPr>
      <w:r w:rsidRPr="0066795C">
        <w:lastRenderedPageBreak/>
        <w:t xml:space="preserve">Проводится работа по восстановлению дебиторской задолженности, числящейся на балансе бюджетных учреждений. </w:t>
      </w:r>
    </w:p>
    <w:p w:rsidR="00E3092F" w:rsidRPr="0066795C" w:rsidRDefault="00E3092F" w:rsidP="00E3092F">
      <w:pPr>
        <w:ind w:firstLine="709"/>
      </w:pPr>
      <w:r w:rsidRPr="0066795C">
        <w:t>По состоянию на 01.10.2019 года в части средств местного бюджета восстановлено 0,9 млн рублей, в части средств ХМАО-Югры – 1,2 тыс. рублей.</w:t>
      </w:r>
    </w:p>
    <w:p w:rsidR="00E3092F" w:rsidRPr="0066795C" w:rsidRDefault="00E3092F" w:rsidP="00E3092F">
      <w:pPr>
        <w:ind w:firstLine="709"/>
      </w:pPr>
      <w:r w:rsidRPr="0066795C">
        <w:t>Проводятся мероприятия по недопущению нецелевого использования субсидий, субвенций и иных межбюджетных трансфертов, полученных из бюджета автономного округа и имеющих целевое назначение.</w:t>
      </w:r>
    </w:p>
    <w:p w:rsidR="00E3092F" w:rsidRPr="0066795C" w:rsidRDefault="00E3092F" w:rsidP="00E3092F">
      <w:pPr>
        <w:ind w:firstLine="709"/>
      </w:pPr>
      <w:r w:rsidRPr="0066795C">
        <w:t xml:space="preserve">По состоянию на 01 число каждого месяца отсутствует просроченная кредиторская задолженность по выплате заработной платы работников бюджетной сферы и начислениям на выплаты по оплате труда, по оплате коммунальных услуг. </w:t>
      </w:r>
    </w:p>
    <w:p w:rsidR="00E3092F" w:rsidRPr="0066795C" w:rsidRDefault="00E3092F" w:rsidP="00E3092F">
      <w:pPr>
        <w:ind w:firstLine="709"/>
      </w:pPr>
      <w:r w:rsidRPr="0066795C">
        <w:t>Погашение кредиторской задолженности осуществляется по мере поступления доходов в бюджет городского округа.</w:t>
      </w:r>
    </w:p>
    <w:p w:rsidR="00927A86" w:rsidRDefault="00927A86" w:rsidP="00927A86">
      <w:pPr>
        <w:ind w:firstLine="709"/>
      </w:pPr>
    </w:p>
    <w:p w:rsidR="00CB53F5" w:rsidRPr="0066795C" w:rsidRDefault="00CB53F5" w:rsidP="00927A86">
      <w:pPr>
        <w:ind w:firstLine="709"/>
      </w:pPr>
    </w:p>
    <w:p w:rsidR="00485F66" w:rsidRPr="0066795C" w:rsidRDefault="00485F66" w:rsidP="00942AEC">
      <w:pPr>
        <w:jc w:val="left"/>
        <w:rPr>
          <w:rFonts w:eastAsia="Calibri"/>
          <w:lang w:eastAsia="en-US"/>
        </w:rPr>
      </w:pPr>
      <w:r w:rsidRPr="0066795C">
        <w:rPr>
          <w:rFonts w:eastAsia="Calibri"/>
          <w:lang w:eastAsia="en-US"/>
        </w:rPr>
        <w:t>СОЦИАЛЬНАЯ СФЕРА</w:t>
      </w:r>
    </w:p>
    <w:p w:rsidR="00485F66" w:rsidRPr="0066795C" w:rsidRDefault="00485F66" w:rsidP="00B658AC"/>
    <w:p w:rsidR="00485F66" w:rsidRDefault="00485F66" w:rsidP="00FB7F3F">
      <w:pPr>
        <w:ind w:firstLine="708"/>
      </w:pPr>
      <w:r w:rsidRPr="0066795C">
        <w:t>Образование</w:t>
      </w:r>
    </w:p>
    <w:p w:rsidR="0066795C" w:rsidRPr="0066795C" w:rsidRDefault="0066795C" w:rsidP="00FB7F3F">
      <w:pPr>
        <w:ind w:firstLine="708"/>
      </w:pPr>
    </w:p>
    <w:p w:rsidR="00156EC0" w:rsidRPr="0066795C" w:rsidRDefault="00156EC0" w:rsidP="00156EC0">
      <w:pPr>
        <w:widowControl w:val="0"/>
        <w:ind w:firstLine="708"/>
        <w:rPr>
          <w:rFonts w:eastAsia="Calibri Light"/>
          <w:lang w:eastAsia="en-US"/>
        </w:rPr>
      </w:pPr>
      <w:r w:rsidRPr="0066795C">
        <w:rPr>
          <w:rFonts w:eastAsia="Calibri Light"/>
          <w:lang w:eastAsia="en-US"/>
        </w:rPr>
        <w:t>В городском округе образовательные услуги предоставляют:</w:t>
      </w:r>
    </w:p>
    <w:p w:rsidR="00156EC0" w:rsidRPr="0066795C" w:rsidRDefault="00156EC0" w:rsidP="00156EC0">
      <w:pPr>
        <w:widowControl w:val="0"/>
        <w:ind w:firstLine="708"/>
        <w:rPr>
          <w:rFonts w:eastAsia="Calibri Light"/>
          <w:lang w:eastAsia="en-US"/>
        </w:rPr>
      </w:pPr>
      <w:r w:rsidRPr="0066795C">
        <w:rPr>
          <w:rFonts w:eastAsia="Calibri Light"/>
          <w:lang w:eastAsia="en-US"/>
        </w:rPr>
        <w:t>13 муниципальных дошкольных организаций;</w:t>
      </w:r>
    </w:p>
    <w:p w:rsidR="00156EC0" w:rsidRPr="0066795C" w:rsidRDefault="00156EC0" w:rsidP="00156EC0">
      <w:pPr>
        <w:widowControl w:val="0"/>
        <w:ind w:firstLine="708"/>
        <w:rPr>
          <w:rFonts w:eastAsia="Calibri Light"/>
          <w:lang w:eastAsia="en-US"/>
        </w:rPr>
      </w:pPr>
      <w:r w:rsidRPr="0066795C">
        <w:rPr>
          <w:rFonts w:eastAsia="Calibri Light"/>
          <w:lang w:eastAsia="en-US"/>
        </w:rPr>
        <w:t>2 структурных подразделения дошкольного образования при двух общеобразовательных организациях;</w:t>
      </w:r>
    </w:p>
    <w:p w:rsidR="00156EC0" w:rsidRPr="0066795C" w:rsidRDefault="00156EC0" w:rsidP="00156EC0">
      <w:pPr>
        <w:widowControl w:val="0"/>
        <w:ind w:firstLine="708"/>
        <w:rPr>
          <w:rFonts w:eastAsia="Calibri Light"/>
          <w:lang w:eastAsia="en-US"/>
        </w:rPr>
      </w:pPr>
      <w:r w:rsidRPr="0066795C">
        <w:rPr>
          <w:rFonts w:eastAsia="Calibri Light"/>
          <w:lang w:eastAsia="en-US"/>
        </w:rPr>
        <w:t>3 дошкольные группы по присмотру и уходу в двух общеобразовательных организациях;</w:t>
      </w:r>
    </w:p>
    <w:p w:rsidR="00156EC0" w:rsidRPr="0066795C" w:rsidRDefault="00156EC0" w:rsidP="00156EC0">
      <w:pPr>
        <w:widowControl w:val="0"/>
        <w:ind w:firstLine="708"/>
        <w:rPr>
          <w:rFonts w:eastAsia="Calibri Light"/>
          <w:lang w:eastAsia="en-US"/>
        </w:rPr>
      </w:pPr>
      <w:r w:rsidRPr="0066795C">
        <w:rPr>
          <w:rFonts w:eastAsia="Calibri Light"/>
          <w:lang w:eastAsia="en-US"/>
        </w:rPr>
        <w:t>1 негосударственная образовательная организация (частный детский сад);</w:t>
      </w:r>
    </w:p>
    <w:p w:rsidR="00156EC0" w:rsidRPr="0066795C" w:rsidRDefault="00156EC0" w:rsidP="00156EC0">
      <w:pPr>
        <w:widowControl w:val="0"/>
        <w:ind w:firstLine="708"/>
        <w:rPr>
          <w:rFonts w:eastAsia="Calibri Light"/>
          <w:lang w:eastAsia="en-US"/>
        </w:rPr>
      </w:pPr>
      <w:r w:rsidRPr="0066795C">
        <w:rPr>
          <w:rFonts w:eastAsia="Calibri Light"/>
          <w:lang w:eastAsia="en-US"/>
        </w:rPr>
        <w:t xml:space="preserve">7 муниципальных общеобразовательных организаций; </w:t>
      </w:r>
    </w:p>
    <w:p w:rsidR="00156EC0" w:rsidRPr="0066795C" w:rsidRDefault="00156EC0" w:rsidP="00156EC0">
      <w:pPr>
        <w:widowControl w:val="0"/>
        <w:ind w:firstLine="708"/>
        <w:rPr>
          <w:rFonts w:eastAsia="Calibri Light"/>
          <w:lang w:eastAsia="en-US"/>
        </w:rPr>
      </w:pPr>
      <w:r w:rsidRPr="0066795C">
        <w:rPr>
          <w:rFonts w:eastAsia="Calibri Light"/>
          <w:lang w:eastAsia="en-US"/>
        </w:rPr>
        <w:t>5 организаций доп</w:t>
      </w:r>
      <w:r w:rsidR="001161A7" w:rsidRPr="0066795C">
        <w:rPr>
          <w:rFonts w:eastAsia="Calibri Light"/>
          <w:lang w:eastAsia="en-US"/>
        </w:rPr>
        <w:t>олнительного образования детей</w:t>
      </w:r>
      <w:r w:rsidR="00D54EAC" w:rsidRPr="0066795C">
        <w:rPr>
          <w:rFonts w:eastAsia="Calibri Light"/>
          <w:lang w:eastAsia="en-US"/>
        </w:rPr>
        <w:t xml:space="preserve"> в сфере культуры и физической культуры и спорта</w:t>
      </w:r>
      <w:r w:rsidR="001161A7" w:rsidRPr="0066795C">
        <w:rPr>
          <w:rFonts w:eastAsia="Calibri Light"/>
          <w:lang w:eastAsia="en-US"/>
        </w:rPr>
        <w:t>.</w:t>
      </w:r>
    </w:p>
    <w:p w:rsidR="00445827" w:rsidRPr="0066795C" w:rsidRDefault="00445827" w:rsidP="00445827">
      <w:pPr>
        <w:widowControl w:val="0"/>
        <w:ind w:firstLine="708"/>
      </w:pPr>
      <w:r w:rsidRPr="0066795C">
        <w:t xml:space="preserve">2 </w:t>
      </w:r>
      <w:r w:rsidRPr="0066795C">
        <w:rPr>
          <w:rFonts w:eastAsia="Calibri"/>
          <w:shd w:val="clear" w:color="auto" w:fill="FFFFFF"/>
        </w:rPr>
        <w:t>образовательные организации автономного округа (Мегионский политехнический колледж, Мегионская школа для обучающихся с ограниченными возможностями здоровья).</w:t>
      </w:r>
      <w:r w:rsidRPr="0066795C">
        <w:t xml:space="preserve"> </w:t>
      </w:r>
    </w:p>
    <w:p w:rsidR="00156EC0" w:rsidRPr="0066795C" w:rsidRDefault="00156EC0" w:rsidP="00156EC0">
      <w:pPr>
        <w:ind w:firstLine="709"/>
      </w:pPr>
      <w:r w:rsidRPr="0066795C">
        <w:rPr>
          <w:rFonts w:eastAsia="Calibri Light"/>
          <w:lang w:eastAsia="en-US"/>
        </w:rPr>
        <w:t xml:space="preserve">Численность детей в возрасте 1-6 лет, получающих дошкольную образовательную услугу и (или) услугу по их содержанию в дошкольных образовательных учреждениях составила </w:t>
      </w:r>
      <w:r w:rsidR="00355FA6" w:rsidRPr="0066795C">
        <w:rPr>
          <w:rFonts w:eastAsia="Calibri Light"/>
          <w:lang w:eastAsia="en-US"/>
        </w:rPr>
        <w:t>3499</w:t>
      </w:r>
      <w:r w:rsidRPr="0066795C">
        <w:rPr>
          <w:rFonts w:eastAsia="Calibri Light"/>
          <w:lang w:eastAsia="en-US"/>
        </w:rPr>
        <w:t xml:space="preserve"> ребенка.</w:t>
      </w:r>
    </w:p>
    <w:p w:rsidR="00156EC0" w:rsidRPr="0066795C" w:rsidRDefault="00156EC0" w:rsidP="00156EC0">
      <w:pPr>
        <w:widowControl w:val="0"/>
        <w:ind w:firstLine="709"/>
      </w:pPr>
      <w:r w:rsidRPr="0066795C">
        <w:t xml:space="preserve">Число мест в детских дошкольных учреждениях составляет </w:t>
      </w:r>
      <w:r w:rsidR="00355FA6" w:rsidRPr="0066795C">
        <w:t>3672</w:t>
      </w:r>
      <w:r w:rsidRPr="0066795C">
        <w:t>.</w:t>
      </w:r>
    </w:p>
    <w:p w:rsidR="00853E1E" w:rsidRPr="0066795C" w:rsidRDefault="00853E1E" w:rsidP="00156EC0">
      <w:pPr>
        <w:widowControl w:val="0"/>
        <w:ind w:firstLine="709"/>
        <w:rPr>
          <w:bCs/>
        </w:rPr>
      </w:pPr>
      <w:r w:rsidRPr="0066795C">
        <w:rPr>
          <w:bCs/>
        </w:rPr>
        <w:t xml:space="preserve">Доступность дошкольного образования в городе для детей в возрасте от 3 до 7 лет составила 100,0%. Отсутствует </w:t>
      </w:r>
      <w:r w:rsidRPr="0066795C">
        <w:t xml:space="preserve">проблема нехватки ясельных групп. </w:t>
      </w:r>
      <w:r w:rsidRPr="0066795C">
        <w:rPr>
          <w:bCs/>
        </w:rPr>
        <w:t>Очередность в детские сады для детей в возрасте от 1 до 3 лет находится в отложенном спросе</w:t>
      </w:r>
    </w:p>
    <w:p w:rsidR="00853E1E" w:rsidRPr="0066795C" w:rsidRDefault="00853E1E" w:rsidP="00853E1E">
      <w:pPr>
        <w:ind w:firstLine="709"/>
      </w:pPr>
      <w:r w:rsidRPr="0066795C">
        <w:t>В муниципальных общеобразовательных организациях сформировано 298 классов-комплектов, в которых обучается 7 300 школьников.</w:t>
      </w:r>
    </w:p>
    <w:p w:rsidR="00853E1E" w:rsidRDefault="00853E1E" w:rsidP="00853E1E">
      <w:pPr>
        <w:ind w:firstLine="709"/>
      </w:pPr>
      <w:r w:rsidRPr="0066795C">
        <w:t>Основными проблемными вопросами в сфере общего образования является невозможность организации односменного режима работы отдельных образовательных организаций ввиду недостатка школ.</w:t>
      </w:r>
    </w:p>
    <w:p w:rsidR="00CB53F5" w:rsidRDefault="00CB53F5" w:rsidP="00CB53F5">
      <w:pPr>
        <w:ind w:firstLine="709"/>
      </w:pPr>
      <w:r w:rsidRPr="009411E0">
        <w:t xml:space="preserve">Мощность общеобразовательных организаций не в полной мере соответствует потребностям населения. В настоящее время обеспеченность общеобразовательными школами составляет 87,8%. </w:t>
      </w:r>
    </w:p>
    <w:p w:rsidR="00CB53F5" w:rsidRPr="0066795C" w:rsidRDefault="00CB53F5" w:rsidP="00853E1E">
      <w:pPr>
        <w:ind w:firstLine="709"/>
      </w:pPr>
    </w:p>
    <w:p w:rsidR="00853E1E" w:rsidRPr="0066795C" w:rsidRDefault="00853E1E" w:rsidP="00853E1E">
      <w:pPr>
        <w:ind w:firstLine="709"/>
      </w:pPr>
      <w:r w:rsidRPr="0066795C">
        <w:t>Для увеличения числа мест в общеобразовательных учреждениях</w:t>
      </w:r>
      <w:r w:rsidR="00CB53F5">
        <w:t xml:space="preserve"> в сентябре текущего года введена в эксплуатацию общеобразовательная школа в пгт. Высокий на 300 мест.</w:t>
      </w:r>
      <w:r w:rsidR="000C2E25">
        <w:t xml:space="preserve"> Также </w:t>
      </w:r>
      <w:r w:rsidRPr="0066795C">
        <w:t xml:space="preserve"> планируется строительство новой школы на 1600 мест в городе Мегионе.</w:t>
      </w:r>
    </w:p>
    <w:p w:rsidR="00853E1E" w:rsidRPr="0066795C" w:rsidRDefault="00853E1E" w:rsidP="00853E1E">
      <w:pPr>
        <w:ind w:firstLine="708"/>
      </w:pPr>
      <w:r w:rsidRPr="0066795C">
        <w:t>Образовательную деятельность по программам среднего профессионального образования осуществляет бюджетное учреждение профессионального образования Ханты-</w:t>
      </w:r>
      <w:r w:rsidRPr="0066795C">
        <w:lastRenderedPageBreak/>
        <w:t>Мансийского автономного округа – Югры «Мегионский политехнический колледж». Всего в учреждении обучается 741 человек.</w:t>
      </w:r>
    </w:p>
    <w:p w:rsidR="00853E1E" w:rsidRPr="0066795C" w:rsidRDefault="00853E1E" w:rsidP="00853E1E">
      <w:pPr>
        <w:ind w:firstLine="708"/>
      </w:pPr>
      <w:r w:rsidRPr="0066795C">
        <w:t>Обучение ведется по 17 образовательным программам среднего профессионального образования. Кроме того, в рамках деятельности учреждения реализуются дополнительные образовательные программы (повышения квалификации, профессиональное обучение).</w:t>
      </w:r>
    </w:p>
    <w:p w:rsidR="00FB7F3F" w:rsidRPr="0066795C" w:rsidRDefault="00FB7F3F" w:rsidP="00FB7F3F">
      <w:pPr>
        <w:ind w:firstLine="708"/>
      </w:pPr>
    </w:p>
    <w:p w:rsidR="00485F66" w:rsidRDefault="00FB7F3F" w:rsidP="00FB7F3F">
      <w:pPr>
        <w:ind w:firstLine="708"/>
      </w:pPr>
      <w:r w:rsidRPr="0066795C">
        <w:t>К</w:t>
      </w:r>
      <w:r w:rsidR="00485F66" w:rsidRPr="0066795C">
        <w:t>ультура</w:t>
      </w:r>
    </w:p>
    <w:p w:rsidR="0066795C" w:rsidRPr="0066795C" w:rsidRDefault="0066795C" w:rsidP="00FB7F3F">
      <w:pPr>
        <w:ind w:firstLine="708"/>
      </w:pPr>
    </w:p>
    <w:p w:rsidR="00804974" w:rsidRPr="0066795C" w:rsidRDefault="00804974" w:rsidP="00804974">
      <w:pPr>
        <w:ind w:firstLine="709"/>
        <w:rPr>
          <w:rFonts w:eastAsia="Calibri"/>
        </w:rPr>
      </w:pPr>
      <w:r w:rsidRPr="0066795C">
        <w:rPr>
          <w:rFonts w:eastAsia="Calibri"/>
        </w:rPr>
        <w:t>Сфера культуры территории представлена следующими учреждениями: централизованная библиотечная система, включающая 4 общедоступных библиотеки, 1 музей, дворец искусств, театр музыки, а также 3 учреждения дополнительного образования – художественная школа и две школы искусств.</w:t>
      </w:r>
    </w:p>
    <w:p w:rsidR="00C15490" w:rsidRPr="0066795C" w:rsidRDefault="00C15490" w:rsidP="00804974">
      <w:pPr>
        <w:ind w:firstLine="708"/>
      </w:pPr>
      <w:r w:rsidRPr="0066795C">
        <w:t>Обеспеченность населения объектами культуры по состоянию на 01.10.2019 составляет</w:t>
      </w:r>
      <w:r w:rsidR="001161A7" w:rsidRPr="0066795C">
        <w:t>:</w:t>
      </w:r>
    </w:p>
    <w:p w:rsidR="00C15490" w:rsidRPr="0066795C" w:rsidRDefault="00C15490" w:rsidP="00C15490">
      <w:pPr>
        <w:ind w:firstLine="709"/>
      </w:pPr>
      <w:r w:rsidRPr="0066795C">
        <w:t xml:space="preserve">клубными учреждениями </w:t>
      </w:r>
      <w:r w:rsidR="009C7825" w:rsidRPr="0066795C">
        <w:t>100</w:t>
      </w:r>
      <w:r w:rsidRPr="0066795C">
        <w:t>%;</w:t>
      </w:r>
    </w:p>
    <w:p w:rsidR="00C15490" w:rsidRPr="0066795C" w:rsidRDefault="00C15490" w:rsidP="00C15490">
      <w:pPr>
        <w:ind w:firstLine="709"/>
      </w:pPr>
      <w:r w:rsidRPr="0066795C">
        <w:t>библиотеками 100,0%;</w:t>
      </w:r>
    </w:p>
    <w:p w:rsidR="00C15490" w:rsidRPr="0066795C" w:rsidRDefault="00C15490" w:rsidP="00C15490">
      <w:pPr>
        <w:ind w:firstLine="709"/>
      </w:pPr>
      <w:r w:rsidRPr="0066795C">
        <w:t xml:space="preserve">музеями </w:t>
      </w:r>
      <w:r w:rsidR="00327C54" w:rsidRPr="0066795C">
        <w:t>1</w:t>
      </w:r>
      <w:r w:rsidR="000774FB" w:rsidRPr="0066795C">
        <w:t>50% (с учетом Центра народных художественных промыслов и ремесел и Музейно-этнографического и экологического парка «Югра»)</w:t>
      </w:r>
      <w:r w:rsidR="00853E1E" w:rsidRPr="0066795C">
        <w:t>.</w:t>
      </w:r>
    </w:p>
    <w:p w:rsidR="00853E1E" w:rsidRPr="0066795C" w:rsidRDefault="00853E1E" w:rsidP="00C15490">
      <w:pPr>
        <w:ind w:firstLine="709"/>
      </w:pPr>
      <w:r w:rsidRPr="0066795C">
        <w:rPr>
          <w:rFonts w:eastAsia="Calibri"/>
        </w:rPr>
        <w:t>В целях повышения качества предоставления услуг в сфере культуры планируется совершенствование материально-технической базы муниципальных учреждений.</w:t>
      </w:r>
    </w:p>
    <w:p w:rsidR="00485F66" w:rsidRPr="0066795C" w:rsidRDefault="00485F66" w:rsidP="00235342">
      <w:pPr>
        <w:ind w:firstLine="709"/>
        <w:rPr>
          <w:sz w:val="16"/>
          <w:szCs w:val="16"/>
        </w:rPr>
      </w:pPr>
    </w:p>
    <w:p w:rsidR="00485F66" w:rsidRPr="0066795C" w:rsidRDefault="00485F66" w:rsidP="00235342">
      <w:pPr>
        <w:ind w:firstLine="709"/>
      </w:pPr>
      <w:r w:rsidRPr="0066795C">
        <w:t>Физическая культура и спорт</w:t>
      </w:r>
    </w:p>
    <w:p w:rsidR="00485F66" w:rsidRPr="0066795C" w:rsidRDefault="00485F66" w:rsidP="00235342">
      <w:pPr>
        <w:ind w:firstLine="709"/>
        <w:rPr>
          <w:sz w:val="16"/>
          <w:szCs w:val="16"/>
        </w:rPr>
      </w:pPr>
    </w:p>
    <w:p w:rsidR="00432F41" w:rsidRPr="0066795C" w:rsidRDefault="00432F41" w:rsidP="00432F41">
      <w:pPr>
        <w:widowControl w:val="0"/>
        <w:autoSpaceDE w:val="0"/>
        <w:autoSpaceDN w:val="0"/>
        <w:adjustRightInd w:val="0"/>
        <w:ind w:firstLine="709"/>
        <w:rPr>
          <w:bCs/>
        </w:rPr>
      </w:pPr>
      <w:r w:rsidRPr="0066795C">
        <w:rPr>
          <w:bCs/>
        </w:rPr>
        <w:t>Отрасль «физическая культура и спорт» городского округа представлена муниципальным бюджетным учреждением «Спорт-Альтаир» и двумя учреждениями дополнительного образования детей: муниципальное бюджетное учреждение дополнительного образования «Детско-юношеская спортивная школа «Вымпел», муниципальное автономное учреждение дополнительного образования «Детско-юношеская спортивная школа «Юность».</w:t>
      </w:r>
    </w:p>
    <w:p w:rsidR="00432F41" w:rsidRPr="0066795C" w:rsidRDefault="00432F41" w:rsidP="00432F41">
      <w:pPr>
        <w:widowControl w:val="0"/>
        <w:autoSpaceDE w:val="0"/>
        <w:autoSpaceDN w:val="0"/>
        <w:adjustRightInd w:val="0"/>
        <w:ind w:firstLine="709"/>
      </w:pPr>
      <w:r w:rsidRPr="0066795C">
        <w:rPr>
          <w:bCs/>
        </w:rPr>
        <w:t xml:space="preserve">Кроме муниципальных учреждений </w:t>
      </w:r>
      <w:r w:rsidRPr="0066795C">
        <w:t>на территории Мегиона осуществляют деятельность по предоставлению услуг в сфере физической культуры и спорта: спортивно-оздоровительный комплекс «Жемчужина» градообразующего предприятия открытое акционерное общество «Славнефть-Мегионнефтегаз», частный семейный физкультурно-оздоровительный клуб «Пантеон», частный фитнесс-клуб «Мега», автономная некоммерческая организация содействия развитию молодежи «До 16 и старше», автономная некоммерческая организация «Боксерский клуб «9 Легион», общественная организация «Федерация футбола города Мегиона», общественная спортивная организация «Северная лига», общественная организация «Баскетбольный клуб «Мегион».</w:t>
      </w:r>
    </w:p>
    <w:p w:rsidR="00432F41" w:rsidRPr="0066795C" w:rsidRDefault="00432F41" w:rsidP="00432F41">
      <w:pPr>
        <w:widowControl w:val="0"/>
        <w:ind w:firstLine="709"/>
      </w:pPr>
      <w:r w:rsidRPr="0066795C">
        <w:t>Для занятий физической культурой и спортом различных возрастных категорий населения функционирует 84 спортивных сооружени</w:t>
      </w:r>
      <w:r w:rsidR="00DC7D17" w:rsidRPr="0066795C">
        <w:t>я</w:t>
      </w:r>
      <w:r w:rsidRPr="0066795C">
        <w:t xml:space="preserve"> с единовременной пропускной способностью 2 </w:t>
      </w:r>
      <w:r w:rsidR="00E46024">
        <w:t>123</w:t>
      </w:r>
      <w:r w:rsidRPr="0066795C">
        <w:t xml:space="preserve"> человек</w:t>
      </w:r>
      <w:r w:rsidR="00E46024">
        <w:t>а</w:t>
      </w:r>
      <w:r w:rsidRPr="0066795C">
        <w:t xml:space="preserve">. </w:t>
      </w:r>
      <w:r w:rsidR="00E46024">
        <w:t>Обеспеченность спортивными объектами составляет 33,3%.</w:t>
      </w:r>
    </w:p>
    <w:p w:rsidR="00432F41" w:rsidRDefault="00432F41" w:rsidP="00432F41">
      <w:pPr>
        <w:ind w:firstLine="709"/>
      </w:pPr>
      <w:r w:rsidRPr="0066795C">
        <w:t>Основной проблемой развития сферы физической культуры и спорта на территории города является недостаточный уровень обеспеченности объектами спорта.</w:t>
      </w:r>
    </w:p>
    <w:p w:rsidR="000C2E25" w:rsidRDefault="000C2E25" w:rsidP="000C2E25">
      <w:pPr>
        <w:ind w:firstLine="709"/>
      </w:pPr>
      <w:r>
        <w:t xml:space="preserve">На решение данной проблематики направлены мероприятия </w:t>
      </w:r>
      <w:r w:rsidRPr="001B0506">
        <w:t>регионального проекта</w:t>
      </w:r>
      <w:r>
        <w:t xml:space="preserve"> «</w:t>
      </w:r>
      <w:r>
        <w:rPr>
          <w:lang w:val="en-US"/>
        </w:rPr>
        <w:t>C</w:t>
      </w:r>
      <w:r w:rsidRPr="00B44717">
        <w:t>порт - норма жизни</w:t>
      </w:r>
      <w:r>
        <w:t>» в рамках национального проекта «Демография».</w:t>
      </w:r>
    </w:p>
    <w:p w:rsidR="00E46024" w:rsidRPr="0066795C" w:rsidRDefault="00E46024" w:rsidP="00432F41">
      <w:pPr>
        <w:ind w:firstLine="709"/>
      </w:pPr>
      <w:r>
        <w:t xml:space="preserve">В сентябре текущего года введена в эксплуатацию средняя общеобразовательная школа в пгт Высокий на 300 учащихся с бассейном 200 кв.м. зеркала воды и спортивным залом 288 кв.м. </w:t>
      </w:r>
    </w:p>
    <w:p w:rsidR="00787661" w:rsidRPr="0066795C" w:rsidRDefault="00787661" w:rsidP="0015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hd w:val="clear" w:color="auto" w:fill="FFFFFF"/>
        </w:rPr>
      </w:pPr>
      <w:r w:rsidRPr="0066795C">
        <w:rPr>
          <w:shd w:val="clear" w:color="auto" w:fill="FFFFFF"/>
        </w:rPr>
        <w:t>В ноябре 2019 года планируется ввод нового спортивного комплекса с плоскостными сооружениями общей площадью свыше 3 тысяч 200 квадратных метров.</w:t>
      </w:r>
    </w:p>
    <w:p w:rsidR="00787661" w:rsidRPr="0066795C" w:rsidRDefault="00787661" w:rsidP="0015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66795C">
        <w:rPr>
          <w:shd w:val="clear" w:color="auto" w:fill="FFFFFF"/>
        </w:rPr>
        <w:t>Единовременная пропускная способность комплекса составляет 144 человека в час.</w:t>
      </w:r>
    </w:p>
    <w:p w:rsidR="00853E1E" w:rsidRPr="0066795C" w:rsidRDefault="00750657" w:rsidP="00853E1E">
      <w:pPr>
        <w:ind w:firstLine="709"/>
        <w:rPr>
          <w:rFonts w:eastAsia="Calibri"/>
        </w:rPr>
      </w:pPr>
      <w:r w:rsidRPr="0066795C">
        <w:rPr>
          <w:rFonts w:eastAsia="Calibri"/>
        </w:rPr>
        <w:lastRenderedPageBreak/>
        <w:t>В виду</w:t>
      </w:r>
      <w:r w:rsidR="00804974" w:rsidRPr="0066795C">
        <w:rPr>
          <w:rFonts w:eastAsia="Calibri"/>
        </w:rPr>
        <w:t xml:space="preserve"> недостаточной обеспеченности объектами спорта </w:t>
      </w:r>
      <w:r w:rsidR="00432F41" w:rsidRPr="0066795C">
        <w:rPr>
          <w:rFonts w:eastAsia="Calibri"/>
        </w:rPr>
        <w:t xml:space="preserve"> п</w:t>
      </w:r>
      <w:r w:rsidR="00853E1E" w:rsidRPr="0066795C">
        <w:rPr>
          <w:rFonts w:eastAsia="Calibri"/>
        </w:rPr>
        <w:t>ланируется строительство еще одного спортивного комплекса с игровым залом и залом единоборств с единовременной пропускной способностью 112 чел./час, площадью 2340 кв. м.</w:t>
      </w:r>
    </w:p>
    <w:p w:rsidR="000C2E25" w:rsidRPr="009411E0" w:rsidRDefault="000C2E25" w:rsidP="000C2E25">
      <w:pPr>
        <w:ind w:firstLine="709"/>
        <w:rPr>
          <w:rFonts w:eastAsia="Calibri"/>
        </w:rPr>
      </w:pPr>
      <w:r>
        <w:rPr>
          <w:rFonts w:eastAsia="Calibri"/>
        </w:rPr>
        <w:t xml:space="preserve">Ввод новых объектов увеличит </w:t>
      </w:r>
      <w:r w:rsidRPr="009411E0">
        <w:rPr>
          <w:rFonts w:eastAsia="Calibri"/>
        </w:rPr>
        <w:t xml:space="preserve">обеспеченность спортивными объектами </w:t>
      </w:r>
      <w:r>
        <w:rPr>
          <w:rFonts w:eastAsia="Calibri"/>
        </w:rPr>
        <w:t>население городского округа город Мегион.</w:t>
      </w:r>
    </w:p>
    <w:p w:rsidR="00156EC0" w:rsidRPr="0066795C" w:rsidRDefault="00156EC0" w:rsidP="00156EC0"/>
    <w:p w:rsidR="00485F66" w:rsidRDefault="00485F66" w:rsidP="00C15490">
      <w:pPr>
        <w:ind w:firstLine="708"/>
      </w:pPr>
      <w:r w:rsidRPr="0066795C">
        <w:t>Молодежная политика</w:t>
      </w:r>
    </w:p>
    <w:p w:rsidR="0066795C" w:rsidRPr="0066795C" w:rsidRDefault="0066795C" w:rsidP="00C15490">
      <w:pPr>
        <w:ind w:firstLine="708"/>
      </w:pPr>
    </w:p>
    <w:p w:rsidR="00485F66" w:rsidRPr="0066795C" w:rsidRDefault="00485F66" w:rsidP="00235342">
      <w:pPr>
        <w:widowControl w:val="0"/>
        <w:ind w:firstLine="709"/>
        <w:rPr>
          <w:rFonts w:eastAsia="Calibri Light"/>
          <w:lang w:eastAsia="en-US"/>
        </w:rPr>
      </w:pPr>
      <w:r w:rsidRPr="0066795C">
        <w:rPr>
          <w:rFonts w:eastAsia="Calibri Light"/>
          <w:lang w:eastAsia="en-US"/>
        </w:rPr>
        <w:t>Для реализации мероприятий молодежной политики на территории городского округа функциониру</w:t>
      </w:r>
      <w:r w:rsidR="00C15490" w:rsidRPr="0066795C">
        <w:rPr>
          <w:rFonts w:eastAsia="Calibri Light"/>
          <w:lang w:eastAsia="en-US"/>
        </w:rPr>
        <w:t>е</w:t>
      </w:r>
      <w:r w:rsidRPr="0066795C">
        <w:rPr>
          <w:rFonts w:eastAsia="Calibri Light"/>
          <w:lang w:eastAsia="en-US"/>
        </w:rPr>
        <w:t xml:space="preserve">т муниципальное молодежное автономное учреждение «Старт». </w:t>
      </w:r>
    </w:p>
    <w:p w:rsidR="00485F66" w:rsidRPr="0066795C" w:rsidRDefault="00485F66" w:rsidP="00235342">
      <w:pPr>
        <w:widowControl w:val="0"/>
        <w:ind w:firstLine="709"/>
        <w:rPr>
          <w:rFonts w:eastAsia="Calibri Light"/>
          <w:lang w:eastAsia="en-US"/>
        </w:rPr>
      </w:pPr>
      <w:r w:rsidRPr="0066795C">
        <w:rPr>
          <w:rFonts w:eastAsia="Calibri Light"/>
          <w:lang w:eastAsia="en-US"/>
        </w:rPr>
        <w:t xml:space="preserve">Данное учреждение обеспечивает временную занятость трудом около </w:t>
      </w:r>
      <w:r w:rsidR="00490960" w:rsidRPr="0066795C">
        <w:rPr>
          <w:rFonts w:eastAsia="Calibri Light"/>
          <w:lang w:eastAsia="en-US"/>
        </w:rPr>
        <w:t>1500</w:t>
      </w:r>
      <w:r w:rsidRPr="0066795C">
        <w:rPr>
          <w:rFonts w:eastAsia="Calibri Light"/>
          <w:lang w:eastAsia="en-US"/>
        </w:rPr>
        <w:t xml:space="preserve"> подростк</w:t>
      </w:r>
      <w:r w:rsidR="00490960" w:rsidRPr="0066795C">
        <w:rPr>
          <w:rFonts w:eastAsia="Calibri Light"/>
          <w:lang w:eastAsia="en-US"/>
        </w:rPr>
        <w:t>ов</w:t>
      </w:r>
      <w:r w:rsidRPr="0066795C">
        <w:rPr>
          <w:rFonts w:eastAsia="Calibri Light"/>
          <w:lang w:eastAsia="en-US"/>
        </w:rPr>
        <w:t xml:space="preserve"> 14-18 лет путем заключения договоров с предприятиями городского округа.</w:t>
      </w:r>
    </w:p>
    <w:p w:rsidR="00485F66" w:rsidRPr="0066795C" w:rsidRDefault="00485F66" w:rsidP="00235342">
      <w:pPr>
        <w:widowControl w:val="0"/>
        <w:ind w:firstLine="709"/>
        <w:rPr>
          <w:rFonts w:eastAsia="Calibri Light"/>
          <w:lang w:eastAsia="en-US"/>
        </w:rPr>
      </w:pPr>
      <w:r w:rsidRPr="0066795C">
        <w:rPr>
          <w:rFonts w:eastAsia="Calibri Light"/>
          <w:lang w:eastAsia="en-US"/>
        </w:rPr>
        <w:t xml:space="preserve">Из общего числа трудоустроенных подростков </w:t>
      </w:r>
      <w:r w:rsidR="009D073B" w:rsidRPr="0066795C">
        <w:rPr>
          <w:rFonts w:eastAsia="Calibri Light"/>
          <w:lang w:eastAsia="en-US"/>
        </w:rPr>
        <w:t>48</w:t>
      </w:r>
      <w:r w:rsidRPr="0066795C">
        <w:rPr>
          <w:rFonts w:eastAsia="Calibri Light"/>
          <w:lang w:eastAsia="en-US"/>
        </w:rPr>
        <w:t>% относятся к категории детей, нуждающихся в особой заботе государства, малообеспеченных и многодетных семей.</w:t>
      </w:r>
    </w:p>
    <w:p w:rsidR="00485F66" w:rsidRPr="0066795C" w:rsidRDefault="00485F66" w:rsidP="00235342">
      <w:pPr>
        <w:widowControl w:val="0"/>
        <w:ind w:firstLine="709"/>
        <w:rPr>
          <w:rFonts w:eastAsia="Calibri Light"/>
          <w:lang w:eastAsia="en-US"/>
        </w:rPr>
      </w:pPr>
      <w:r w:rsidRPr="0066795C">
        <w:rPr>
          <w:rFonts w:eastAsia="Calibri Light"/>
          <w:shd w:val="clear" w:color="auto" w:fill="FFFFFF"/>
          <w:lang w:eastAsia="en-US"/>
        </w:rPr>
        <w:t>В целях организации и осуществления мероприятий по работе с молодежью в сфере гражданского и военно-патриотической направленности в городском округе функционирует</w:t>
      </w:r>
      <w:r w:rsidRPr="0066795C">
        <w:rPr>
          <w:rFonts w:eastAsia="Calibri Light"/>
          <w:lang w:eastAsia="en-US"/>
        </w:rPr>
        <w:t xml:space="preserve"> 14 молодежных формирований по интересам, в которых занимаются 362 человека.</w:t>
      </w:r>
    </w:p>
    <w:p w:rsidR="00BB556C" w:rsidRPr="0066795C" w:rsidRDefault="00BB556C" w:rsidP="00235342">
      <w:pPr>
        <w:ind w:firstLine="709"/>
        <w:jc w:val="left"/>
        <w:rPr>
          <w:rFonts w:eastAsia="&amp; mso-ansi-language"/>
        </w:rPr>
      </w:pPr>
    </w:p>
    <w:sectPr w:rsidR="00BB556C" w:rsidRPr="0066795C" w:rsidSect="00B658AC">
      <w:headerReference w:type="default" r:id="rId8"/>
      <w:footerReference w:type="default" r:id="rId9"/>
      <w:pgSz w:w="11906" w:h="16838"/>
      <w:pgMar w:top="1134" w:right="567" w:bottom="1134" w:left="1701" w:header="720" w:footer="720"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A70" w:rsidRDefault="00396A70" w:rsidP="00CC5D52">
      <w:r>
        <w:separator/>
      </w:r>
    </w:p>
  </w:endnote>
  <w:endnote w:type="continuationSeparator" w:id="0">
    <w:p w:rsidR="00396A70" w:rsidRDefault="00396A70" w:rsidP="00CC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Dao">
    <w:altName w:val="Arial Narrow"/>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mp; mso-ansi-language">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A70" w:rsidRDefault="00396A70">
    <w:pPr>
      <w:pStyle w:val="afa"/>
      <w:jc w:val="center"/>
    </w:pPr>
  </w:p>
  <w:p w:rsidR="00396A70" w:rsidRDefault="00396A70">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A70" w:rsidRDefault="00396A70" w:rsidP="00CC5D52">
      <w:r>
        <w:separator/>
      </w:r>
    </w:p>
  </w:footnote>
  <w:footnote w:type="continuationSeparator" w:id="0">
    <w:p w:rsidR="00396A70" w:rsidRDefault="00396A70" w:rsidP="00CC5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497276"/>
      <w:docPartObj>
        <w:docPartGallery w:val="Page Numbers (Top of Page)"/>
        <w:docPartUnique/>
      </w:docPartObj>
    </w:sdtPr>
    <w:sdtEndPr>
      <w:rPr>
        <w:sz w:val="20"/>
      </w:rPr>
    </w:sdtEndPr>
    <w:sdtContent>
      <w:p w:rsidR="00396A70" w:rsidRPr="001E0A63" w:rsidRDefault="00396A70">
        <w:pPr>
          <w:pStyle w:val="af7"/>
          <w:jc w:val="center"/>
          <w:rPr>
            <w:sz w:val="20"/>
          </w:rPr>
        </w:pPr>
        <w:r w:rsidRPr="001E0A63">
          <w:rPr>
            <w:sz w:val="20"/>
          </w:rPr>
          <w:fldChar w:fldCharType="begin"/>
        </w:r>
        <w:r w:rsidRPr="001E0A63">
          <w:rPr>
            <w:sz w:val="20"/>
          </w:rPr>
          <w:instrText>PAGE   \* MERGEFORMAT</w:instrText>
        </w:r>
        <w:r w:rsidRPr="001E0A63">
          <w:rPr>
            <w:sz w:val="20"/>
          </w:rPr>
          <w:fldChar w:fldCharType="separate"/>
        </w:r>
        <w:r w:rsidR="00974B4E">
          <w:rPr>
            <w:noProof/>
            <w:sz w:val="20"/>
          </w:rPr>
          <w:t>1</w:t>
        </w:r>
        <w:r w:rsidRPr="001E0A63">
          <w:rPr>
            <w:sz w:val="20"/>
          </w:rPr>
          <w:fldChar w:fldCharType="end"/>
        </w:r>
      </w:p>
    </w:sdtContent>
  </w:sdt>
  <w:p w:rsidR="00396A70" w:rsidRDefault="00396A70">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04ED8"/>
    <w:multiLevelType w:val="hybridMultilevel"/>
    <w:tmpl w:val="09BAA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30C706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1C1"/>
    <w:rsid w:val="00000152"/>
    <w:rsid w:val="00000588"/>
    <w:rsid w:val="0000201B"/>
    <w:rsid w:val="00002796"/>
    <w:rsid w:val="00002D9E"/>
    <w:rsid w:val="000058A2"/>
    <w:rsid w:val="00005F22"/>
    <w:rsid w:val="000063CC"/>
    <w:rsid w:val="00010690"/>
    <w:rsid w:val="00010A62"/>
    <w:rsid w:val="000115B9"/>
    <w:rsid w:val="0001207D"/>
    <w:rsid w:val="00012117"/>
    <w:rsid w:val="00013781"/>
    <w:rsid w:val="00015E8C"/>
    <w:rsid w:val="000162A6"/>
    <w:rsid w:val="00021591"/>
    <w:rsid w:val="0002168D"/>
    <w:rsid w:val="00021783"/>
    <w:rsid w:val="00021BC6"/>
    <w:rsid w:val="000241B2"/>
    <w:rsid w:val="000246F0"/>
    <w:rsid w:val="00024985"/>
    <w:rsid w:val="00025334"/>
    <w:rsid w:val="0002545E"/>
    <w:rsid w:val="0002683A"/>
    <w:rsid w:val="00026906"/>
    <w:rsid w:val="0002788D"/>
    <w:rsid w:val="00030EEB"/>
    <w:rsid w:val="00031283"/>
    <w:rsid w:val="00033AC2"/>
    <w:rsid w:val="0004121A"/>
    <w:rsid w:val="00041255"/>
    <w:rsid w:val="00041962"/>
    <w:rsid w:val="000427EF"/>
    <w:rsid w:val="000440E8"/>
    <w:rsid w:val="00044313"/>
    <w:rsid w:val="000454A2"/>
    <w:rsid w:val="00045BF8"/>
    <w:rsid w:val="00046F41"/>
    <w:rsid w:val="00047833"/>
    <w:rsid w:val="00053D24"/>
    <w:rsid w:val="0005578B"/>
    <w:rsid w:val="00056222"/>
    <w:rsid w:val="00056604"/>
    <w:rsid w:val="0005745F"/>
    <w:rsid w:val="00057C38"/>
    <w:rsid w:val="00062B50"/>
    <w:rsid w:val="0006356F"/>
    <w:rsid w:val="00063980"/>
    <w:rsid w:val="00063B5D"/>
    <w:rsid w:val="00063B92"/>
    <w:rsid w:val="00065157"/>
    <w:rsid w:val="000661E4"/>
    <w:rsid w:val="00066A2C"/>
    <w:rsid w:val="00067438"/>
    <w:rsid w:val="00067DFC"/>
    <w:rsid w:val="00071DD0"/>
    <w:rsid w:val="000721B4"/>
    <w:rsid w:val="00072D6B"/>
    <w:rsid w:val="00073D49"/>
    <w:rsid w:val="0007449A"/>
    <w:rsid w:val="000751BD"/>
    <w:rsid w:val="0007525A"/>
    <w:rsid w:val="000774FB"/>
    <w:rsid w:val="00081741"/>
    <w:rsid w:val="00081862"/>
    <w:rsid w:val="000835E4"/>
    <w:rsid w:val="00084908"/>
    <w:rsid w:val="000853A9"/>
    <w:rsid w:val="00085AE3"/>
    <w:rsid w:val="00086483"/>
    <w:rsid w:val="00087C2D"/>
    <w:rsid w:val="00087D5F"/>
    <w:rsid w:val="00090CA4"/>
    <w:rsid w:val="000923CF"/>
    <w:rsid w:val="00094592"/>
    <w:rsid w:val="00094CBA"/>
    <w:rsid w:val="000958E8"/>
    <w:rsid w:val="00095B28"/>
    <w:rsid w:val="00096027"/>
    <w:rsid w:val="000972D6"/>
    <w:rsid w:val="000A217F"/>
    <w:rsid w:val="000A2BFD"/>
    <w:rsid w:val="000A4813"/>
    <w:rsid w:val="000A4ABD"/>
    <w:rsid w:val="000A5A4E"/>
    <w:rsid w:val="000A6D16"/>
    <w:rsid w:val="000A773D"/>
    <w:rsid w:val="000A7A94"/>
    <w:rsid w:val="000B1DB9"/>
    <w:rsid w:val="000B29BC"/>
    <w:rsid w:val="000B4A1D"/>
    <w:rsid w:val="000B4A20"/>
    <w:rsid w:val="000B4FFC"/>
    <w:rsid w:val="000B5BAC"/>
    <w:rsid w:val="000B5D37"/>
    <w:rsid w:val="000B688E"/>
    <w:rsid w:val="000B78D9"/>
    <w:rsid w:val="000C0DDF"/>
    <w:rsid w:val="000C1E5A"/>
    <w:rsid w:val="000C237E"/>
    <w:rsid w:val="000C2E25"/>
    <w:rsid w:val="000C32C4"/>
    <w:rsid w:val="000C5C40"/>
    <w:rsid w:val="000C6EAD"/>
    <w:rsid w:val="000C6FBA"/>
    <w:rsid w:val="000C7356"/>
    <w:rsid w:val="000C795A"/>
    <w:rsid w:val="000D233A"/>
    <w:rsid w:val="000D23A8"/>
    <w:rsid w:val="000D3D53"/>
    <w:rsid w:val="000D48B5"/>
    <w:rsid w:val="000D5244"/>
    <w:rsid w:val="000D5FDF"/>
    <w:rsid w:val="000D6577"/>
    <w:rsid w:val="000D7513"/>
    <w:rsid w:val="000D76C1"/>
    <w:rsid w:val="000D7EF0"/>
    <w:rsid w:val="000E07B9"/>
    <w:rsid w:val="000E08CB"/>
    <w:rsid w:val="000E186F"/>
    <w:rsid w:val="000E1B2B"/>
    <w:rsid w:val="000E1CBB"/>
    <w:rsid w:val="000E1FB5"/>
    <w:rsid w:val="000E3F7B"/>
    <w:rsid w:val="000E446A"/>
    <w:rsid w:val="000E6E45"/>
    <w:rsid w:val="000E703A"/>
    <w:rsid w:val="000F01B4"/>
    <w:rsid w:val="000F04F4"/>
    <w:rsid w:val="000F181D"/>
    <w:rsid w:val="000F2D63"/>
    <w:rsid w:val="000F3FA3"/>
    <w:rsid w:val="000F727B"/>
    <w:rsid w:val="000F7683"/>
    <w:rsid w:val="000F7B38"/>
    <w:rsid w:val="00100EF3"/>
    <w:rsid w:val="001033FD"/>
    <w:rsid w:val="00105A9A"/>
    <w:rsid w:val="00106EB3"/>
    <w:rsid w:val="001104FF"/>
    <w:rsid w:val="00110D14"/>
    <w:rsid w:val="001128DA"/>
    <w:rsid w:val="0011417F"/>
    <w:rsid w:val="00114DC3"/>
    <w:rsid w:val="00115DC9"/>
    <w:rsid w:val="001161A7"/>
    <w:rsid w:val="00116C32"/>
    <w:rsid w:val="00117A8A"/>
    <w:rsid w:val="001202ED"/>
    <w:rsid w:val="001204C0"/>
    <w:rsid w:val="001210B0"/>
    <w:rsid w:val="00121158"/>
    <w:rsid w:val="00123D6F"/>
    <w:rsid w:val="00127555"/>
    <w:rsid w:val="00130028"/>
    <w:rsid w:val="00135F2C"/>
    <w:rsid w:val="00136A36"/>
    <w:rsid w:val="00136E14"/>
    <w:rsid w:val="00137119"/>
    <w:rsid w:val="00137289"/>
    <w:rsid w:val="00137588"/>
    <w:rsid w:val="00141C6B"/>
    <w:rsid w:val="00143AAD"/>
    <w:rsid w:val="00144114"/>
    <w:rsid w:val="00144790"/>
    <w:rsid w:val="001511C1"/>
    <w:rsid w:val="001520E4"/>
    <w:rsid w:val="00153D06"/>
    <w:rsid w:val="00154528"/>
    <w:rsid w:val="00154CE1"/>
    <w:rsid w:val="00155196"/>
    <w:rsid w:val="00155D7E"/>
    <w:rsid w:val="00156EC0"/>
    <w:rsid w:val="0016067E"/>
    <w:rsid w:val="001613A6"/>
    <w:rsid w:val="001615A0"/>
    <w:rsid w:val="001619DD"/>
    <w:rsid w:val="00163E1F"/>
    <w:rsid w:val="00164203"/>
    <w:rsid w:val="001647F8"/>
    <w:rsid w:val="00166F14"/>
    <w:rsid w:val="00170296"/>
    <w:rsid w:val="00170ED8"/>
    <w:rsid w:val="00171D23"/>
    <w:rsid w:val="00172673"/>
    <w:rsid w:val="00172E7A"/>
    <w:rsid w:val="001734D5"/>
    <w:rsid w:val="0017597F"/>
    <w:rsid w:val="001764B6"/>
    <w:rsid w:val="0018154F"/>
    <w:rsid w:val="00183DD3"/>
    <w:rsid w:val="0018492B"/>
    <w:rsid w:val="001852FF"/>
    <w:rsid w:val="00185EB8"/>
    <w:rsid w:val="00185ED1"/>
    <w:rsid w:val="0018725E"/>
    <w:rsid w:val="00190D13"/>
    <w:rsid w:val="001931AD"/>
    <w:rsid w:val="001969BA"/>
    <w:rsid w:val="00197A65"/>
    <w:rsid w:val="00197FB5"/>
    <w:rsid w:val="001A078E"/>
    <w:rsid w:val="001A08B3"/>
    <w:rsid w:val="001A1173"/>
    <w:rsid w:val="001A126D"/>
    <w:rsid w:val="001A20D0"/>
    <w:rsid w:val="001A22A3"/>
    <w:rsid w:val="001A3CB7"/>
    <w:rsid w:val="001A4D2F"/>
    <w:rsid w:val="001A522E"/>
    <w:rsid w:val="001A5513"/>
    <w:rsid w:val="001A5914"/>
    <w:rsid w:val="001A6549"/>
    <w:rsid w:val="001A6835"/>
    <w:rsid w:val="001A6B02"/>
    <w:rsid w:val="001A7186"/>
    <w:rsid w:val="001A7E99"/>
    <w:rsid w:val="001B1470"/>
    <w:rsid w:val="001B19A2"/>
    <w:rsid w:val="001B4D73"/>
    <w:rsid w:val="001B5939"/>
    <w:rsid w:val="001B5C61"/>
    <w:rsid w:val="001B5ED7"/>
    <w:rsid w:val="001C1B1A"/>
    <w:rsid w:val="001C2F7E"/>
    <w:rsid w:val="001C75A4"/>
    <w:rsid w:val="001C78BD"/>
    <w:rsid w:val="001D002D"/>
    <w:rsid w:val="001D0250"/>
    <w:rsid w:val="001D50FC"/>
    <w:rsid w:val="001D5B90"/>
    <w:rsid w:val="001D72B0"/>
    <w:rsid w:val="001E049C"/>
    <w:rsid w:val="001E0817"/>
    <w:rsid w:val="001E09AF"/>
    <w:rsid w:val="001E0A63"/>
    <w:rsid w:val="001E1643"/>
    <w:rsid w:val="001E260F"/>
    <w:rsid w:val="001E44A3"/>
    <w:rsid w:val="001E524D"/>
    <w:rsid w:val="001E6B8C"/>
    <w:rsid w:val="001E6C1F"/>
    <w:rsid w:val="001F00C3"/>
    <w:rsid w:val="001F04A9"/>
    <w:rsid w:val="001F0F5F"/>
    <w:rsid w:val="001F17BA"/>
    <w:rsid w:val="001F21B7"/>
    <w:rsid w:val="001F35D2"/>
    <w:rsid w:val="001F3A7A"/>
    <w:rsid w:val="001F3D75"/>
    <w:rsid w:val="001F546D"/>
    <w:rsid w:val="001F567A"/>
    <w:rsid w:val="001F56BB"/>
    <w:rsid w:val="001F5C86"/>
    <w:rsid w:val="001F5F4A"/>
    <w:rsid w:val="001F77FB"/>
    <w:rsid w:val="001F7A8B"/>
    <w:rsid w:val="001F7ACA"/>
    <w:rsid w:val="00200BDD"/>
    <w:rsid w:val="00204B5D"/>
    <w:rsid w:val="002055EF"/>
    <w:rsid w:val="00206275"/>
    <w:rsid w:val="002076B4"/>
    <w:rsid w:val="002076F8"/>
    <w:rsid w:val="002077D3"/>
    <w:rsid w:val="00211CAE"/>
    <w:rsid w:val="00214F50"/>
    <w:rsid w:val="00215FF9"/>
    <w:rsid w:val="002162C4"/>
    <w:rsid w:val="002200B1"/>
    <w:rsid w:val="0022021C"/>
    <w:rsid w:val="002221A4"/>
    <w:rsid w:val="002222E4"/>
    <w:rsid w:val="00222673"/>
    <w:rsid w:val="00222A01"/>
    <w:rsid w:val="00223BAA"/>
    <w:rsid w:val="002253AE"/>
    <w:rsid w:val="002271FC"/>
    <w:rsid w:val="00227F57"/>
    <w:rsid w:val="00230C85"/>
    <w:rsid w:val="00231A4D"/>
    <w:rsid w:val="002327AB"/>
    <w:rsid w:val="00235342"/>
    <w:rsid w:val="00235BB5"/>
    <w:rsid w:val="00237C33"/>
    <w:rsid w:val="00241C02"/>
    <w:rsid w:val="00242079"/>
    <w:rsid w:val="002425A9"/>
    <w:rsid w:val="0024475D"/>
    <w:rsid w:val="00246EF4"/>
    <w:rsid w:val="00252F62"/>
    <w:rsid w:val="00253B21"/>
    <w:rsid w:val="00254004"/>
    <w:rsid w:val="00254937"/>
    <w:rsid w:val="0025530C"/>
    <w:rsid w:val="002570BB"/>
    <w:rsid w:val="002603B4"/>
    <w:rsid w:val="002606AB"/>
    <w:rsid w:val="00261BBE"/>
    <w:rsid w:val="00263DC6"/>
    <w:rsid w:val="002645C9"/>
    <w:rsid w:val="00264F54"/>
    <w:rsid w:val="00265CF4"/>
    <w:rsid w:val="00265FE3"/>
    <w:rsid w:val="002666D8"/>
    <w:rsid w:val="00267C1B"/>
    <w:rsid w:val="00272FD4"/>
    <w:rsid w:val="00280467"/>
    <w:rsid w:val="00280A72"/>
    <w:rsid w:val="00281DEB"/>
    <w:rsid w:val="00287274"/>
    <w:rsid w:val="002876C8"/>
    <w:rsid w:val="00287D55"/>
    <w:rsid w:val="0029006B"/>
    <w:rsid w:val="00290A19"/>
    <w:rsid w:val="00290AC4"/>
    <w:rsid w:val="002914C1"/>
    <w:rsid w:val="00293DD5"/>
    <w:rsid w:val="0029501E"/>
    <w:rsid w:val="00295AC4"/>
    <w:rsid w:val="002968B2"/>
    <w:rsid w:val="00296B42"/>
    <w:rsid w:val="00296C81"/>
    <w:rsid w:val="002A0641"/>
    <w:rsid w:val="002A0E13"/>
    <w:rsid w:val="002A181B"/>
    <w:rsid w:val="002A2DEE"/>
    <w:rsid w:val="002A4851"/>
    <w:rsid w:val="002A554A"/>
    <w:rsid w:val="002A6554"/>
    <w:rsid w:val="002A7CEF"/>
    <w:rsid w:val="002B025C"/>
    <w:rsid w:val="002B07D3"/>
    <w:rsid w:val="002B0AC5"/>
    <w:rsid w:val="002B0EAB"/>
    <w:rsid w:val="002B1711"/>
    <w:rsid w:val="002B3391"/>
    <w:rsid w:val="002B658A"/>
    <w:rsid w:val="002B7798"/>
    <w:rsid w:val="002C0D16"/>
    <w:rsid w:val="002C2359"/>
    <w:rsid w:val="002C3928"/>
    <w:rsid w:val="002C392C"/>
    <w:rsid w:val="002C3CAC"/>
    <w:rsid w:val="002C5CC5"/>
    <w:rsid w:val="002C6138"/>
    <w:rsid w:val="002C6781"/>
    <w:rsid w:val="002C7CC8"/>
    <w:rsid w:val="002D2EA0"/>
    <w:rsid w:val="002D37F9"/>
    <w:rsid w:val="002D3CD6"/>
    <w:rsid w:val="002D6F8A"/>
    <w:rsid w:val="002E36D5"/>
    <w:rsid w:val="002E3A50"/>
    <w:rsid w:val="002E4228"/>
    <w:rsid w:val="002F24CF"/>
    <w:rsid w:val="002F2932"/>
    <w:rsid w:val="002F30AF"/>
    <w:rsid w:val="002F4638"/>
    <w:rsid w:val="002F4D3C"/>
    <w:rsid w:val="002F5817"/>
    <w:rsid w:val="002F6DB4"/>
    <w:rsid w:val="002F6EED"/>
    <w:rsid w:val="002F7446"/>
    <w:rsid w:val="002F795C"/>
    <w:rsid w:val="002F7E8A"/>
    <w:rsid w:val="00300837"/>
    <w:rsid w:val="0030123E"/>
    <w:rsid w:val="003017A1"/>
    <w:rsid w:val="003017FA"/>
    <w:rsid w:val="0030192F"/>
    <w:rsid w:val="00302615"/>
    <w:rsid w:val="00302E5C"/>
    <w:rsid w:val="0030301D"/>
    <w:rsid w:val="00303A3D"/>
    <w:rsid w:val="00303EF1"/>
    <w:rsid w:val="00304524"/>
    <w:rsid w:val="00304D73"/>
    <w:rsid w:val="00306D6F"/>
    <w:rsid w:val="00311145"/>
    <w:rsid w:val="00313AF4"/>
    <w:rsid w:val="003154DB"/>
    <w:rsid w:val="0031605E"/>
    <w:rsid w:val="003179C9"/>
    <w:rsid w:val="0032019F"/>
    <w:rsid w:val="003208A1"/>
    <w:rsid w:val="003209F0"/>
    <w:rsid w:val="00321F65"/>
    <w:rsid w:val="0032227A"/>
    <w:rsid w:val="00323577"/>
    <w:rsid w:val="00323C1B"/>
    <w:rsid w:val="00324108"/>
    <w:rsid w:val="003255F5"/>
    <w:rsid w:val="00326E32"/>
    <w:rsid w:val="00327C54"/>
    <w:rsid w:val="00330188"/>
    <w:rsid w:val="003359FD"/>
    <w:rsid w:val="003415A2"/>
    <w:rsid w:val="00343ED4"/>
    <w:rsid w:val="00346368"/>
    <w:rsid w:val="00347267"/>
    <w:rsid w:val="00350A4C"/>
    <w:rsid w:val="00350AB6"/>
    <w:rsid w:val="00350D0D"/>
    <w:rsid w:val="0035279F"/>
    <w:rsid w:val="0035463D"/>
    <w:rsid w:val="003549A2"/>
    <w:rsid w:val="00354E6E"/>
    <w:rsid w:val="00355580"/>
    <w:rsid w:val="003555DD"/>
    <w:rsid w:val="00355B9E"/>
    <w:rsid w:val="00355FA6"/>
    <w:rsid w:val="00356F9A"/>
    <w:rsid w:val="0035711F"/>
    <w:rsid w:val="00357D22"/>
    <w:rsid w:val="00361B71"/>
    <w:rsid w:val="00361BDD"/>
    <w:rsid w:val="00362E90"/>
    <w:rsid w:val="003666C4"/>
    <w:rsid w:val="00367185"/>
    <w:rsid w:val="00370E67"/>
    <w:rsid w:val="003769A5"/>
    <w:rsid w:val="003776FC"/>
    <w:rsid w:val="00380416"/>
    <w:rsid w:val="00380F2B"/>
    <w:rsid w:val="00381135"/>
    <w:rsid w:val="0038181B"/>
    <w:rsid w:val="0038390D"/>
    <w:rsid w:val="003839C1"/>
    <w:rsid w:val="00383A9B"/>
    <w:rsid w:val="0039032C"/>
    <w:rsid w:val="00390A95"/>
    <w:rsid w:val="0039529E"/>
    <w:rsid w:val="003954EC"/>
    <w:rsid w:val="00396A70"/>
    <w:rsid w:val="003979C2"/>
    <w:rsid w:val="00397EC2"/>
    <w:rsid w:val="003A1768"/>
    <w:rsid w:val="003A2E2B"/>
    <w:rsid w:val="003A2F02"/>
    <w:rsid w:val="003A33A2"/>
    <w:rsid w:val="003A6130"/>
    <w:rsid w:val="003A61B6"/>
    <w:rsid w:val="003A7077"/>
    <w:rsid w:val="003A76A7"/>
    <w:rsid w:val="003B06CC"/>
    <w:rsid w:val="003B1D03"/>
    <w:rsid w:val="003B2050"/>
    <w:rsid w:val="003B338D"/>
    <w:rsid w:val="003B4E16"/>
    <w:rsid w:val="003B6F0E"/>
    <w:rsid w:val="003B738D"/>
    <w:rsid w:val="003B7598"/>
    <w:rsid w:val="003C1DC9"/>
    <w:rsid w:val="003C2340"/>
    <w:rsid w:val="003C3CC3"/>
    <w:rsid w:val="003C56EC"/>
    <w:rsid w:val="003C797F"/>
    <w:rsid w:val="003D185F"/>
    <w:rsid w:val="003D22D6"/>
    <w:rsid w:val="003D294B"/>
    <w:rsid w:val="003D48EB"/>
    <w:rsid w:val="003D5F2A"/>
    <w:rsid w:val="003D6A67"/>
    <w:rsid w:val="003E03BC"/>
    <w:rsid w:val="003E03D7"/>
    <w:rsid w:val="003E16E5"/>
    <w:rsid w:val="003E3C0D"/>
    <w:rsid w:val="003E70E0"/>
    <w:rsid w:val="003E76B1"/>
    <w:rsid w:val="003F16DB"/>
    <w:rsid w:val="003F21DC"/>
    <w:rsid w:val="003F2B71"/>
    <w:rsid w:val="003F33F6"/>
    <w:rsid w:val="003F4532"/>
    <w:rsid w:val="003F4F52"/>
    <w:rsid w:val="003F54B5"/>
    <w:rsid w:val="003F5C9D"/>
    <w:rsid w:val="003F6743"/>
    <w:rsid w:val="003F7751"/>
    <w:rsid w:val="00400482"/>
    <w:rsid w:val="0040048B"/>
    <w:rsid w:val="00400560"/>
    <w:rsid w:val="0040067C"/>
    <w:rsid w:val="0040320A"/>
    <w:rsid w:val="00403DAA"/>
    <w:rsid w:val="0040436C"/>
    <w:rsid w:val="00405125"/>
    <w:rsid w:val="00405C57"/>
    <w:rsid w:val="00407906"/>
    <w:rsid w:val="00410D5D"/>
    <w:rsid w:val="00411263"/>
    <w:rsid w:val="004112DF"/>
    <w:rsid w:val="0041162F"/>
    <w:rsid w:val="0041228F"/>
    <w:rsid w:val="004134C4"/>
    <w:rsid w:val="00413FA5"/>
    <w:rsid w:val="00414F0C"/>
    <w:rsid w:val="004165F5"/>
    <w:rsid w:val="0041786B"/>
    <w:rsid w:val="004217EF"/>
    <w:rsid w:val="0042200E"/>
    <w:rsid w:val="00422B8D"/>
    <w:rsid w:val="00424BD6"/>
    <w:rsid w:val="004252E1"/>
    <w:rsid w:val="00425343"/>
    <w:rsid w:val="00425713"/>
    <w:rsid w:val="0042606B"/>
    <w:rsid w:val="0042634A"/>
    <w:rsid w:val="0042680D"/>
    <w:rsid w:val="00426D14"/>
    <w:rsid w:val="0043248B"/>
    <w:rsid w:val="00432F41"/>
    <w:rsid w:val="0043375D"/>
    <w:rsid w:val="00434968"/>
    <w:rsid w:val="00435749"/>
    <w:rsid w:val="004362EC"/>
    <w:rsid w:val="004373A1"/>
    <w:rsid w:val="00440658"/>
    <w:rsid w:val="004407AC"/>
    <w:rsid w:val="004428F5"/>
    <w:rsid w:val="00443EDB"/>
    <w:rsid w:val="00444992"/>
    <w:rsid w:val="00445827"/>
    <w:rsid w:val="00446D17"/>
    <w:rsid w:val="004477A1"/>
    <w:rsid w:val="00447CBD"/>
    <w:rsid w:val="00452251"/>
    <w:rsid w:val="0045300E"/>
    <w:rsid w:val="00454502"/>
    <w:rsid w:val="00454972"/>
    <w:rsid w:val="00454A86"/>
    <w:rsid w:val="00454F66"/>
    <w:rsid w:val="004555F6"/>
    <w:rsid w:val="00455A4C"/>
    <w:rsid w:val="004607AE"/>
    <w:rsid w:val="00462162"/>
    <w:rsid w:val="00463777"/>
    <w:rsid w:val="00466476"/>
    <w:rsid w:val="00470298"/>
    <w:rsid w:val="00472034"/>
    <w:rsid w:val="004725C1"/>
    <w:rsid w:val="00473636"/>
    <w:rsid w:val="0047363A"/>
    <w:rsid w:val="00473BE8"/>
    <w:rsid w:val="00481100"/>
    <w:rsid w:val="004811B5"/>
    <w:rsid w:val="00482DAB"/>
    <w:rsid w:val="00482E6E"/>
    <w:rsid w:val="00483C18"/>
    <w:rsid w:val="00483CCC"/>
    <w:rsid w:val="00485170"/>
    <w:rsid w:val="00485C0D"/>
    <w:rsid w:val="00485F66"/>
    <w:rsid w:val="004860E7"/>
    <w:rsid w:val="00486301"/>
    <w:rsid w:val="00487705"/>
    <w:rsid w:val="00487DB8"/>
    <w:rsid w:val="00490212"/>
    <w:rsid w:val="00490960"/>
    <w:rsid w:val="004936DC"/>
    <w:rsid w:val="0049555F"/>
    <w:rsid w:val="00496F8E"/>
    <w:rsid w:val="0049729B"/>
    <w:rsid w:val="0049733E"/>
    <w:rsid w:val="004A15CF"/>
    <w:rsid w:val="004A24F2"/>
    <w:rsid w:val="004A2544"/>
    <w:rsid w:val="004A336B"/>
    <w:rsid w:val="004A4653"/>
    <w:rsid w:val="004A4E51"/>
    <w:rsid w:val="004A6A63"/>
    <w:rsid w:val="004A6D43"/>
    <w:rsid w:val="004A7660"/>
    <w:rsid w:val="004B031B"/>
    <w:rsid w:val="004B1698"/>
    <w:rsid w:val="004B1F35"/>
    <w:rsid w:val="004B42FA"/>
    <w:rsid w:val="004B5444"/>
    <w:rsid w:val="004B6D86"/>
    <w:rsid w:val="004C0C59"/>
    <w:rsid w:val="004C2A9E"/>
    <w:rsid w:val="004C63C5"/>
    <w:rsid w:val="004D2452"/>
    <w:rsid w:val="004D292A"/>
    <w:rsid w:val="004D456E"/>
    <w:rsid w:val="004D55CD"/>
    <w:rsid w:val="004D6D69"/>
    <w:rsid w:val="004D70A7"/>
    <w:rsid w:val="004E069A"/>
    <w:rsid w:val="004E1968"/>
    <w:rsid w:val="004E2D94"/>
    <w:rsid w:val="004E3268"/>
    <w:rsid w:val="004E4DF4"/>
    <w:rsid w:val="004E75AD"/>
    <w:rsid w:val="004F0079"/>
    <w:rsid w:val="004F0A5E"/>
    <w:rsid w:val="004F2B32"/>
    <w:rsid w:val="004F4022"/>
    <w:rsid w:val="00501E2B"/>
    <w:rsid w:val="005054F7"/>
    <w:rsid w:val="005066AE"/>
    <w:rsid w:val="00511627"/>
    <w:rsid w:val="00511E7D"/>
    <w:rsid w:val="0051360E"/>
    <w:rsid w:val="00514F78"/>
    <w:rsid w:val="005150D2"/>
    <w:rsid w:val="00521009"/>
    <w:rsid w:val="00521F11"/>
    <w:rsid w:val="00523CEF"/>
    <w:rsid w:val="00527239"/>
    <w:rsid w:val="00527685"/>
    <w:rsid w:val="00527A65"/>
    <w:rsid w:val="00527B89"/>
    <w:rsid w:val="005302E9"/>
    <w:rsid w:val="00530333"/>
    <w:rsid w:val="00531BB9"/>
    <w:rsid w:val="00531CD0"/>
    <w:rsid w:val="00532FB7"/>
    <w:rsid w:val="00533FA6"/>
    <w:rsid w:val="00534CCD"/>
    <w:rsid w:val="0053636F"/>
    <w:rsid w:val="005364F5"/>
    <w:rsid w:val="00541563"/>
    <w:rsid w:val="00542B11"/>
    <w:rsid w:val="00542E67"/>
    <w:rsid w:val="00543CD0"/>
    <w:rsid w:val="005443AD"/>
    <w:rsid w:val="0054547F"/>
    <w:rsid w:val="00546379"/>
    <w:rsid w:val="00547182"/>
    <w:rsid w:val="005500C3"/>
    <w:rsid w:val="00551B18"/>
    <w:rsid w:val="00551F67"/>
    <w:rsid w:val="0055293E"/>
    <w:rsid w:val="00554BD4"/>
    <w:rsid w:val="00554E8D"/>
    <w:rsid w:val="00556934"/>
    <w:rsid w:val="00562C67"/>
    <w:rsid w:val="0056410A"/>
    <w:rsid w:val="00564F1F"/>
    <w:rsid w:val="005678D9"/>
    <w:rsid w:val="00570024"/>
    <w:rsid w:val="00570F35"/>
    <w:rsid w:val="00572006"/>
    <w:rsid w:val="00572555"/>
    <w:rsid w:val="00572876"/>
    <w:rsid w:val="0057371F"/>
    <w:rsid w:val="0057433B"/>
    <w:rsid w:val="005753EF"/>
    <w:rsid w:val="00577338"/>
    <w:rsid w:val="005774CD"/>
    <w:rsid w:val="00580784"/>
    <w:rsid w:val="00580DBE"/>
    <w:rsid w:val="00582F57"/>
    <w:rsid w:val="00584F65"/>
    <w:rsid w:val="005906F6"/>
    <w:rsid w:val="00590957"/>
    <w:rsid w:val="00591816"/>
    <w:rsid w:val="00592FFD"/>
    <w:rsid w:val="00593138"/>
    <w:rsid w:val="0059411C"/>
    <w:rsid w:val="00594152"/>
    <w:rsid w:val="00594CBA"/>
    <w:rsid w:val="00594E55"/>
    <w:rsid w:val="00595248"/>
    <w:rsid w:val="00595B3F"/>
    <w:rsid w:val="00595F20"/>
    <w:rsid w:val="005962E0"/>
    <w:rsid w:val="00596960"/>
    <w:rsid w:val="00597689"/>
    <w:rsid w:val="005A00CA"/>
    <w:rsid w:val="005A0F85"/>
    <w:rsid w:val="005A1020"/>
    <w:rsid w:val="005A16CA"/>
    <w:rsid w:val="005A34CD"/>
    <w:rsid w:val="005A54F1"/>
    <w:rsid w:val="005A61E5"/>
    <w:rsid w:val="005A67A4"/>
    <w:rsid w:val="005A7FFA"/>
    <w:rsid w:val="005B01E1"/>
    <w:rsid w:val="005B0D01"/>
    <w:rsid w:val="005B157E"/>
    <w:rsid w:val="005B1599"/>
    <w:rsid w:val="005B24F3"/>
    <w:rsid w:val="005B68C5"/>
    <w:rsid w:val="005B6AC7"/>
    <w:rsid w:val="005B79C4"/>
    <w:rsid w:val="005B7AF4"/>
    <w:rsid w:val="005C003B"/>
    <w:rsid w:val="005C16D5"/>
    <w:rsid w:val="005C1841"/>
    <w:rsid w:val="005C1F6E"/>
    <w:rsid w:val="005C2099"/>
    <w:rsid w:val="005C219F"/>
    <w:rsid w:val="005C2308"/>
    <w:rsid w:val="005C3735"/>
    <w:rsid w:val="005C3F62"/>
    <w:rsid w:val="005C4B20"/>
    <w:rsid w:val="005C533D"/>
    <w:rsid w:val="005C7909"/>
    <w:rsid w:val="005D0FFD"/>
    <w:rsid w:val="005D1599"/>
    <w:rsid w:val="005D28C7"/>
    <w:rsid w:val="005D3482"/>
    <w:rsid w:val="005D45D7"/>
    <w:rsid w:val="005D568B"/>
    <w:rsid w:val="005D6335"/>
    <w:rsid w:val="005D652B"/>
    <w:rsid w:val="005D6E38"/>
    <w:rsid w:val="005D7B28"/>
    <w:rsid w:val="005D7C54"/>
    <w:rsid w:val="005E03A5"/>
    <w:rsid w:val="005E0C2F"/>
    <w:rsid w:val="005E0E87"/>
    <w:rsid w:val="005E281D"/>
    <w:rsid w:val="005E3D32"/>
    <w:rsid w:val="005E4B2F"/>
    <w:rsid w:val="005E6D99"/>
    <w:rsid w:val="005E7670"/>
    <w:rsid w:val="005E7AF6"/>
    <w:rsid w:val="005E7CE3"/>
    <w:rsid w:val="005F33CE"/>
    <w:rsid w:val="005F40AC"/>
    <w:rsid w:val="005F4102"/>
    <w:rsid w:val="005F48B5"/>
    <w:rsid w:val="005F4F6E"/>
    <w:rsid w:val="005F71D0"/>
    <w:rsid w:val="00601216"/>
    <w:rsid w:val="006018CB"/>
    <w:rsid w:val="0060238F"/>
    <w:rsid w:val="006024E9"/>
    <w:rsid w:val="0060319E"/>
    <w:rsid w:val="006054A7"/>
    <w:rsid w:val="00605706"/>
    <w:rsid w:val="0060696C"/>
    <w:rsid w:val="00606D9B"/>
    <w:rsid w:val="00612658"/>
    <w:rsid w:val="006128E7"/>
    <w:rsid w:val="006130F2"/>
    <w:rsid w:val="00613131"/>
    <w:rsid w:val="006144C5"/>
    <w:rsid w:val="00616C21"/>
    <w:rsid w:val="006204CD"/>
    <w:rsid w:val="00620B2D"/>
    <w:rsid w:val="00620E24"/>
    <w:rsid w:val="00623067"/>
    <w:rsid w:val="0062402B"/>
    <w:rsid w:val="006251DE"/>
    <w:rsid w:val="0062581A"/>
    <w:rsid w:val="0063023E"/>
    <w:rsid w:val="00630EED"/>
    <w:rsid w:val="0063439E"/>
    <w:rsid w:val="006354C9"/>
    <w:rsid w:val="006363CB"/>
    <w:rsid w:val="00641594"/>
    <w:rsid w:val="006432D7"/>
    <w:rsid w:val="00643581"/>
    <w:rsid w:val="00644DC8"/>
    <w:rsid w:val="00646D62"/>
    <w:rsid w:val="00647FD6"/>
    <w:rsid w:val="00652BA6"/>
    <w:rsid w:val="00654637"/>
    <w:rsid w:val="00657E92"/>
    <w:rsid w:val="00660227"/>
    <w:rsid w:val="00661325"/>
    <w:rsid w:val="00662BB6"/>
    <w:rsid w:val="00664B71"/>
    <w:rsid w:val="006669F1"/>
    <w:rsid w:val="0066795C"/>
    <w:rsid w:val="00670897"/>
    <w:rsid w:val="00670D1B"/>
    <w:rsid w:val="00671013"/>
    <w:rsid w:val="00674D41"/>
    <w:rsid w:val="0067535D"/>
    <w:rsid w:val="0067546B"/>
    <w:rsid w:val="0067554B"/>
    <w:rsid w:val="006761D3"/>
    <w:rsid w:val="00676B12"/>
    <w:rsid w:val="006770F9"/>
    <w:rsid w:val="00681E71"/>
    <w:rsid w:val="00681F73"/>
    <w:rsid w:val="0068370A"/>
    <w:rsid w:val="006865D9"/>
    <w:rsid w:val="00686681"/>
    <w:rsid w:val="00686893"/>
    <w:rsid w:val="00687375"/>
    <w:rsid w:val="00687F81"/>
    <w:rsid w:val="00691303"/>
    <w:rsid w:val="00693323"/>
    <w:rsid w:val="0069341B"/>
    <w:rsid w:val="00697B25"/>
    <w:rsid w:val="006A0A74"/>
    <w:rsid w:val="006A1E0A"/>
    <w:rsid w:val="006A2A15"/>
    <w:rsid w:val="006A35E8"/>
    <w:rsid w:val="006A4131"/>
    <w:rsid w:val="006A4684"/>
    <w:rsid w:val="006A51B7"/>
    <w:rsid w:val="006A7B0B"/>
    <w:rsid w:val="006B088F"/>
    <w:rsid w:val="006B0BDB"/>
    <w:rsid w:val="006B1370"/>
    <w:rsid w:val="006B43ED"/>
    <w:rsid w:val="006B4B71"/>
    <w:rsid w:val="006B4EEC"/>
    <w:rsid w:val="006B5B6A"/>
    <w:rsid w:val="006B604A"/>
    <w:rsid w:val="006B688D"/>
    <w:rsid w:val="006C0272"/>
    <w:rsid w:val="006C19E1"/>
    <w:rsid w:val="006C23D5"/>
    <w:rsid w:val="006C2CCE"/>
    <w:rsid w:val="006C324C"/>
    <w:rsid w:val="006C41ED"/>
    <w:rsid w:val="006C5308"/>
    <w:rsid w:val="006C570E"/>
    <w:rsid w:val="006C764F"/>
    <w:rsid w:val="006D395E"/>
    <w:rsid w:val="006D6811"/>
    <w:rsid w:val="006D7766"/>
    <w:rsid w:val="006E13AD"/>
    <w:rsid w:val="006E1D1B"/>
    <w:rsid w:val="006E30A3"/>
    <w:rsid w:val="006E3AB4"/>
    <w:rsid w:val="006E4AAA"/>
    <w:rsid w:val="006E599D"/>
    <w:rsid w:val="006E5D9B"/>
    <w:rsid w:val="006E6F61"/>
    <w:rsid w:val="006F2662"/>
    <w:rsid w:val="006F4C65"/>
    <w:rsid w:val="006F50D4"/>
    <w:rsid w:val="006F62DD"/>
    <w:rsid w:val="006F6D9A"/>
    <w:rsid w:val="007010CD"/>
    <w:rsid w:val="0070129C"/>
    <w:rsid w:val="007014E9"/>
    <w:rsid w:val="00702B33"/>
    <w:rsid w:val="00702E6A"/>
    <w:rsid w:val="00705DF5"/>
    <w:rsid w:val="00706879"/>
    <w:rsid w:val="0071030A"/>
    <w:rsid w:val="00711238"/>
    <w:rsid w:val="007150DB"/>
    <w:rsid w:val="00715683"/>
    <w:rsid w:val="007157F7"/>
    <w:rsid w:val="0071664F"/>
    <w:rsid w:val="007168F3"/>
    <w:rsid w:val="00721A24"/>
    <w:rsid w:val="00721DD4"/>
    <w:rsid w:val="007230EA"/>
    <w:rsid w:val="0072735D"/>
    <w:rsid w:val="007278E1"/>
    <w:rsid w:val="00732D40"/>
    <w:rsid w:val="0073429A"/>
    <w:rsid w:val="007347A1"/>
    <w:rsid w:val="007355C0"/>
    <w:rsid w:val="007409D6"/>
    <w:rsid w:val="0074244A"/>
    <w:rsid w:val="00743E34"/>
    <w:rsid w:val="0074408F"/>
    <w:rsid w:val="00744BC1"/>
    <w:rsid w:val="00745ADF"/>
    <w:rsid w:val="0074672D"/>
    <w:rsid w:val="00747A92"/>
    <w:rsid w:val="00750657"/>
    <w:rsid w:val="00754B9F"/>
    <w:rsid w:val="00757468"/>
    <w:rsid w:val="00757B46"/>
    <w:rsid w:val="007600BE"/>
    <w:rsid w:val="00761512"/>
    <w:rsid w:val="00762C9F"/>
    <w:rsid w:val="00763622"/>
    <w:rsid w:val="00765114"/>
    <w:rsid w:val="00766647"/>
    <w:rsid w:val="007701AC"/>
    <w:rsid w:val="00770623"/>
    <w:rsid w:val="00770881"/>
    <w:rsid w:val="00772617"/>
    <w:rsid w:val="007726AA"/>
    <w:rsid w:val="007737B1"/>
    <w:rsid w:val="0077397B"/>
    <w:rsid w:val="007739E5"/>
    <w:rsid w:val="00773E5F"/>
    <w:rsid w:val="00775F70"/>
    <w:rsid w:val="00776235"/>
    <w:rsid w:val="00776F78"/>
    <w:rsid w:val="00777D20"/>
    <w:rsid w:val="007809A9"/>
    <w:rsid w:val="00780E15"/>
    <w:rsid w:val="0078138F"/>
    <w:rsid w:val="00781949"/>
    <w:rsid w:val="00782134"/>
    <w:rsid w:val="0078275D"/>
    <w:rsid w:val="00783316"/>
    <w:rsid w:val="0078663C"/>
    <w:rsid w:val="007869E5"/>
    <w:rsid w:val="00787661"/>
    <w:rsid w:val="00787FF9"/>
    <w:rsid w:val="0079144B"/>
    <w:rsid w:val="0079156D"/>
    <w:rsid w:val="00793ABB"/>
    <w:rsid w:val="007958FD"/>
    <w:rsid w:val="00795F09"/>
    <w:rsid w:val="00796E6F"/>
    <w:rsid w:val="00797EA8"/>
    <w:rsid w:val="007A0C57"/>
    <w:rsid w:val="007A0F94"/>
    <w:rsid w:val="007A27E1"/>
    <w:rsid w:val="007A2D86"/>
    <w:rsid w:val="007A395A"/>
    <w:rsid w:val="007A7572"/>
    <w:rsid w:val="007B0D18"/>
    <w:rsid w:val="007B275F"/>
    <w:rsid w:val="007B414A"/>
    <w:rsid w:val="007B4944"/>
    <w:rsid w:val="007B527B"/>
    <w:rsid w:val="007B5400"/>
    <w:rsid w:val="007B6FFB"/>
    <w:rsid w:val="007B72DF"/>
    <w:rsid w:val="007C197B"/>
    <w:rsid w:val="007C3B7F"/>
    <w:rsid w:val="007C438F"/>
    <w:rsid w:val="007C4C91"/>
    <w:rsid w:val="007C665D"/>
    <w:rsid w:val="007D0644"/>
    <w:rsid w:val="007D083F"/>
    <w:rsid w:val="007D1F22"/>
    <w:rsid w:val="007D2AE3"/>
    <w:rsid w:val="007D332E"/>
    <w:rsid w:val="007D407F"/>
    <w:rsid w:val="007D4BF5"/>
    <w:rsid w:val="007D78E6"/>
    <w:rsid w:val="007D7DD6"/>
    <w:rsid w:val="007E16C8"/>
    <w:rsid w:val="007E1ACE"/>
    <w:rsid w:val="007E3CD4"/>
    <w:rsid w:val="007E56D6"/>
    <w:rsid w:val="007E6365"/>
    <w:rsid w:val="007E66F7"/>
    <w:rsid w:val="007E67AB"/>
    <w:rsid w:val="007F007F"/>
    <w:rsid w:val="007F04AF"/>
    <w:rsid w:val="007F04DC"/>
    <w:rsid w:val="007F0AB8"/>
    <w:rsid w:val="007F1399"/>
    <w:rsid w:val="007F2373"/>
    <w:rsid w:val="007F2724"/>
    <w:rsid w:val="007F2E3C"/>
    <w:rsid w:val="007F3320"/>
    <w:rsid w:val="007F3A3E"/>
    <w:rsid w:val="007F4C9F"/>
    <w:rsid w:val="007F54D5"/>
    <w:rsid w:val="007F6832"/>
    <w:rsid w:val="007F7F16"/>
    <w:rsid w:val="008028CA"/>
    <w:rsid w:val="00804974"/>
    <w:rsid w:val="00804FAB"/>
    <w:rsid w:val="00805751"/>
    <w:rsid w:val="00805CD6"/>
    <w:rsid w:val="008070EB"/>
    <w:rsid w:val="00807704"/>
    <w:rsid w:val="00807958"/>
    <w:rsid w:val="008119D7"/>
    <w:rsid w:val="00812619"/>
    <w:rsid w:val="00812CE6"/>
    <w:rsid w:val="008132D5"/>
    <w:rsid w:val="00815D74"/>
    <w:rsid w:val="00815D9A"/>
    <w:rsid w:val="00817CE3"/>
    <w:rsid w:val="00822915"/>
    <w:rsid w:val="00825C42"/>
    <w:rsid w:val="0082766F"/>
    <w:rsid w:val="00830100"/>
    <w:rsid w:val="008306E3"/>
    <w:rsid w:val="008317C0"/>
    <w:rsid w:val="00832D4C"/>
    <w:rsid w:val="00832EE6"/>
    <w:rsid w:val="008336EE"/>
    <w:rsid w:val="00833931"/>
    <w:rsid w:val="00833E82"/>
    <w:rsid w:val="008351F0"/>
    <w:rsid w:val="00837B15"/>
    <w:rsid w:val="008402C9"/>
    <w:rsid w:val="00841DCC"/>
    <w:rsid w:val="00842C01"/>
    <w:rsid w:val="00842E27"/>
    <w:rsid w:val="00843949"/>
    <w:rsid w:val="00843FCA"/>
    <w:rsid w:val="00844F05"/>
    <w:rsid w:val="00845057"/>
    <w:rsid w:val="00845BEF"/>
    <w:rsid w:val="008465C0"/>
    <w:rsid w:val="00850411"/>
    <w:rsid w:val="00851A86"/>
    <w:rsid w:val="00852400"/>
    <w:rsid w:val="00852C71"/>
    <w:rsid w:val="00852E12"/>
    <w:rsid w:val="008531C6"/>
    <w:rsid w:val="00853E1E"/>
    <w:rsid w:val="00854077"/>
    <w:rsid w:val="00855E6A"/>
    <w:rsid w:val="00856720"/>
    <w:rsid w:val="00856A76"/>
    <w:rsid w:val="008606A1"/>
    <w:rsid w:val="008611D9"/>
    <w:rsid w:val="008623AF"/>
    <w:rsid w:val="008634FE"/>
    <w:rsid w:val="00864137"/>
    <w:rsid w:val="008650A8"/>
    <w:rsid w:val="0086699D"/>
    <w:rsid w:val="00866F8B"/>
    <w:rsid w:val="00867FBF"/>
    <w:rsid w:val="00870236"/>
    <w:rsid w:val="00870548"/>
    <w:rsid w:val="00871500"/>
    <w:rsid w:val="0087288E"/>
    <w:rsid w:val="00873219"/>
    <w:rsid w:val="0087737E"/>
    <w:rsid w:val="008773E7"/>
    <w:rsid w:val="0088218A"/>
    <w:rsid w:val="00883D14"/>
    <w:rsid w:val="008840C6"/>
    <w:rsid w:val="008841E9"/>
    <w:rsid w:val="00884592"/>
    <w:rsid w:val="00885470"/>
    <w:rsid w:val="00886DD3"/>
    <w:rsid w:val="00887684"/>
    <w:rsid w:val="00890273"/>
    <w:rsid w:val="00892223"/>
    <w:rsid w:val="00897F56"/>
    <w:rsid w:val="008A2178"/>
    <w:rsid w:val="008A22DD"/>
    <w:rsid w:val="008A2B00"/>
    <w:rsid w:val="008A2F3A"/>
    <w:rsid w:val="008A3406"/>
    <w:rsid w:val="008A3956"/>
    <w:rsid w:val="008A6F34"/>
    <w:rsid w:val="008B21DB"/>
    <w:rsid w:val="008B3762"/>
    <w:rsid w:val="008B3EBD"/>
    <w:rsid w:val="008B47AC"/>
    <w:rsid w:val="008B51CE"/>
    <w:rsid w:val="008B5C4A"/>
    <w:rsid w:val="008B6A95"/>
    <w:rsid w:val="008C03BA"/>
    <w:rsid w:val="008C0630"/>
    <w:rsid w:val="008C1416"/>
    <w:rsid w:val="008C16C2"/>
    <w:rsid w:val="008C1A07"/>
    <w:rsid w:val="008C20F0"/>
    <w:rsid w:val="008C36A4"/>
    <w:rsid w:val="008C411B"/>
    <w:rsid w:val="008C51AF"/>
    <w:rsid w:val="008C5B71"/>
    <w:rsid w:val="008C7765"/>
    <w:rsid w:val="008C7B04"/>
    <w:rsid w:val="008D0D31"/>
    <w:rsid w:val="008D290B"/>
    <w:rsid w:val="008D3C08"/>
    <w:rsid w:val="008D4758"/>
    <w:rsid w:val="008D5D08"/>
    <w:rsid w:val="008D6B21"/>
    <w:rsid w:val="008D7146"/>
    <w:rsid w:val="008E101D"/>
    <w:rsid w:val="008E10AB"/>
    <w:rsid w:val="008E146F"/>
    <w:rsid w:val="008E1B79"/>
    <w:rsid w:val="008E1C73"/>
    <w:rsid w:val="008E1F57"/>
    <w:rsid w:val="008E3D8C"/>
    <w:rsid w:val="008E63AC"/>
    <w:rsid w:val="008E68CC"/>
    <w:rsid w:val="008E7E66"/>
    <w:rsid w:val="008F019B"/>
    <w:rsid w:val="008F08A6"/>
    <w:rsid w:val="008F109F"/>
    <w:rsid w:val="008F7B8F"/>
    <w:rsid w:val="008F7C11"/>
    <w:rsid w:val="00900C1B"/>
    <w:rsid w:val="00902656"/>
    <w:rsid w:val="00903434"/>
    <w:rsid w:val="0090354E"/>
    <w:rsid w:val="0090375F"/>
    <w:rsid w:val="00904CEC"/>
    <w:rsid w:val="0090579D"/>
    <w:rsid w:val="00907F20"/>
    <w:rsid w:val="009104DD"/>
    <w:rsid w:val="0091180A"/>
    <w:rsid w:val="00912705"/>
    <w:rsid w:val="009128F0"/>
    <w:rsid w:val="00913DF7"/>
    <w:rsid w:val="00915871"/>
    <w:rsid w:val="00917B30"/>
    <w:rsid w:val="009202C2"/>
    <w:rsid w:val="00927A86"/>
    <w:rsid w:val="00927B7D"/>
    <w:rsid w:val="00933AC4"/>
    <w:rsid w:val="00934B41"/>
    <w:rsid w:val="00934E50"/>
    <w:rsid w:val="00935E9D"/>
    <w:rsid w:val="0093636E"/>
    <w:rsid w:val="009372B9"/>
    <w:rsid w:val="00937AF0"/>
    <w:rsid w:val="00941617"/>
    <w:rsid w:val="00941DB7"/>
    <w:rsid w:val="00942319"/>
    <w:rsid w:val="00942AEC"/>
    <w:rsid w:val="0094309F"/>
    <w:rsid w:val="00946978"/>
    <w:rsid w:val="00946DA9"/>
    <w:rsid w:val="00947791"/>
    <w:rsid w:val="0095025A"/>
    <w:rsid w:val="00951337"/>
    <w:rsid w:val="00952B1B"/>
    <w:rsid w:val="00953444"/>
    <w:rsid w:val="009565A6"/>
    <w:rsid w:val="009605CC"/>
    <w:rsid w:val="0096531A"/>
    <w:rsid w:val="0096552A"/>
    <w:rsid w:val="00966E95"/>
    <w:rsid w:val="00971F9C"/>
    <w:rsid w:val="00972987"/>
    <w:rsid w:val="00973267"/>
    <w:rsid w:val="00974B4E"/>
    <w:rsid w:val="00975BF1"/>
    <w:rsid w:val="009766CD"/>
    <w:rsid w:val="00977005"/>
    <w:rsid w:val="00977F76"/>
    <w:rsid w:val="00981769"/>
    <w:rsid w:val="009833BB"/>
    <w:rsid w:val="00985CD9"/>
    <w:rsid w:val="00985E21"/>
    <w:rsid w:val="00986582"/>
    <w:rsid w:val="009865E6"/>
    <w:rsid w:val="0099157F"/>
    <w:rsid w:val="009920DE"/>
    <w:rsid w:val="0099370E"/>
    <w:rsid w:val="00993D6A"/>
    <w:rsid w:val="0099404D"/>
    <w:rsid w:val="00994C55"/>
    <w:rsid w:val="00995B05"/>
    <w:rsid w:val="00996B08"/>
    <w:rsid w:val="009970FC"/>
    <w:rsid w:val="009A0515"/>
    <w:rsid w:val="009A254B"/>
    <w:rsid w:val="009A278D"/>
    <w:rsid w:val="009A31D3"/>
    <w:rsid w:val="009A3A77"/>
    <w:rsid w:val="009A3F86"/>
    <w:rsid w:val="009A40C8"/>
    <w:rsid w:val="009A422A"/>
    <w:rsid w:val="009A5543"/>
    <w:rsid w:val="009A66A0"/>
    <w:rsid w:val="009B0C4D"/>
    <w:rsid w:val="009B1293"/>
    <w:rsid w:val="009B1484"/>
    <w:rsid w:val="009B1521"/>
    <w:rsid w:val="009B1677"/>
    <w:rsid w:val="009C0D3A"/>
    <w:rsid w:val="009C1668"/>
    <w:rsid w:val="009C1E6A"/>
    <w:rsid w:val="009C30E5"/>
    <w:rsid w:val="009C3D6B"/>
    <w:rsid w:val="009C61CE"/>
    <w:rsid w:val="009C7825"/>
    <w:rsid w:val="009C7B92"/>
    <w:rsid w:val="009D05D7"/>
    <w:rsid w:val="009D073B"/>
    <w:rsid w:val="009D08C6"/>
    <w:rsid w:val="009D0FF9"/>
    <w:rsid w:val="009D1FF5"/>
    <w:rsid w:val="009D67F9"/>
    <w:rsid w:val="009D7097"/>
    <w:rsid w:val="009E381A"/>
    <w:rsid w:val="009E3A81"/>
    <w:rsid w:val="009E3C4A"/>
    <w:rsid w:val="009E422B"/>
    <w:rsid w:val="009E6BA0"/>
    <w:rsid w:val="009E6C84"/>
    <w:rsid w:val="009E7218"/>
    <w:rsid w:val="009E7519"/>
    <w:rsid w:val="009E7C1C"/>
    <w:rsid w:val="009F05DB"/>
    <w:rsid w:val="009F0659"/>
    <w:rsid w:val="009F144D"/>
    <w:rsid w:val="009F22C9"/>
    <w:rsid w:val="009F2863"/>
    <w:rsid w:val="009F29D5"/>
    <w:rsid w:val="009F2E7A"/>
    <w:rsid w:val="009F2F54"/>
    <w:rsid w:val="009F365A"/>
    <w:rsid w:val="009F3B12"/>
    <w:rsid w:val="009F4709"/>
    <w:rsid w:val="009F6FFF"/>
    <w:rsid w:val="009F779C"/>
    <w:rsid w:val="009F7D6A"/>
    <w:rsid w:val="00A01FCF"/>
    <w:rsid w:val="00A02C89"/>
    <w:rsid w:val="00A061D2"/>
    <w:rsid w:val="00A06B92"/>
    <w:rsid w:val="00A06ECC"/>
    <w:rsid w:val="00A07ADA"/>
    <w:rsid w:val="00A11B78"/>
    <w:rsid w:val="00A120E1"/>
    <w:rsid w:val="00A1249B"/>
    <w:rsid w:val="00A124DC"/>
    <w:rsid w:val="00A13380"/>
    <w:rsid w:val="00A1524A"/>
    <w:rsid w:val="00A158EB"/>
    <w:rsid w:val="00A17577"/>
    <w:rsid w:val="00A17DA4"/>
    <w:rsid w:val="00A210BA"/>
    <w:rsid w:val="00A21679"/>
    <w:rsid w:val="00A25FE1"/>
    <w:rsid w:val="00A2702B"/>
    <w:rsid w:val="00A32C6F"/>
    <w:rsid w:val="00A32F2D"/>
    <w:rsid w:val="00A33E35"/>
    <w:rsid w:val="00A34CFE"/>
    <w:rsid w:val="00A35023"/>
    <w:rsid w:val="00A36BC1"/>
    <w:rsid w:val="00A36F48"/>
    <w:rsid w:val="00A40A9A"/>
    <w:rsid w:val="00A416CC"/>
    <w:rsid w:val="00A419A4"/>
    <w:rsid w:val="00A41F1B"/>
    <w:rsid w:val="00A420BF"/>
    <w:rsid w:val="00A43649"/>
    <w:rsid w:val="00A43728"/>
    <w:rsid w:val="00A45323"/>
    <w:rsid w:val="00A456DB"/>
    <w:rsid w:val="00A45A62"/>
    <w:rsid w:val="00A47294"/>
    <w:rsid w:val="00A50D3B"/>
    <w:rsid w:val="00A53D26"/>
    <w:rsid w:val="00A53FB6"/>
    <w:rsid w:val="00A5423C"/>
    <w:rsid w:val="00A54DAB"/>
    <w:rsid w:val="00A56821"/>
    <w:rsid w:val="00A56AC7"/>
    <w:rsid w:val="00A56C93"/>
    <w:rsid w:val="00A6212D"/>
    <w:rsid w:val="00A64BE2"/>
    <w:rsid w:val="00A64D0A"/>
    <w:rsid w:val="00A66EAE"/>
    <w:rsid w:val="00A725FA"/>
    <w:rsid w:val="00A754DD"/>
    <w:rsid w:val="00A81F50"/>
    <w:rsid w:val="00A83D45"/>
    <w:rsid w:val="00A84FA7"/>
    <w:rsid w:val="00A85BDB"/>
    <w:rsid w:val="00A87D97"/>
    <w:rsid w:val="00A90364"/>
    <w:rsid w:val="00A9058C"/>
    <w:rsid w:val="00A90E87"/>
    <w:rsid w:val="00A92254"/>
    <w:rsid w:val="00A926B5"/>
    <w:rsid w:val="00A929EA"/>
    <w:rsid w:val="00A9580F"/>
    <w:rsid w:val="00A96F25"/>
    <w:rsid w:val="00A97698"/>
    <w:rsid w:val="00A97CAE"/>
    <w:rsid w:val="00A97D00"/>
    <w:rsid w:val="00AA0A8C"/>
    <w:rsid w:val="00AA0CCF"/>
    <w:rsid w:val="00AA1235"/>
    <w:rsid w:val="00AA23ED"/>
    <w:rsid w:val="00AA2666"/>
    <w:rsid w:val="00AA2D05"/>
    <w:rsid w:val="00AA3D4B"/>
    <w:rsid w:val="00AA3FDD"/>
    <w:rsid w:val="00AA50CA"/>
    <w:rsid w:val="00AA67FC"/>
    <w:rsid w:val="00AB1BA6"/>
    <w:rsid w:val="00AB338D"/>
    <w:rsid w:val="00AB37A9"/>
    <w:rsid w:val="00AB3F41"/>
    <w:rsid w:val="00AB56B5"/>
    <w:rsid w:val="00AB63BC"/>
    <w:rsid w:val="00AC088B"/>
    <w:rsid w:val="00AC0F51"/>
    <w:rsid w:val="00AC2202"/>
    <w:rsid w:val="00AC23E4"/>
    <w:rsid w:val="00AC2ACA"/>
    <w:rsid w:val="00AC30FE"/>
    <w:rsid w:val="00AC4FBD"/>
    <w:rsid w:val="00AC7833"/>
    <w:rsid w:val="00AD07B2"/>
    <w:rsid w:val="00AD0FB6"/>
    <w:rsid w:val="00AD190F"/>
    <w:rsid w:val="00AD336C"/>
    <w:rsid w:val="00AD5D4D"/>
    <w:rsid w:val="00AE1F29"/>
    <w:rsid w:val="00AE201E"/>
    <w:rsid w:val="00AE3497"/>
    <w:rsid w:val="00AE3C22"/>
    <w:rsid w:val="00AE556A"/>
    <w:rsid w:val="00AE5EE6"/>
    <w:rsid w:val="00AE67AE"/>
    <w:rsid w:val="00AE78A3"/>
    <w:rsid w:val="00AF125B"/>
    <w:rsid w:val="00AF2300"/>
    <w:rsid w:val="00AF2374"/>
    <w:rsid w:val="00AF24F3"/>
    <w:rsid w:val="00AF3759"/>
    <w:rsid w:val="00AF3916"/>
    <w:rsid w:val="00AF42E5"/>
    <w:rsid w:val="00AF5270"/>
    <w:rsid w:val="00AF58CE"/>
    <w:rsid w:val="00B0190E"/>
    <w:rsid w:val="00B0272B"/>
    <w:rsid w:val="00B05197"/>
    <w:rsid w:val="00B10DD9"/>
    <w:rsid w:val="00B11F11"/>
    <w:rsid w:val="00B130A8"/>
    <w:rsid w:val="00B130C0"/>
    <w:rsid w:val="00B133B8"/>
    <w:rsid w:val="00B13896"/>
    <w:rsid w:val="00B14E80"/>
    <w:rsid w:val="00B15664"/>
    <w:rsid w:val="00B17B4D"/>
    <w:rsid w:val="00B17CE0"/>
    <w:rsid w:val="00B17EFC"/>
    <w:rsid w:val="00B22BC0"/>
    <w:rsid w:val="00B23F55"/>
    <w:rsid w:val="00B24300"/>
    <w:rsid w:val="00B24E1F"/>
    <w:rsid w:val="00B257FB"/>
    <w:rsid w:val="00B26371"/>
    <w:rsid w:val="00B26B29"/>
    <w:rsid w:val="00B27D67"/>
    <w:rsid w:val="00B30F58"/>
    <w:rsid w:val="00B3218E"/>
    <w:rsid w:val="00B32C37"/>
    <w:rsid w:val="00B34646"/>
    <w:rsid w:val="00B347DE"/>
    <w:rsid w:val="00B34BEB"/>
    <w:rsid w:val="00B35B34"/>
    <w:rsid w:val="00B37E51"/>
    <w:rsid w:val="00B40102"/>
    <w:rsid w:val="00B412B4"/>
    <w:rsid w:val="00B447E0"/>
    <w:rsid w:val="00B45419"/>
    <w:rsid w:val="00B46697"/>
    <w:rsid w:val="00B476CA"/>
    <w:rsid w:val="00B502D1"/>
    <w:rsid w:val="00B507FA"/>
    <w:rsid w:val="00B50BC8"/>
    <w:rsid w:val="00B51010"/>
    <w:rsid w:val="00B528AB"/>
    <w:rsid w:val="00B52E25"/>
    <w:rsid w:val="00B5312B"/>
    <w:rsid w:val="00B54492"/>
    <w:rsid w:val="00B54974"/>
    <w:rsid w:val="00B56FB1"/>
    <w:rsid w:val="00B570F4"/>
    <w:rsid w:val="00B57155"/>
    <w:rsid w:val="00B57A72"/>
    <w:rsid w:val="00B57BAA"/>
    <w:rsid w:val="00B6065D"/>
    <w:rsid w:val="00B60811"/>
    <w:rsid w:val="00B6106E"/>
    <w:rsid w:val="00B62C64"/>
    <w:rsid w:val="00B658AC"/>
    <w:rsid w:val="00B67CD6"/>
    <w:rsid w:val="00B7070D"/>
    <w:rsid w:val="00B7094B"/>
    <w:rsid w:val="00B70F23"/>
    <w:rsid w:val="00B71F8B"/>
    <w:rsid w:val="00B75914"/>
    <w:rsid w:val="00B75B39"/>
    <w:rsid w:val="00B7654D"/>
    <w:rsid w:val="00B7682A"/>
    <w:rsid w:val="00B774EC"/>
    <w:rsid w:val="00B77920"/>
    <w:rsid w:val="00B80128"/>
    <w:rsid w:val="00B8230D"/>
    <w:rsid w:val="00B82575"/>
    <w:rsid w:val="00B8281C"/>
    <w:rsid w:val="00B83B0E"/>
    <w:rsid w:val="00B83BD1"/>
    <w:rsid w:val="00B84E33"/>
    <w:rsid w:val="00B85535"/>
    <w:rsid w:val="00B85FBE"/>
    <w:rsid w:val="00B860F7"/>
    <w:rsid w:val="00B86333"/>
    <w:rsid w:val="00B86A0D"/>
    <w:rsid w:val="00B874B0"/>
    <w:rsid w:val="00B9044C"/>
    <w:rsid w:val="00B918AD"/>
    <w:rsid w:val="00B9282D"/>
    <w:rsid w:val="00B94502"/>
    <w:rsid w:val="00B9458B"/>
    <w:rsid w:val="00B94649"/>
    <w:rsid w:val="00B947D1"/>
    <w:rsid w:val="00B96464"/>
    <w:rsid w:val="00BA16C0"/>
    <w:rsid w:val="00BA24FA"/>
    <w:rsid w:val="00BA3BED"/>
    <w:rsid w:val="00BA555E"/>
    <w:rsid w:val="00BA6988"/>
    <w:rsid w:val="00BA7860"/>
    <w:rsid w:val="00BA78FC"/>
    <w:rsid w:val="00BA7A85"/>
    <w:rsid w:val="00BA7B1C"/>
    <w:rsid w:val="00BB06C4"/>
    <w:rsid w:val="00BB12D6"/>
    <w:rsid w:val="00BB2070"/>
    <w:rsid w:val="00BB477C"/>
    <w:rsid w:val="00BB5490"/>
    <w:rsid w:val="00BB556C"/>
    <w:rsid w:val="00BB7793"/>
    <w:rsid w:val="00BB7B1D"/>
    <w:rsid w:val="00BC240B"/>
    <w:rsid w:val="00BC26EC"/>
    <w:rsid w:val="00BC5515"/>
    <w:rsid w:val="00BC5B97"/>
    <w:rsid w:val="00BD0052"/>
    <w:rsid w:val="00BD10CA"/>
    <w:rsid w:val="00BD2061"/>
    <w:rsid w:val="00BD394B"/>
    <w:rsid w:val="00BE1CE2"/>
    <w:rsid w:val="00BE2801"/>
    <w:rsid w:val="00BE3489"/>
    <w:rsid w:val="00BE3635"/>
    <w:rsid w:val="00BE446F"/>
    <w:rsid w:val="00BE5635"/>
    <w:rsid w:val="00BE5993"/>
    <w:rsid w:val="00BE7CC6"/>
    <w:rsid w:val="00BE7E6B"/>
    <w:rsid w:val="00BF0408"/>
    <w:rsid w:val="00BF07FD"/>
    <w:rsid w:val="00BF0ED6"/>
    <w:rsid w:val="00BF1E99"/>
    <w:rsid w:val="00BF5478"/>
    <w:rsid w:val="00BF7307"/>
    <w:rsid w:val="00BF78A1"/>
    <w:rsid w:val="00C02512"/>
    <w:rsid w:val="00C025A2"/>
    <w:rsid w:val="00C06913"/>
    <w:rsid w:val="00C06DCB"/>
    <w:rsid w:val="00C07D90"/>
    <w:rsid w:val="00C10CB5"/>
    <w:rsid w:val="00C10F8A"/>
    <w:rsid w:val="00C1204B"/>
    <w:rsid w:val="00C1239D"/>
    <w:rsid w:val="00C12954"/>
    <w:rsid w:val="00C13022"/>
    <w:rsid w:val="00C1338A"/>
    <w:rsid w:val="00C14756"/>
    <w:rsid w:val="00C14B0B"/>
    <w:rsid w:val="00C15490"/>
    <w:rsid w:val="00C16E86"/>
    <w:rsid w:val="00C2203F"/>
    <w:rsid w:val="00C2239D"/>
    <w:rsid w:val="00C22651"/>
    <w:rsid w:val="00C22766"/>
    <w:rsid w:val="00C22E2A"/>
    <w:rsid w:val="00C25094"/>
    <w:rsid w:val="00C25343"/>
    <w:rsid w:val="00C2535A"/>
    <w:rsid w:val="00C26105"/>
    <w:rsid w:val="00C26C80"/>
    <w:rsid w:val="00C32479"/>
    <w:rsid w:val="00C326DA"/>
    <w:rsid w:val="00C32E88"/>
    <w:rsid w:val="00C34906"/>
    <w:rsid w:val="00C349EE"/>
    <w:rsid w:val="00C34D49"/>
    <w:rsid w:val="00C353CE"/>
    <w:rsid w:val="00C362A8"/>
    <w:rsid w:val="00C36FB8"/>
    <w:rsid w:val="00C3798A"/>
    <w:rsid w:val="00C4053B"/>
    <w:rsid w:val="00C40C8A"/>
    <w:rsid w:val="00C51952"/>
    <w:rsid w:val="00C519AC"/>
    <w:rsid w:val="00C51C45"/>
    <w:rsid w:val="00C53913"/>
    <w:rsid w:val="00C53964"/>
    <w:rsid w:val="00C575C2"/>
    <w:rsid w:val="00C60414"/>
    <w:rsid w:val="00C6049D"/>
    <w:rsid w:val="00C62605"/>
    <w:rsid w:val="00C643A8"/>
    <w:rsid w:val="00C67470"/>
    <w:rsid w:val="00C67A0C"/>
    <w:rsid w:val="00C67FDA"/>
    <w:rsid w:val="00C7044F"/>
    <w:rsid w:val="00C70E9E"/>
    <w:rsid w:val="00C728BA"/>
    <w:rsid w:val="00C74B42"/>
    <w:rsid w:val="00C771D0"/>
    <w:rsid w:val="00C77850"/>
    <w:rsid w:val="00C77D46"/>
    <w:rsid w:val="00C90334"/>
    <w:rsid w:val="00C91AD2"/>
    <w:rsid w:val="00C94201"/>
    <w:rsid w:val="00C94474"/>
    <w:rsid w:val="00C9516C"/>
    <w:rsid w:val="00C9567C"/>
    <w:rsid w:val="00C95A2E"/>
    <w:rsid w:val="00C95E1B"/>
    <w:rsid w:val="00CA7714"/>
    <w:rsid w:val="00CB0063"/>
    <w:rsid w:val="00CB201B"/>
    <w:rsid w:val="00CB317F"/>
    <w:rsid w:val="00CB38E8"/>
    <w:rsid w:val="00CB3FB2"/>
    <w:rsid w:val="00CB4255"/>
    <w:rsid w:val="00CB51C2"/>
    <w:rsid w:val="00CB523B"/>
    <w:rsid w:val="00CB53F5"/>
    <w:rsid w:val="00CB6E7D"/>
    <w:rsid w:val="00CB735B"/>
    <w:rsid w:val="00CB7919"/>
    <w:rsid w:val="00CB7EED"/>
    <w:rsid w:val="00CC1A46"/>
    <w:rsid w:val="00CC23CD"/>
    <w:rsid w:val="00CC2997"/>
    <w:rsid w:val="00CC3F33"/>
    <w:rsid w:val="00CC455E"/>
    <w:rsid w:val="00CC4F06"/>
    <w:rsid w:val="00CC5D52"/>
    <w:rsid w:val="00CD2051"/>
    <w:rsid w:val="00CD31D3"/>
    <w:rsid w:val="00CD4841"/>
    <w:rsid w:val="00CD4C73"/>
    <w:rsid w:val="00CD6E32"/>
    <w:rsid w:val="00CE0517"/>
    <w:rsid w:val="00CE0D55"/>
    <w:rsid w:val="00CE20E3"/>
    <w:rsid w:val="00CE28AB"/>
    <w:rsid w:val="00CE29D7"/>
    <w:rsid w:val="00CE45B6"/>
    <w:rsid w:val="00CF05EF"/>
    <w:rsid w:val="00CF5B86"/>
    <w:rsid w:val="00CF681C"/>
    <w:rsid w:val="00CF7ABC"/>
    <w:rsid w:val="00CF7E32"/>
    <w:rsid w:val="00D00131"/>
    <w:rsid w:val="00D0189B"/>
    <w:rsid w:val="00D019A1"/>
    <w:rsid w:val="00D02937"/>
    <w:rsid w:val="00D03494"/>
    <w:rsid w:val="00D06594"/>
    <w:rsid w:val="00D129A4"/>
    <w:rsid w:val="00D129CF"/>
    <w:rsid w:val="00D12DD5"/>
    <w:rsid w:val="00D1327B"/>
    <w:rsid w:val="00D20BDB"/>
    <w:rsid w:val="00D20DF1"/>
    <w:rsid w:val="00D22D0D"/>
    <w:rsid w:val="00D22FF4"/>
    <w:rsid w:val="00D23D90"/>
    <w:rsid w:val="00D253CC"/>
    <w:rsid w:val="00D26CD6"/>
    <w:rsid w:val="00D30587"/>
    <w:rsid w:val="00D31F3A"/>
    <w:rsid w:val="00D344B9"/>
    <w:rsid w:val="00D35466"/>
    <w:rsid w:val="00D371D5"/>
    <w:rsid w:val="00D37CB7"/>
    <w:rsid w:val="00D42D75"/>
    <w:rsid w:val="00D46313"/>
    <w:rsid w:val="00D50000"/>
    <w:rsid w:val="00D51B9B"/>
    <w:rsid w:val="00D54390"/>
    <w:rsid w:val="00D54EAC"/>
    <w:rsid w:val="00D574E5"/>
    <w:rsid w:val="00D6041A"/>
    <w:rsid w:val="00D60CC9"/>
    <w:rsid w:val="00D60DFB"/>
    <w:rsid w:val="00D61256"/>
    <w:rsid w:val="00D64F50"/>
    <w:rsid w:val="00D655D2"/>
    <w:rsid w:val="00D65E96"/>
    <w:rsid w:val="00D66360"/>
    <w:rsid w:val="00D66F97"/>
    <w:rsid w:val="00D71614"/>
    <w:rsid w:val="00D74EBF"/>
    <w:rsid w:val="00D74F1D"/>
    <w:rsid w:val="00D759F1"/>
    <w:rsid w:val="00D778A4"/>
    <w:rsid w:val="00D81073"/>
    <w:rsid w:val="00D8389A"/>
    <w:rsid w:val="00D84D81"/>
    <w:rsid w:val="00D86CC2"/>
    <w:rsid w:val="00D878AC"/>
    <w:rsid w:val="00D878B1"/>
    <w:rsid w:val="00D932B4"/>
    <w:rsid w:val="00D9399A"/>
    <w:rsid w:val="00D942D3"/>
    <w:rsid w:val="00D95D1B"/>
    <w:rsid w:val="00D9666A"/>
    <w:rsid w:val="00D96B20"/>
    <w:rsid w:val="00D978CF"/>
    <w:rsid w:val="00DA36C3"/>
    <w:rsid w:val="00DA4CB8"/>
    <w:rsid w:val="00DA5894"/>
    <w:rsid w:val="00DA5A7E"/>
    <w:rsid w:val="00DB1A4E"/>
    <w:rsid w:val="00DB38B7"/>
    <w:rsid w:val="00DB5A96"/>
    <w:rsid w:val="00DB5E52"/>
    <w:rsid w:val="00DB728E"/>
    <w:rsid w:val="00DC12A6"/>
    <w:rsid w:val="00DC240C"/>
    <w:rsid w:val="00DC346C"/>
    <w:rsid w:val="00DC3E40"/>
    <w:rsid w:val="00DC459E"/>
    <w:rsid w:val="00DC45E0"/>
    <w:rsid w:val="00DC4F2E"/>
    <w:rsid w:val="00DC5B18"/>
    <w:rsid w:val="00DC5F48"/>
    <w:rsid w:val="00DC6563"/>
    <w:rsid w:val="00DC69FD"/>
    <w:rsid w:val="00DC7D17"/>
    <w:rsid w:val="00DD1ACA"/>
    <w:rsid w:val="00DD5AA5"/>
    <w:rsid w:val="00DD65D0"/>
    <w:rsid w:val="00DD7286"/>
    <w:rsid w:val="00DE1425"/>
    <w:rsid w:val="00DE1509"/>
    <w:rsid w:val="00DE28FE"/>
    <w:rsid w:val="00DE2E88"/>
    <w:rsid w:val="00DE4126"/>
    <w:rsid w:val="00DE45C7"/>
    <w:rsid w:val="00DE47C5"/>
    <w:rsid w:val="00DE55A9"/>
    <w:rsid w:val="00DE625B"/>
    <w:rsid w:val="00DE64AF"/>
    <w:rsid w:val="00DE67A4"/>
    <w:rsid w:val="00DE7C4C"/>
    <w:rsid w:val="00DF2DFE"/>
    <w:rsid w:val="00DF3CB9"/>
    <w:rsid w:val="00DF4092"/>
    <w:rsid w:val="00DF4EFC"/>
    <w:rsid w:val="00DF509B"/>
    <w:rsid w:val="00DF5C27"/>
    <w:rsid w:val="00DF6334"/>
    <w:rsid w:val="00DF63D2"/>
    <w:rsid w:val="00DF6406"/>
    <w:rsid w:val="00DF73B2"/>
    <w:rsid w:val="00DF77BD"/>
    <w:rsid w:val="00DF7D4D"/>
    <w:rsid w:val="00DF7FF9"/>
    <w:rsid w:val="00E0201C"/>
    <w:rsid w:val="00E027BA"/>
    <w:rsid w:val="00E03E06"/>
    <w:rsid w:val="00E0471C"/>
    <w:rsid w:val="00E05277"/>
    <w:rsid w:val="00E07B42"/>
    <w:rsid w:val="00E1055B"/>
    <w:rsid w:val="00E10654"/>
    <w:rsid w:val="00E107AE"/>
    <w:rsid w:val="00E12B19"/>
    <w:rsid w:val="00E159B0"/>
    <w:rsid w:val="00E15CE7"/>
    <w:rsid w:val="00E16C0E"/>
    <w:rsid w:val="00E17C66"/>
    <w:rsid w:val="00E222FE"/>
    <w:rsid w:val="00E2601B"/>
    <w:rsid w:val="00E2625C"/>
    <w:rsid w:val="00E26AB1"/>
    <w:rsid w:val="00E3092F"/>
    <w:rsid w:val="00E315F5"/>
    <w:rsid w:val="00E321AA"/>
    <w:rsid w:val="00E32FC4"/>
    <w:rsid w:val="00E3362A"/>
    <w:rsid w:val="00E379F1"/>
    <w:rsid w:val="00E400F0"/>
    <w:rsid w:val="00E40AD3"/>
    <w:rsid w:val="00E41782"/>
    <w:rsid w:val="00E42B14"/>
    <w:rsid w:val="00E43EBE"/>
    <w:rsid w:val="00E449D5"/>
    <w:rsid w:val="00E44DE7"/>
    <w:rsid w:val="00E45F50"/>
    <w:rsid w:val="00E46024"/>
    <w:rsid w:val="00E463E4"/>
    <w:rsid w:val="00E474D0"/>
    <w:rsid w:val="00E513E0"/>
    <w:rsid w:val="00E521B4"/>
    <w:rsid w:val="00E52544"/>
    <w:rsid w:val="00E529C5"/>
    <w:rsid w:val="00E53E1A"/>
    <w:rsid w:val="00E54764"/>
    <w:rsid w:val="00E555E2"/>
    <w:rsid w:val="00E55B22"/>
    <w:rsid w:val="00E55CD0"/>
    <w:rsid w:val="00E60594"/>
    <w:rsid w:val="00E64A99"/>
    <w:rsid w:val="00E64B6C"/>
    <w:rsid w:val="00E6555C"/>
    <w:rsid w:val="00E67C03"/>
    <w:rsid w:val="00E71852"/>
    <w:rsid w:val="00E72702"/>
    <w:rsid w:val="00E72C9F"/>
    <w:rsid w:val="00E7331F"/>
    <w:rsid w:val="00E74B06"/>
    <w:rsid w:val="00E7541F"/>
    <w:rsid w:val="00E76393"/>
    <w:rsid w:val="00E81834"/>
    <w:rsid w:val="00E81AD0"/>
    <w:rsid w:val="00E82DAB"/>
    <w:rsid w:val="00E83823"/>
    <w:rsid w:val="00E84062"/>
    <w:rsid w:val="00E8560D"/>
    <w:rsid w:val="00E85715"/>
    <w:rsid w:val="00E85C14"/>
    <w:rsid w:val="00E870DF"/>
    <w:rsid w:val="00E87411"/>
    <w:rsid w:val="00E90071"/>
    <w:rsid w:val="00E91B2C"/>
    <w:rsid w:val="00E927D4"/>
    <w:rsid w:val="00E93B21"/>
    <w:rsid w:val="00E94A29"/>
    <w:rsid w:val="00E954C5"/>
    <w:rsid w:val="00E9650E"/>
    <w:rsid w:val="00E965AE"/>
    <w:rsid w:val="00E96FFA"/>
    <w:rsid w:val="00E97B03"/>
    <w:rsid w:val="00EA0C93"/>
    <w:rsid w:val="00EA19E5"/>
    <w:rsid w:val="00EA2259"/>
    <w:rsid w:val="00EA6B29"/>
    <w:rsid w:val="00EA6B86"/>
    <w:rsid w:val="00EA6E9A"/>
    <w:rsid w:val="00EB1700"/>
    <w:rsid w:val="00EB271F"/>
    <w:rsid w:val="00EB2BC4"/>
    <w:rsid w:val="00EB36BA"/>
    <w:rsid w:val="00EB54C8"/>
    <w:rsid w:val="00EB588D"/>
    <w:rsid w:val="00EB6E13"/>
    <w:rsid w:val="00EB7FC3"/>
    <w:rsid w:val="00EC08D9"/>
    <w:rsid w:val="00EC33CB"/>
    <w:rsid w:val="00EC3BA2"/>
    <w:rsid w:val="00EC5C89"/>
    <w:rsid w:val="00EC74F6"/>
    <w:rsid w:val="00ED1F10"/>
    <w:rsid w:val="00ED3F4F"/>
    <w:rsid w:val="00ED40A4"/>
    <w:rsid w:val="00ED5D0D"/>
    <w:rsid w:val="00ED5FEE"/>
    <w:rsid w:val="00ED6481"/>
    <w:rsid w:val="00ED6C46"/>
    <w:rsid w:val="00ED7DFA"/>
    <w:rsid w:val="00EE62F2"/>
    <w:rsid w:val="00EE65F1"/>
    <w:rsid w:val="00EE6D0D"/>
    <w:rsid w:val="00EF00D6"/>
    <w:rsid w:val="00EF0726"/>
    <w:rsid w:val="00EF2868"/>
    <w:rsid w:val="00EF30B6"/>
    <w:rsid w:val="00EF3861"/>
    <w:rsid w:val="00EF3B16"/>
    <w:rsid w:val="00EF3C35"/>
    <w:rsid w:val="00EF454C"/>
    <w:rsid w:val="00EF5ACF"/>
    <w:rsid w:val="00EF6BE6"/>
    <w:rsid w:val="00F0066D"/>
    <w:rsid w:val="00F024F3"/>
    <w:rsid w:val="00F02EEC"/>
    <w:rsid w:val="00F03439"/>
    <w:rsid w:val="00F03911"/>
    <w:rsid w:val="00F04159"/>
    <w:rsid w:val="00F0479A"/>
    <w:rsid w:val="00F0785C"/>
    <w:rsid w:val="00F10353"/>
    <w:rsid w:val="00F11FE5"/>
    <w:rsid w:val="00F120A9"/>
    <w:rsid w:val="00F145E5"/>
    <w:rsid w:val="00F147A1"/>
    <w:rsid w:val="00F1565F"/>
    <w:rsid w:val="00F16DD7"/>
    <w:rsid w:val="00F177D8"/>
    <w:rsid w:val="00F17D52"/>
    <w:rsid w:val="00F247EE"/>
    <w:rsid w:val="00F2582D"/>
    <w:rsid w:val="00F258C5"/>
    <w:rsid w:val="00F325EE"/>
    <w:rsid w:val="00F35439"/>
    <w:rsid w:val="00F35C28"/>
    <w:rsid w:val="00F35C74"/>
    <w:rsid w:val="00F362DD"/>
    <w:rsid w:val="00F4084B"/>
    <w:rsid w:val="00F43885"/>
    <w:rsid w:val="00F44DEA"/>
    <w:rsid w:val="00F4693C"/>
    <w:rsid w:val="00F469DB"/>
    <w:rsid w:val="00F47DF1"/>
    <w:rsid w:val="00F518CA"/>
    <w:rsid w:val="00F51915"/>
    <w:rsid w:val="00F63FAB"/>
    <w:rsid w:val="00F64A6D"/>
    <w:rsid w:val="00F6512A"/>
    <w:rsid w:val="00F65ACF"/>
    <w:rsid w:val="00F65AE0"/>
    <w:rsid w:val="00F6734F"/>
    <w:rsid w:val="00F705E5"/>
    <w:rsid w:val="00F71201"/>
    <w:rsid w:val="00F71CAD"/>
    <w:rsid w:val="00F74E72"/>
    <w:rsid w:val="00F75242"/>
    <w:rsid w:val="00F75361"/>
    <w:rsid w:val="00F76088"/>
    <w:rsid w:val="00F80A3D"/>
    <w:rsid w:val="00F86610"/>
    <w:rsid w:val="00F872B3"/>
    <w:rsid w:val="00F95035"/>
    <w:rsid w:val="00FA4F6E"/>
    <w:rsid w:val="00FA5A5B"/>
    <w:rsid w:val="00FA5D74"/>
    <w:rsid w:val="00FA7A1D"/>
    <w:rsid w:val="00FB08B6"/>
    <w:rsid w:val="00FB2455"/>
    <w:rsid w:val="00FB339A"/>
    <w:rsid w:val="00FB408C"/>
    <w:rsid w:val="00FB5D43"/>
    <w:rsid w:val="00FB63B1"/>
    <w:rsid w:val="00FB776D"/>
    <w:rsid w:val="00FB7F3F"/>
    <w:rsid w:val="00FC1A69"/>
    <w:rsid w:val="00FC204D"/>
    <w:rsid w:val="00FC4CCB"/>
    <w:rsid w:val="00FC4F1D"/>
    <w:rsid w:val="00FC5232"/>
    <w:rsid w:val="00FC64EB"/>
    <w:rsid w:val="00FD0E22"/>
    <w:rsid w:val="00FD2B14"/>
    <w:rsid w:val="00FD406A"/>
    <w:rsid w:val="00FD413D"/>
    <w:rsid w:val="00FD4AFA"/>
    <w:rsid w:val="00FD64F9"/>
    <w:rsid w:val="00FD71C3"/>
    <w:rsid w:val="00FD764B"/>
    <w:rsid w:val="00FE0732"/>
    <w:rsid w:val="00FE0970"/>
    <w:rsid w:val="00FE15AF"/>
    <w:rsid w:val="00FE233C"/>
    <w:rsid w:val="00FE4646"/>
    <w:rsid w:val="00FE4659"/>
    <w:rsid w:val="00FE4964"/>
    <w:rsid w:val="00FE5636"/>
    <w:rsid w:val="00FE57BD"/>
    <w:rsid w:val="00FE63DF"/>
    <w:rsid w:val="00FE6A3A"/>
    <w:rsid w:val="00FE76E0"/>
    <w:rsid w:val="00FE79B2"/>
    <w:rsid w:val="00FF063E"/>
    <w:rsid w:val="00FF0956"/>
    <w:rsid w:val="00FF2010"/>
    <w:rsid w:val="00FF40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12972"/>
  <w15:docId w15:val="{06B80DF6-F7D4-465A-9FA1-E688A3F1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E2B"/>
    <w:pPr>
      <w:jc w:val="both"/>
    </w:pPr>
    <w:rPr>
      <w:sz w:val="24"/>
      <w:szCs w:val="24"/>
    </w:rPr>
  </w:style>
  <w:style w:type="paragraph" w:styleId="1">
    <w:name w:val="heading 1"/>
    <w:basedOn w:val="a"/>
    <w:next w:val="a"/>
    <w:link w:val="10"/>
    <w:qFormat/>
    <w:rsid w:val="00E07B42"/>
    <w:pPr>
      <w:keepNext/>
      <w:ind w:firstLine="709"/>
      <w:outlineLvl w:val="0"/>
    </w:pPr>
    <w:rPr>
      <w:b/>
      <w:sz w:val="28"/>
      <w:szCs w:val="20"/>
    </w:rPr>
  </w:style>
  <w:style w:type="paragraph" w:styleId="2">
    <w:name w:val="heading 2"/>
    <w:basedOn w:val="a"/>
    <w:link w:val="20"/>
    <w:qFormat/>
    <w:rsid w:val="00B83B0E"/>
    <w:pPr>
      <w:spacing w:before="100" w:beforeAutospacing="1" w:after="150"/>
      <w:outlineLvl w:val="1"/>
    </w:pPr>
    <w:rPr>
      <w:rFonts w:ascii="Arial" w:hAnsi="Arial" w:cs="Arial"/>
      <w:b/>
      <w:bCs/>
      <w:color w:val="525252"/>
      <w:sz w:val="30"/>
      <w:szCs w:val="30"/>
    </w:rPr>
  </w:style>
  <w:style w:type="paragraph" w:styleId="3">
    <w:name w:val="heading 3"/>
    <w:basedOn w:val="a"/>
    <w:next w:val="a"/>
    <w:link w:val="30"/>
    <w:qFormat/>
    <w:rsid w:val="00E07B42"/>
    <w:pPr>
      <w:keepNext/>
      <w:spacing w:before="240" w:after="60"/>
      <w:outlineLvl w:val="2"/>
    </w:pPr>
    <w:rPr>
      <w:rFonts w:ascii="Arial" w:hAnsi="Arial" w:cs="Arial"/>
      <w:b/>
      <w:bCs/>
      <w:sz w:val="26"/>
      <w:szCs w:val="26"/>
    </w:rPr>
  </w:style>
  <w:style w:type="paragraph" w:styleId="4">
    <w:name w:val="heading 4"/>
    <w:basedOn w:val="a"/>
    <w:next w:val="a"/>
    <w:link w:val="40"/>
    <w:qFormat/>
    <w:rsid w:val="00E07B42"/>
    <w:pPr>
      <w:keepNext/>
      <w:spacing w:before="240" w:after="60"/>
      <w:outlineLvl w:val="3"/>
    </w:pPr>
    <w:rPr>
      <w:b/>
      <w:bCs/>
      <w:sz w:val="28"/>
      <w:szCs w:val="28"/>
    </w:rPr>
  </w:style>
  <w:style w:type="paragraph" w:styleId="5">
    <w:name w:val="heading 5"/>
    <w:basedOn w:val="a"/>
    <w:next w:val="a"/>
    <w:link w:val="50"/>
    <w:qFormat/>
    <w:rsid w:val="00E07B42"/>
    <w:pPr>
      <w:spacing w:before="240" w:after="60"/>
      <w:outlineLvl w:val="4"/>
    </w:pPr>
    <w:rPr>
      <w:b/>
      <w:bCs/>
      <w:i/>
      <w:iCs/>
      <w:sz w:val="26"/>
      <w:szCs w:val="26"/>
    </w:rPr>
  </w:style>
  <w:style w:type="paragraph" w:styleId="6">
    <w:name w:val="heading 6"/>
    <w:basedOn w:val="a"/>
    <w:next w:val="a"/>
    <w:link w:val="60"/>
    <w:qFormat/>
    <w:rsid w:val="00E07B42"/>
    <w:pPr>
      <w:spacing w:before="240" w:after="60"/>
      <w:outlineLvl w:val="5"/>
    </w:pPr>
    <w:rPr>
      <w:b/>
      <w:bCs/>
      <w:sz w:val="22"/>
      <w:szCs w:val="22"/>
    </w:rPr>
  </w:style>
  <w:style w:type="paragraph" w:styleId="7">
    <w:name w:val="heading 7"/>
    <w:basedOn w:val="a"/>
    <w:next w:val="a"/>
    <w:link w:val="70"/>
    <w:qFormat/>
    <w:rsid w:val="00E07B42"/>
    <w:pPr>
      <w:spacing w:before="240" w:after="60"/>
      <w:outlineLvl w:val="6"/>
    </w:pPr>
  </w:style>
  <w:style w:type="paragraph" w:styleId="8">
    <w:name w:val="heading 8"/>
    <w:basedOn w:val="a"/>
    <w:next w:val="a"/>
    <w:link w:val="80"/>
    <w:qFormat/>
    <w:rsid w:val="00E07B42"/>
    <w:pPr>
      <w:spacing w:before="240" w:after="60"/>
      <w:outlineLvl w:val="7"/>
    </w:pPr>
    <w:rPr>
      <w:i/>
      <w:iCs/>
    </w:rPr>
  </w:style>
  <w:style w:type="paragraph" w:styleId="9">
    <w:name w:val="heading 9"/>
    <w:basedOn w:val="a"/>
    <w:next w:val="a"/>
    <w:link w:val="90"/>
    <w:qFormat/>
    <w:rsid w:val="00E07B4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07B42"/>
    <w:rPr>
      <w:rFonts w:ascii="Arial" w:hAnsi="Arial" w:cs="Arial"/>
      <w:b/>
      <w:bCs/>
      <w:color w:val="525252"/>
      <w:sz w:val="30"/>
      <w:szCs w:val="30"/>
    </w:rPr>
  </w:style>
  <w:style w:type="paragraph" w:styleId="a3">
    <w:name w:val="Body Text Indent"/>
    <w:aliases w:val="Знак4 Знак"/>
    <w:basedOn w:val="a"/>
    <w:link w:val="a4"/>
    <w:rsid w:val="001511C1"/>
    <w:pPr>
      <w:spacing w:after="120"/>
      <w:ind w:left="283"/>
    </w:pPr>
  </w:style>
  <w:style w:type="character" w:customStyle="1" w:styleId="a4">
    <w:name w:val="Основной текст с отступом Знак"/>
    <w:aliases w:val="Знак4 Знак Знак"/>
    <w:basedOn w:val="a0"/>
    <w:link w:val="a3"/>
    <w:locked/>
    <w:rsid w:val="00705DF5"/>
    <w:rPr>
      <w:sz w:val="24"/>
      <w:szCs w:val="24"/>
      <w:lang w:val="ru-RU" w:eastAsia="ru-RU" w:bidi="ar-SA"/>
    </w:rPr>
  </w:style>
  <w:style w:type="paragraph" w:styleId="a5">
    <w:name w:val="Plain Text"/>
    <w:basedOn w:val="a"/>
    <w:link w:val="a6"/>
    <w:rsid w:val="001511C1"/>
    <w:rPr>
      <w:rFonts w:ascii="Courier New" w:hAnsi="Courier New"/>
      <w:sz w:val="20"/>
      <w:szCs w:val="20"/>
    </w:rPr>
  </w:style>
  <w:style w:type="character" w:customStyle="1" w:styleId="a6">
    <w:name w:val="Текст Знак"/>
    <w:basedOn w:val="a0"/>
    <w:link w:val="a5"/>
    <w:locked/>
    <w:rsid w:val="00EB271F"/>
    <w:rPr>
      <w:rFonts w:ascii="Courier New" w:hAnsi="Courier New"/>
      <w:lang w:val="ru-RU" w:eastAsia="ru-RU" w:bidi="ar-SA"/>
    </w:rPr>
  </w:style>
  <w:style w:type="paragraph" w:customStyle="1" w:styleId="11">
    <w:name w:val="Обычный1"/>
    <w:rsid w:val="001511C1"/>
    <w:pPr>
      <w:snapToGrid w:val="0"/>
      <w:spacing w:before="100" w:after="100"/>
      <w:jc w:val="both"/>
    </w:pPr>
    <w:rPr>
      <w:sz w:val="24"/>
    </w:rPr>
  </w:style>
  <w:style w:type="character" w:styleId="a7">
    <w:name w:val="Emphasis"/>
    <w:basedOn w:val="a0"/>
    <w:qFormat/>
    <w:rsid w:val="001511C1"/>
    <w:rPr>
      <w:i/>
      <w:iCs/>
    </w:rPr>
  </w:style>
  <w:style w:type="paragraph" w:customStyle="1" w:styleId="a8">
    <w:name w:val="Знак Знак Знак Знак Знак Знак Знак"/>
    <w:basedOn w:val="a"/>
    <w:rsid w:val="001511C1"/>
    <w:pPr>
      <w:spacing w:before="100" w:beforeAutospacing="1" w:after="100" w:afterAutospacing="1"/>
    </w:pPr>
    <w:rPr>
      <w:rFonts w:ascii="Tahoma" w:hAnsi="Tahoma"/>
      <w:sz w:val="20"/>
      <w:szCs w:val="20"/>
      <w:lang w:val="en-US" w:eastAsia="en-US"/>
    </w:rPr>
  </w:style>
  <w:style w:type="paragraph" w:customStyle="1" w:styleId="a9">
    <w:name w:val="Знак Знак Знак Знак Знак Знак Знак"/>
    <w:basedOn w:val="a"/>
    <w:rsid w:val="008336EE"/>
    <w:pPr>
      <w:spacing w:before="100" w:beforeAutospacing="1" w:after="100" w:afterAutospacing="1"/>
    </w:pPr>
    <w:rPr>
      <w:rFonts w:ascii="Tahoma" w:hAnsi="Tahoma"/>
      <w:sz w:val="20"/>
      <w:szCs w:val="20"/>
      <w:lang w:val="en-US" w:eastAsia="en-US"/>
    </w:rPr>
  </w:style>
  <w:style w:type="table" w:styleId="aa">
    <w:name w:val="Table Grid"/>
    <w:basedOn w:val="a1"/>
    <w:uiPriority w:val="59"/>
    <w:rsid w:val="008E1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Знак Знак Char Знак Знак Знак Знак Знак Знак Знак Знак Знак Знак Знак Знак Знак Знак Знак Знак"/>
    <w:basedOn w:val="a"/>
    <w:rsid w:val="00D86CC2"/>
    <w:rPr>
      <w:rFonts w:ascii="Verdana" w:hAnsi="Verdana" w:cs="Verdana"/>
      <w:sz w:val="20"/>
      <w:szCs w:val="20"/>
      <w:lang w:val="en-US" w:eastAsia="en-US"/>
    </w:rPr>
  </w:style>
  <w:style w:type="paragraph" w:styleId="21">
    <w:name w:val="Body Text 2"/>
    <w:basedOn w:val="a"/>
    <w:link w:val="22"/>
    <w:rsid w:val="00D86CC2"/>
    <w:pPr>
      <w:spacing w:after="120" w:line="480" w:lineRule="auto"/>
    </w:pPr>
  </w:style>
  <w:style w:type="character" w:customStyle="1" w:styleId="22">
    <w:name w:val="Основной текст 2 Знак"/>
    <w:basedOn w:val="a0"/>
    <w:link w:val="21"/>
    <w:locked/>
    <w:rsid w:val="00761512"/>
    <w:rPr>
      <w:sz w:val="24"/>
      <w:szCs w:val="24"/>
      <w:lang w:val="ru-RU" w:eastAsia="ru-RU" w:bidi="ar-SA"/>
    </w:rPr>
  </w:style>
  <w:style w:type="paragraph" w:styleId="ab">
    <w:name w:val="Normal (Web)"/>
    <w:basedOn w:val="a"/>
    <w:uiPriority w:val="99"/>
    <w:rsid w:val="00D86CC2"/>
    <w:pPr>
      <w:spacing w:before="100" w:beforeAutospacing="1" w:after="100" w:afterAutospacing="1"/>
    </w:pPr>
    <w:rPr>
      <w:color w:val="000000"/>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86CC2"/>
    <w:pPr>
      <w:spacing w:after="160" w:line="240" w:lineRule="exact"/>
    </w:pPr>
    <w:rPr>
      <w:sz w:val="28"/>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86CC2"/>
    <w:pPr>
      <w:spacing w:after="160" w:line="240" w:lineRule="exact"/>
    </w:pPr>
    <w:rPr>
      <w:sz w:val="28"/>
      <w:szCs w:val="20"/>
      <w:lang w:val="en-US" w:eastAsia="en-US"/>
    </w:rPr>
  </w:style>
  <w:style w:type="paragraph" w:customStyle="1" w:styleId="ae">
    <w:name w:val="Знак"/>
    <w:basedOn w:val="a"/>
    <w:autoRedefine/>
    <w:rsid w:val="00644DC8"/>
    <w:pPr>
      <w:spacing w:after="160" w:line="240" w:lineRule="exact"/>
    </w:pPr>
    <w:rPr>
      <w:sz w:val="28"/>
      <w:szCs w:val="20"/>
      <w:lang w:val="en-US" w:eastAsia="en-US"/>
    </w:rPr>
  </w:style>
  <w:style w:type="paragraph" w:styleId="af">
    <w:name w:val="Body Text"/>
    <w:basedOn w:val="a"/>
    <w:link w:val="af0"/>
    <w:rsid w:val="000D7EF0"/>
    <w:pPr>
      <w:spacing w:after="120"/>
    </w:pPr>
  </w:style>
  <w:style w:type="character" w:customStyle="1" w:styleId="af0">
    <w:name w:val="Основной текст Знак"/>
    <w:basedOn w:val="a0"/>
    <w:link w:val="af"/>
    <w:locked/>
    <w:rsid w:val="002606AB"/>
    <w:rPr>
      <w:sz w:val="24"/>
      <w:szCs w:val="24"/>
      <w:lang w:val="ru-RU" w:eastAsia="ru-RU" w:bidi="ar-SA"/>
    </w:rPr>
  </w:style>
  <w:style w:type="paragraph" w:styleId="af1">
    <w:name w:val="Balloon Text"/>
    <w:basedOn w:val="a"/>
    <w:link w:val="af2"/>
    <w:uiPriority w:val="99"/>
    <w:semiHidden/>
    <w:rsid w:val="006C23D5"/>
    <w:rPr>
      <w:rFonts w:ascii="Tahoma" w:hAnsi="Tahoma" w:cs="Tahoma"/>
      <w:sz w:val="16"/>
      <w:szCs w:val="16"/>
    </w:rPr>
  </w:style>
  <w:style w:type="character" w:customStyle="1" w:styleId="af2">
    <w:name w:val="Текст выноски Знак"/>
    <w:basedOn w:val="a0"/>
    <w:link w:val="af1"/>
    <w:uiPriority w:val="99"/>
    <w:semiHidden/>
    <w:rsid w:val="00E07B42"/>
    <w:rPr>
      <w:rFonts w:ascii="Tahoma" w:hAnsi="Tahoma" w:cs="Tahoma"/>
      <w:sz w:val="16"/>
      <w:szCs w:val="16"/>
    </w:rPr>
  </w:style>
  <w:style w:type="paragraph" w:customStyle="1" w:styleId="ConsPlusNormal">
    <w:name w:val="ConsPlusNormal"/>
    <w:rsid w:val="00705DF5"/>
    <w:pPr>
      <w:widowControl w:val="0"/>
      <w:autoSpaceDE w:val="0"/>
      <w:autoSpaceDN w:val="0"/>
      <w:adjustRightInd w:val="0"/>
      <w:ind w:firstLine="720"/>
      <w:jc w:val="both"/>
    </w:pPr>
    <w:rPr>
      <w:rFonts w:ascii="Arial" w:hAnsi="Arial" w:cs="Arial"/>
    </w:rPr>
  </w:style>
  <w:style w:type="character" w:customStyle="1" w:styleId="BodyTextIndentChar">
    <w:name w:val="Body Text Indent Char"/>
    <w:basedOn w:val="a0"/>
    <w:locked/>
    <w:rsid w:val="00EB271F"/>
    <w:rPr>
      <w:sz w:val="24"/>
      <w:szCs w:val="24"/>
      <w:lang w:val="ru-RU" w:eastAsia="ru-RU" w:bidi="ar-SA"/>
    </w:rPr>
  </w:style>
  <w:style w:type="character" w:customStyle="1" w:styleId="apple-style-span">
    <w:name w:val="apple-style-span"/>
    <w:basedOn w:val="a0"/>
    <w:rsid w:val="00EB271F"/>
    <w:rPr>
      <w:rFonts w:ascii="Times New Roman" w:hAnsi="Times New Roman" w:cs="Times New Roman" w:hint="default"/>
    </w:rPr>
  </w:style>
  <w:style w:type="character" w:customStyle="1" w:styleId="apple-converted-space">
    <w:name w:val="apple-converted-space"/>
    <w:basedOn w:val="a0"/>
    <w:rsid w:val="00E71852"/>
    <w:rPr>
      <w:rFonts w:cs="Times New Roman"/>
    </w:rPr>
  </w:style>
  <w:style w:type="character" w:styleId="af3">
    <w:name w:val="Strong"/>
    <w:basedOn w:val="a0"/>
    <w:qFormat/>
    <w:rsid w:val="00E71852"/>
    <w:rPr>
      <w:rFonts w:cs="Times New Roman"/>
      <w:b/>
      <w:bCs/>
    </w:rPr>
  </w:style>
  <w:style w:type="paragraph" w:customStyle="1" w:styleId="12">
    <w:name w:val="Без интервала1"/>
    <w:rsid w:val="00E71852"/>
    <w:pPr>
      <w:jc w:val="both"/>
    </w:pPr>
    <w:rPr>
      <w:rFonts w:ascii="Calibri" w:hAnsi="Calibri" w:cs="Calibri"/>
      <w:sz w:val="22"/>
      <w:szCs w:val="22"/>
      <w:lang w:eastAsia="en-US"/>
    </w:rPr>
  </w:style>
  <w:style w:type="paragraph" w:customStyle="1" w:styleId="ConsPlusCell">
    <w:name w:val="ConsPlusCell"/>
    <w:link w:val="ConsPlusCell0"/>
    <w:rsid w:val="00F469DB"/>
    <w:pPr>
      <w:widowControl w:val="0"/>
      <w:autoSpaceDE w:val="0"/>
      <w:autoSpaceDN w:val="0"/>
      <w:adjustRightInd w:val="0"/>
      <w:jc w:val="both"/>
    </w:pPr>
    <w:rPr>
      <w:rFonts w:ascii="Arial" w:hAnsi="Arial" w:cs="Arial"/>
    </w:rPr>
  </w:style>
  <w:style w:type="character" w:customStyle="1" w:styleId="ConsPlusCell0">
    <w:name w:val="ConsPlusCell Знак"/>
    <w:basedOn w:val="a0"/>
    <w:link w:val="ConsPlusCell"/>
    <w:rsid w:val="00452251"/>
    <w:rPr>
      <w:rFonts w:ascii="Arial" w:hAnsi="Arial" w:cs="Arial"/>
      <w:lang w:val="ru-RU" w:eastAsia="ru-RU" w:bidi="ar-SA"/>
    </w:rPr>
  </w:style>
  <w:style w:type="paragraph" w:styleId="af4">
    <w:name w:val="List Paragraph"/>
    <w:basedOn w:val="a"/>
    <w:uiPriority w:val="34"/>
    <w:qFormat/>
    <w:rsid w:val="0035463D"/>
    <w:pPr>
      <w:spacing w:after="200" w:line="276" w:lineRule="auto"/>
      <w:ind w:left="720"/>
      <w:contextualSpacing/>
    </w:pPr>
    <w:rPr>
      <w:rFonts w:ascii="Calibri" w:hAnsi="Calibri"/>
      <w:sz w:val="22"/>
      <w:szCs w:val="22"/>
    </w:rPr>
  </w:style>
  <w:style w:type="paragraph" w:styleId="HTML">
    <w:name w:val="HTML Preformatted"/>
    <w:basedOn w:val="a"/>
    <w:link w:val="HTML0"/>
    <w:rsid w:val="00A17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12117"/>
    <w:rPr>
      <w:rFonts w:ascii="Courier New" w:hAnsi="Courier New" w:cs="Courier New"/>
    </w:rPr>
  </w:style>
  <w:style w:type="paragraph" w:customStyle="1" w:styleId="af5">
    <w:name w:val="Знак Знак Знак Знак"/>
    <w:basedOn w:val="a"/>
    <w:rsid w:val="00A17DA4"/>
    <w:pPr>
      <w:spacing w:after="160" w:line="240" w:lineRule="exact"/>
    </w:pPr>
    <w:rPr>
      <w:rFonts w:ascii="Verdana" w:hAnsi="Verdana"/>
      <w:sz w:val="20"/>
      <w:szCs w:val="20"/>
      <w:lang w:val="en-US" w:eastAsia="en-US"/>
    </w:rPr>
  </w:style>
  <w:style w:type="character" w:customStyle="1" w:styleId="fontstyle11">
    <w:name w:val="fontstyle11"/>
    <w:basedOn w:val="a0"/>
    <w:rsid w:val="00A17DA4"/>
  </w:style>
  <w:style w:type="character" w:customStyle="1" w:styleId="fontstyle12">
    <w:name w:val="fontstyle12"/>
    <w:basedOn w:val="a0"/>
    <w:rsid w:val="00A17DA4"/>
  </w:style>
  <w:style w:type="paragraph" w:styleId="23">
    <w:name w:val="Body Text Indent 2"/>
    <w:basedOn w:val="a"/>
    <w:link w:val="24"/>
    <w:rsid w:val="00A17DA4"/>
    <w:pPr>
      <w:spacing w:after="120" w:line="480" w:lineRule="auto"/>
      <w:ind w:left="283"/>
    </w:pPr>
    <w:rPr>
      <w:rFonts w:ascii="Dao" w:hAnsi="Dao"/>
    </w:rPr>
  </w:style>
  <w:style w:type="character" w:customStyle="1" w:styleId="24">
    <w:name w:val="Основной текст с отступом 2 Знак"/>
    <w:basedOn w:val="a0"/>
    <w:link w:val="23"/>
    <w:rsid w:val="00012117"/>
    <w:rPr>
      <w:rFonts w:ascii="Dao" w:hAnsi="Dao"/>
      <w:sz w:val="24"/>
      <w:szCs w:val="24"/>
    </w:rPr>
  </w:style>
  <w:style w:type="character" w:customStyle="1" w:styleId="61">
    <w:name w:val="Знак Знак6"/>
    <w:basedOn w:val="a0"/>
    <w:rsid w:val="00452251"/>
    <w:rPr>
      <w:sz w:val="24"/>
      <w:szCs w:val="24"/>
      <w:lang w:val="ru-RU" w:eastAsia="ru-RU" w:bidi="ar-SA"/>
    </w:rPr>
  </w:style>
  <w:style w:type="paragraph" w:customStyle="1" w:styleId="210">
    <w:name w:val="Основной текст с отступом 21"/>
    <w:basedOn w:val="a"/>
    <w:rsid w:val="008C20F0"/>
    <w:pPr>
      <w:overflowPunct w:val="0"/>
      <w:autoSpaceDE w:val="0"/>
      <w:autoSpaceDN w:val="0"/>
      <w:adjustRightInd w:val="0"/>
      <w:ind w:firstLine="360"/>
      <w:textAlignment w:val="baseline"/>
    </w:pPr>
    <w:rPr>
      <w:sz w:val="28"/>
      <w:szCs w:val="20"/>
    </w:rPr>
  </w:style>
  <w:style w:type="paragraph" w:customStyle="1" w:styleId="p1">
    <w:name w:val="p1"/>
    <w:basedOn w:val="a"/>
    <w:uiPriority w:val="99"/>
    <w:rsid w:val="00306D6F"/>
    <w:pPr>
      <w:spacing w:before="75" w:after="75"/>
      <w:ind w:firstLine="300"/>
    </w:pPr>
    <w:rPr>
      <w:rFonts w:ascii="Arial" w:eastAsia="Arial Unicode MS" w:hAnsi="Arial" w:cs="Arial"/>
      <w:sz w:val="20"/>
      <w:szCs w:val="20"/>
    </w:rPr>
  </w:style>
  <w:style w:type="paragraph" w:customStyle="1" w:styleId="af6">
    <w:name w:val="Знак Знак Знак Знак"/>
    <w:basedOn w:val="a"/>
    <w:rsid w:val="00BA7B1C"/>
    <w:pPr>
      <w:spacing w:before="100" w:beforeAutospacing="1" w:after="100" w:afterAutospacing="1"/>
    </w:pPr>
    <w:rPr>
      <w:rFonts w:ascii="Tahoma" w:hAnsi="Tahoma"/>
      <w:sz w:val="20"/>
      <w:szCs w:val="20"/>
      <w:lang w:val="en-US" w:eastAsia="en-US"/>
    </w:rPr>
  </w:style>
  <w:style w:type="paragraph" w:styleId="af7">
    <w:name w:val="header"/>
    <w:basedOn w:val="a"/>
    <w:link w:val="af8"/>
    <w:uiPriority w:val="99"/>
    <w:rsid w:val="007D2AE3"/>
    <w:pPr>
      <w:tabs>
        <w:tab w:val="center" w:pos="4153"/>
        <w:tab w:val="right" w:pos="8306"/>
      </w:tabs>
    </w:pPr>
    <w:rPr>
      <w:szCs w:val="20"/>
    </w:rPr>
  </w:style>
  <w:style w:type="character" w:customStyle="1" w:styleId="af8">
    <w:name w:val="Верхний колонтитул Знак"/>
    <w:basedOn w:val="a0"/>
    <w:link w:val="af7"/>
    <w:uiPriority w:val="99"/>
    <w:rsid w:val="00E07B42"/>
    <w:rPr>
      <w:sz w:val="24"/>
    </w:rPr>
  </w:style>
  <w:style w:type="character" w:customStyle="1" w:styleId="10">
    <w:name w:val="Заголовок 1 Знак"/>
    <w:basedOn w:val="a0"/>
    <w:link w:val="1"/>
    <w:rsid w:val="00E07B42"/>
    <w:rPr>
      <w:b/>
      <w:sz w:val="28"/>
    </w:rPr>
  </w:style>
  <w:style w:type="character" w:customStyle="1" w:styleId="30">
    <w:name w:val="Заголовок 3 Знак"/>
    <w:basedOn w:val="a0"/>
    <w:link w:val="3"/>
    <w:semiHidden/>
    <w:rsid w:val="00E07B42"/>
    <w:rPr>
      <w:rFonts w:ascii="Arial" w:hAnsi="Arial" w:cs="Arial"/>
      <w:b/>
      <w:bCs/>
      <w:sz w:val="26"/>
      <w:szCs w:val="26"/>
    </w:rPr>
  </w:style>
  <w:style w:type="character" w:customStyle="1" w:styleId="40">
    <w:name w:val="Заголовок 4 Знак"/>
    <w:basedOn w:val="a0"/>
    <w:link w:val="4"/>
    <w:semiHidden/>
    <w:rsid w:val="00E07B42"/>
    <w:rPr>
      <w:b/>
      <w:bCs/>
      <w:sz w:val="28"/>
      <w:szCs w:val="28"/>
    </w:rPr>
  </w:style>
  <w:style w:type="character" w:customStyle="1" w:styleId="50">
    <w:name w:val="Заголовок 5 Знак"/>
    <w:basedOn w:val="a0"/>
    <w:link w:val="5"/>
    <w:semiHidden/>
    <w:rsid w:val="00E07B42"/>
    <w:rPr>
      <w:b/>
      <w:bCs/>
      <w:i/>
      <w:iCs/>
      <w:sz w:val="26"/>
      <w:szCs w:val="26"/>
    </w:rPr>
  </w:style>
  <w:style w:type="character" w:customStyle="1" w:styleId="60">
    <w:name w:val="Заголовок 6 Знак"/>
    <w:basedOn w:val="a0"/>
    <w:link w:val="6"/>
    <w:semiHidden/>
    <w:rsid w:val="00E07B42"/>
    <w:rPr>
      <w:b/>
      <w:bCs/>
      <w:sz w:val="22"/>
      <w:szCs w:val="22"/>
    </w:rPr>
  </w:style>
  <w:style w:type="character" w:customStyle="1" w:styleId="70">
    <w:name w:val="Заголовок 7 Знак"/>
    <w:basedOn w:val="a0"/>
    <w:link w:val="7"/>
    <w:semiHidden/>
    <w:rsid w:val="00E07B42"/>
    <w:rPr>
      <w:sz w:val="24"/>
      <w:szCs w:val="24"/>
    </w:rPr>
  </w:style>
  <w:style w:type="character" w:customStyle="1" w:styleId="80">
    <w:name w:val="Заголовок 8 Знак"/>
    <w:basedOn w:val="a0"/>
    <w:link w:val="8"/>
    <w:semiHidden/>
    <w:rsid w:val="00E07B42"/>
    <w:rPr>
      <w:i/>
      <w:iCs/>
      <w:sz w:val="24"/>
      <w:szCs w:val="24"/>
    </w:rPr>
  </w:style>
  <w:style w:type="character" w:customStyle="1" w:styleId="90">
    <w:name w:val="Заголовок 9 Знак"/>
    <w:basedOn w:val="a0"/>
    <w:link w:val="9"/>
    <w:semiHidden/>
    <w:rsid w:val="00E07B42"/>
    <w:rPr>
      <w:rFonts w:ascii="Arial" w:hAnsi="Arial" w:cs="Arial"/>
      <w:sz w:val="22"/>
      <w:szCs w:val="22"/>
    </w:rPr>
  </w:style>
  <w:style w:type="character" w:customStyle="1" w:styleId="af9">
    <w:name w:val="Нижний колонтитул Знак"/>
    <w:basedOn w:val="a0"/>
    <w:link w:val="afa"/>
    <w:uiPriority w:val="99"/>
    <w:rsid w:val="00E07B42"/>
  </w:style>
  <w:style w:type="paragraph" w:styleId="afa">
    <w:name w:val="footer"/>
    <w:basedOn w:val="a"/>
    <w:link w:val="af9"/>
    <w:uiPriority w:val="99"/>
    <w:unhideWhenUsed/>
    <w:rsid w:val="00E07B42"/>
    <w:pPr>
      <w:tabs>
        <w:tab w:val="center" w:pos="4677"/>
        <w:tab w:val="right" w:pos="9355"/>
      </w:tabs>
    </w:pPr>
    <w:rPr>
      <w:sz w:val="20"/>
      <w:szCs w:val="20"/>
    </w:rPr>
  </w:style>
  <w:style w:type="character" w:customStyle="1" w:styleId="afb">
    <w:name w:val="Заголовок Знак"/>
    <w:basedOn w:val="a0"/>
    <w:link w:val="afc"/>
    <w:rsid w:val="00E07B42"/>
    <w:rPr>
      <w:b/>
      <w:bCs/>
      <w:sz w:val="24"/>
    </w:rPr>
  </w:style>
  <w:style w:type="paragraph" w:styleId="afc">
    <w:name w:val="Title"/>
    <w:basedOn w:val="a"/>
    <w:link w:val="afb"/>
    <w:qFormat/>
    <w:rsid w:val="00E07B42"/>
    <w:pPr>
      <w:jc w:val="center"/>
    </w:pPr>
    <w:rPr>
      <w:b/>
      <w:bCs/>
      <w:szCs w:val="20"/>
    </w:rPr>
  </w:style>
  <w:style w:type="character" w:customStyle="1" w:styleId="31">
    <w:name w:val="Основной текст 3 Знак"/>
    <w:basedOn w:val="a0"/>
    <w:link w:val="32"/>
    <w:rsid w:val="00E07B42"/>
    <w:rPr>
      <w:sz w:val="16"/>
      <w:szCs w:val="16"/>
    </w:rPr>
  </w:style>
  <w:style w:type="paragraph" w:styleId="32">
    <w:name w:val="Body Text 3"/>
    <w:basedOn w:val="a"/>
    <w:link w:val="31"/>
    <w:unhideWhenUsed/>
    <w:rsid w:val="00E07B42"/>
    <w:pPr>
      <w:spacing w:after="120"/>
    </w:pPr>
    <w:rPr>
      <w:sz w:val="16"/>
      <w:szCs w:val="16"/>
    </w:rPr>
  </w:style>
  <w:style w:type="character" w:customStyle="1" w:styleId="33">
    <w:name w:val="Основной текст с отступом 3 Знак"/>
    <w:aliases w:val="Знак4 Знак1"/>
    <w:basedOn w:val="a0"/>
    <w:link w:val="34"/>
    <w:locked/>
    <w:rsid w:val="00E07B42"/>
    <w:rPr>
      <w:sz w:val="16"/>
      <w:szCs w:val="16"/>
    </w:rPr>
  </w:style>
  <w:style w:type="paragraph" w:styleId="34">
    <w:name w:val="Body Text Indent 3"/>
    <w:aliases w:val="Знак4"/>
    <w:basedOn w:val="a"/>
    <w:link w:val="33"/>
    <w:unhideWhenUsed/>
    <w:rsid w:val="00E07B42"/>
    <w:pPr>
      <w:spacing w:after="120"/>
      <w:ind w:left="283"/>
    </w:pPr>
    <w:rPr>
      <w:sz w:val="16"/>
      <w:szCs w:val="16"/>
    </w:rPr>
  </w:style>
  <w:style w:type="character" w:customStyle="1" w:styleId="310">
    <w:name w:val="Основной текст с отступом 3 Знак1"/>
    <w:aliases w:val="Знак4 Знак2"/>
    <w:basedOn w:val="a0"/>
    <w:rsid w:val="00E07B42"/>
    <w:rPr>
      <w:sz w:val="16"/>
      <w:szCs w:val="16"/>
    </w:rPr>
  </w:style>
  <w:style w:type="character" w:customStyle="1" w:styleId="afd">
    <w:name w:val="Без интервала Знак"/>
    <w:basedOn w:val="a0"/>
    <w:link w:val="afe"/>
    <w:locked/>
    <w:rsid w:val="00E07B42"/>
    <w:rPr>
      <w:rFonts w:ascii="Calibri" w:hAnsi="Calibri"/>
      <w:lang w:val="en-US" w:eastAsia="en-US" w:bidi="en-US"/>
    </w:rPr>
  </w:style>
  <w:style w:type="paragraph" w:styleId="afe">
    <w:name w:val="No Spacing"/>
    <w:basedOn w:val="a"/>
    <w:link w:val="afd"/>
    <w:uiPriority w:val="1"/>
    <w:qFormat/>
    <w:rsid w:val="00E07B42"/>
    <w:rPr>
      <w:rFonts w:ascii="Calibri" w:hAnsi="Calibri"/>
      <w:sz w:val="20"/>
      <w:szCs w:val="20"/>
      <w:lang w:val="en-US" w:eastAsia="en-US" w:bidi="en-US"/>
    </w:rPr>
  </w:style>
  <w:style w:type="character" w:customStyle="1" w:styleId="ConsPlusNonformat">
    <w:name w:val="ConsPlusNonformat Знак"/>
    <w:basedOn w:val="a0"/>
    <w:link w:val="ConsPlusNonformat0"/>
    <w:locked/>
    <w:rsid w:val="00E07B42"/>
    <w:rPr>
      <w:rFonts w:ascii="Courier New" w:hAnsi="Courier New" w:cs="Courier New"/>
      <w:lang w:val="ru-RU" w:eastAsia="ru-RU" w:bidi="ar-SA"/>
    </w:rPr>
  </w:style>
  <w:style w:type="paragraph" w:customStyle="1" w:styleId="ConsPlusNonformat0">
    <w:name w:val="ConsPlusNonformat"/>
    <w:link w:val="ConsPlusNonformat"/>
    <w:rsid w:val="00E07B42"/>
    <w:pPr>
      <w:widowControl w:val="0"/>
      <w:autoSpaceDE w:val="0"/>
      <w:autoSpaceDN w:val="0"/>
      <w:adjustRightInd w:val="0"/>
      <w:jc w:val="both"/>
    </w:pPr>
    <w:rPr>
      <w:rFonts w:ascii="Courier New" w:hAnsi="Courier New" w:cs="Courier New"/>
    </w:rPr>
  </w:style>
  <w:style w:type="paragraph" w:customStyle="1" w:styleId="z1">
    <w:name w:val="z1"/>
    <w:basedOn w:val="a"/>
    <w:uiPriority w:val="99"/>
    <w:rsid w:val="00E07B42"/>
    <w:pPr>
      <w:spacing w:before="100" w:beforeAutospacing="1" w:after="100" w:afterAutospacing="1"/>
    </w:pPr>
  </w:style>
  <w:style w:type="paragraph" w:customStyle="1" w:styleId="p2">
    <w:name w:val="p2"/>
    <w:basedOn w:val="a"/>
    <w:uiPriority w:val="99"/>
    <w:rsid w:val="00E07B42"/>
    <w:pPr>
      <w:spacing w:before="100" w:beforeAutospacing="1" w:after="100" w:afterAutospacing="1"/>
    </w:pPr>
  </w:style>
  <w:style w:type="character" w:styleId="aff">
    <w:name w:val="Hyperlink"/>
    <w:basedOn w:val="a0"/>
    <w:unhideWhenUsed/>
    <w:rsid w:val="00E07B42"/>
    <w:rPr>
      <w:color w:val="0000FF"/>
      <w:u w:val="single"/>
    </w:rPr>
  </w:style>
  <w:style w:type="paragraph" w:customStyle="1" w:styleId="ConsTitle">
    <w:name w:val="ConsTitle"/>
    <w:rsid w:val="00E54764"/>
    <w:pPr>
      <w:widowControl w:val="0"/>
      <w:jc w:val="both"/>
    </w:pPr>
    <w:rPr>
      <w:rFonts w:ascii="Arial" w:hAnsi="Arial"/>
      <w:b/>
      <w:sz w:val="16"/>
    </w:rPr>
  </w:style>
  <w:style w:type="paragraph" w:customStyle="1" w:styleId="Default">
    <w:name w:val="Default"/>
    <w:rsid w:val="009372B9"/>
    <w:pPr>
      <w:autoSpaceDE w:val="0"/>
      <w:autoSpaceDN w:val="0"/>
      <w:adjustRightInd w:val="0"/>
    </w:pPr>
    <w:rPr>
      <w:color w:val="000000"/>
      <w:sz w:val="24"/>
      <w:szCs w:val="24"/>
    </w:rPr>
  </w:style>
  <w:style w:type="paragraph" w:customStyle="1" w:styleId="13">
    <w:name w:val="стиль1"/>
    <w:basedOn w:val="a"/>
    <w:rsid w:val="00EC3BA2"/>
    <w:pPr>
      <w:spacing w:before="100" w:beforeAutospacing="1" w:after="100" w:afterAutospacing="1"/>
      <w:jc w:val="left"/>
    </w:pPr>
  </w:style>
  <w:style w:type="character" w:styleId="aff0">
    <w:name w:val="page number"/>
    <w:basedOn w:val="a0"/>
    <w:rsid w:val="00584F65"/>
  </w:style>
  <w:style w:type="table" w:customStyle="1" w:styleId="110">
    <w:name w:val="Сетка таблицы11"/>
    <w:basedOn w:val="a1"/>
    <w:next w:val="aa"/>
    <w:uiPriority w:val="59"/>
    <w:rsid w:val="009F2E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8567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und">
    <w:name w:val="found"/>
    <w:basedOn w:val="a0"/>
    <w:rsid w:val="007F2E3C"/>
  </w:style>
  <w:style w:type="table" w:customStyle="1" w:styleId="14">
    <w:name w:val="Сетка таблицы1"/>
    <w:basedOn w:val="a1"/>
    <w:next w:val="aa"/>
    <w:uiPriority w:val="59"/>
    <w:rsid w:val="007157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F54D5"/>
    <w:pPr>
      <w:suppressAutoHyphens/>
      <w:autoSpaceDN w:val="0"/>
      <w:spacing w:after="160"/>
      <w:textAlignment w:val="baseline"/>
    </w:pPr>
    <w:rPr>
      <w:rFonts w:ascii="Calibri" w:eastAsia="SimSun" w:hAnsi="Calibri" w:cs="Calibri"/>
      <w:kern w:val="3"/>
      <w:sz w:val="22"/>
      <w:szCs w:val="22"/>
      <w:lang w:eastAsia="en-US"/>
    </w:rPr>
  </w:style>
  <w:style w:type="table" w:customStyle="1" w:styleId="25">
    <w:name w:val="Сетка таблицы2"/>
    <w:basedOn w:val="a1"/>
    <w:next w:val="aa"/>
    <w:uiPriority w:val="59"/>
    <w:rsid w:val="008A6F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8580">
      <w:bodyDiv w:val="1"/>
      <w:marLeft w:val="0"/>
      <w:marRight w:val="0"/>
      <w:marTop w:val="0"/>
      <w:marBottom w:val="0"/>
      <w:divBdr>
        <w:top w:val="none" w:sz="0" w:space="0" w:color="auto"/>
        <w:left w:val="none" w:sz="0" w:space="0" w:color="auto"/>
        <w:bottom w:val="none" w:sz="0" w:space="0" w:color="auto"/>
        <w:right w:val="none" w:sz="0" w:space="0" w:color="auto"/>
      </w:divBdr>
    </w:div>
    <w:div w:id="62796915">
      <w:bodyDiv w:val="1"/>
      <w:marLeft w:val="0"/>
      <w:marRight w:val="0"/>
      <w:marTop w:val="0"/>
      <w:marBottom w:val="0"/>
      <w:divBdr>
        <w:top w:val="none" w:sz="0" w:space="0" w:color="auto"/>
        <w:left w:val="none" w:sz="0" w:space="0" w:color="auto"/>
        <w:bottom w:val="none" w:sz="0" w:space="0" w:color="auto"/>
        <w:right w:val="none" w:sz="0" w:space="0" w:color="auto"/>
      </w:divBdr>
    </w:div>
    <w:div w:id="67269229">
      <w:bodyDiv w:val="1"/>
      <w:marLeft w:val="0"/>
      <w:marRight w:val="0"/>
      <w:marTop w:val="0"/>
      <w:marBottom w:val="0"/>
      <w:divBdr>
        <w:top w:val="none" w:sz="0" w:space="0" w:color="auto"/>
        <w:left w:val="none" w:sz="0" w:space="0" w:color="auto"/>
        <w:bottom w:val="none" w:sz="0" w:space="0" w:color="auto"/>
        <w:right w:val="none" w:sz="0" w:space="0" w:color="auto"/>
      </w:divBdr>
    </w:div>
    <w:div w:id="137038037">
      <w:bodyDiv w:val="1"/>
      <w:marLeft w:val="0"/>
      <w:marRight w:val="0"/>
      <w:marTop w:val="0"/>
      <w:marBottom w:val="0"/>
      <w:divBdr>
        <w:top w:val="none" w:sz="0" w:space="0" w:color="auto"/>
        <w:left w:val="none" w:sz="0" w:space="0" w:color="auto"/>
        <w:bottom w:val="none" w:sz="0" w:space="0" w:color="auto"/>
        <w:right w:val="none" w:sz="0" w:space="0" w:color="auto"/>
      </w:divBdr>
    </w:div>
    <w:div w:id="188566138">
      <w:bodyDiv w:val="1"/>
      <w:marLeft w:val="0"/>
      <w:marRight w:val="0"/>
      <w:marTop w:val="0"/>
      <w:marBottom w:val="0"/>
      <w:divBdr>
        <w:top w:val="none" w:sz="0" w:space="0" w:color="auto"/>
        <w:left w:val="none" w:sz="0" w:space="0" w:color="auto"/>
        <w:bottom w:val="none" w:sz="0" w:space="0" w:color="auto"/>
        <w:right w:val="none" w:sz="0" w:space="0" w:color="auto"/>
      </w:divBdr>
      <w:divsChild>
        <w:div w:id="822508139">
          <w:marLeft w:val="0"/>
          <w:marRight w:val="0"/>
          <w:marTop w:val="0"/>
          <w:marBottom w:val="0"/>
          <w:divBdr>
            <w:top w:val="none" w:sz="0" w:space="0" w:color="auto"/>
            <w:left w:val="none" w:sz="0" w:space="0" w:color="auto"/>
            <w:bottom w:val="none" w:sz="0" w:space="0" w:color="auto"/>
            <w:right w:val="none" w:sz="0" w:space="0" w:color="auto"/>
          </w:divBdr>
          <w:divsChild>
            <w:div w:id="1250499781">
              <w:marLeft w:val="0"/>
              <w:marRight w:val="0"/>
              <w:marTop w:val="0"/>
              <w:marBottom w:val="0"/>
              <w:divBdr>
                <w:top w:val="none" w:sz="0" w:space="0" w:color="auto"/>
                <w:left w:val="none" w:sz="0" w:space="0" w:color="auto"/>
                <w:bottom w:val="none" w:sz="0" w:space="0" w:color="auto"/>
                <w:right w:val="none" w:sz="0" w:space="0" w:color="auto"/>
              </w:divBdr>
              <w:divsChild>
                <w:div w:id="1959021325">
                  <w:marLeft w:val="0"/>
                  <w:marRight w:val="0"/>
                  <w:marTop w:val="0"/>
                  <w:marBottom w:val="0"/>
                  <w:divBdr>
                    <w:top w:val="none" w:sz="0" w:space="0" w:color="auto"/>
                    <w:left w:val="none" w:sz="0" w:space="0" w:color="auto"/>
                    <w:bottom w:val="none" w:sz="0" w:space="0" w:color="auto"/>
                    <w:right w:val="none" w:sz="0" w:space="0" w:color="auto"/>
                  </w:divBdr>
                  <w:divsChild>
                    <w:div w:id="187571462">
                      <w:marLeft w:val="0"/>
                      <w:marRight w:val="0"/>
                      <w:marTop w:val="0"/>
                      <w:marBottom w:val="0"/>
                      <w:divBdr>
                        <w:top w:val="none" w:sz="0" w:space="0" w:color="auto"/>
                        <w:left w:val="none" w:sz="0" w:space="0" w:color="auto"/>
                        <w:bottom w:val="single" w:sz="6" w:space="0" w:color="CCCCCC"/>
                        <w:right w:val="none" w:sz="0" w:space="0" w:color="auto"/>
                      </w:divBdr>
                      <w:divsChild>
                        <w:div w:id="2001544255">
                          <w:marLeft w:val="0"/>
                          <w:marRight w:val="2160"/>
                          <w:marTop w:val="0"/>
                          <w:marBottom w:val="0"/>
                          <w:divBdr>
                            <w:top w:val="none" w:sz="0" w:space="0" w:color="auto"/>
                            <w:left w:val="none" w:sz="0" w:space="0" w:color="auto"/>
                            <w:bottom w:val="none" w:sz="0" w:space="0" w:color="auto"/>
                            <w:right w:val="none" w:sz="0" w:space="0" w:color="auto"/>
                          </w:divBdr>
                          <w:divsChild>
                            <w:div w:id="340426203">
                              <w:marLeft w:val="0"/>
                              <w:marRight w:val="0"/>
                              <w:marTop w:val="0"/>
                              <w:marBottom w:val="0"/>
                              <w:divBdr>
                                <w:top w:val="none" w:sz="0" w:space="0" w:color="auto"/>
                                <w:left w:val="none" w:sz="0" w:space="0" w:color="auto"/>
                                <w:bottom w:val="none" w:sz="0" w:space="0" w:color="auto"/>
                                <w:right w:val="none" w:sz="0" w:space="0" w:color="auto"/>
                              </w:divBdr>
                              <w:divsChild>
                                <w:div w:id="79522961">
                                  <w:marLeft w:val="0"/>
                                  <w:marRight w:val="0"/>
                                  <w:marTop w:val="0"/>
                                  <w:marBottom w:val="0"/>
                                  <w:divBdr>
                                    <w:top w:val="none" w:sz="0" w:space="0" w:color="auto"/>
                                    <w:left w:val="none" w:sz="0" w:space="0" w:color="auto"/>
                                    <w:bottom w:val="none" w:sz="0" w:space="0" w:color="auto"/>
                                    <w:right w:val="none" w:sz="0" w:space="0" w:color="auto"/>
                                  </w:divBdr>
                                  <w:divsChild>
                                    <w:div w:id="941761021">
                                      <w:marLeft w:val="100"/>
                                      <w:marRight w:val="0"/>
                                      <w:marTop w:val="0"/>
                                      <w:marBottom w:val="0"/>
                                      <w:divBdr>
                                        <w:top w:val="none" w:sz="0" w:space="0" w:color="auto"/>
                                        <w:left w:val="none" w:sz="0" w:space="0" w:color="auto"/>
                                        <w:bottom w:val="none" w:sz="0" w:space="0" w:color="auto"/>
                                        <w:right w:val="none" w:sz="0" w:space="0" w:color="auto"/>
                                      </w:divBdr>
                                      <w:divsChild>
                                        <w:div w:id="1124932258">
                                          <w:marLeft w:val="0"/>
                                          <w:marRight w:val="-10080"/>
                                          <w:marTop w:val="0"/>
                                          <w:marBottom w:val="0"/>
                                          <w:divBdr>
                                            <w:top w:val="none" w:sz="0" w:space="0" w:color="auto"/>
                                            <w:left w:val="none" w:sz="0" w:space="0" w:color="auto"/>
                                            <w:bottom w:val="none" w:sz="0" w:space="0" w:color="auto"/>
                                            <w:right w:val="none" w:sz="0" w:space="0" w:color="auto"/>
                                          </w:divBdr>
                                          <w:divsChild>
                                            <w:div w:id="125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44954">
      <w:bodyDiv w:val="1"/>
      <w:marLeft w:val="0"/>
      <w:marRight w:val="0"/>
      <w:marTop w:val="0"/>
      <w:marBottom w:val="0"/>
      <w:divBdr>
        <w:top w:val="none" w:sz="0" w:space="0" w:color="auto"/>
        <w:left w:val="none" w:sz="0" w:space="0" w:color="auto"/>
        <w:bottom w:val="none" w:sz="0" w:space="0" w:color="auto"/>
        <w:right w:val="none" w:sz="0" w:space="0" w:color="auto"/>
      </w:divBdr>
    </w:div>
    <w:div w:id="195657515">
      <w:bodyDiv w:val="1"/>
      <w:marLeft w:val="0"/>
      <w:marRight w:val="0"/>
      <w:marTop w:val="0"/>
      <w:marBottom w:val="0"/>
      <w:divBdr>
        <w:top w:val="none" w:sz="0" w:space="0" w:color="auto"/>
        <w:left w:val="none" w:sz="0" w:space="0" w:color="auto"/>
        <w:bottom w:val="none" w:sz="0" w:space="0" w:color="auto"/>
        <w:right w:val="none" w:sz="0" w:space="0" w:color="auto"/>
      </w:divBdr>
    </w:div>
    <w:div w:id="268122877">
      <w:bodyDiv w:val="1"/>
      <w:marLeft w:val="0"/>
      <w:marRight w:val="0"/>
      <w:marTop w:val="0"/>
      <w:marBottom w:val="0"/>
      <w:divBdr>
        <w:top w:val="none" w:sz="0" w:space="0" w:color="auto"/>
        <w:left w:val="none" w:sz="0" w:space="0" w:color="auto"/>
        <w:bottom w:val="none" w:sz="0" w:space="0" w:color="auto"/>
        <w:right w:val="none" w:sz="0" w:space="0" w:color="auto"/>
      </w:divBdr>
    </w:div>
    <w:div w:id="432289654">
      <w:bodyDiv w:val="1"/>
      <w:marLeft w:val="0"/>
      <w:marRight w:val="0"/>
      <w:marTop w:val="0"/>
      <w:marBottom w:val="0"/>
      <w:divBdr>
        <w:top w:val="none" w:sz="0" w:space="0" w:color="auto"/>
        <w:left w:val="none" w:sz="0" w:space="0" w:color="auto"/>
        <w:bottom w:val="none" w:sz="0" w:space="0" w:color="auto"/>
        <w:right w:val="none" w:sz="0" w:space="0" w:color="auto"/>
      </w:divBdr>
    </w:div>
    <w:div w:id="492336855">
      <w:bodyDiv w:val="1"/>
      <w:marLeft w:val="0"/>
      <w:marRight w:val="0"/>
      <w:marTop w:val="0"/>
      <w:marBottom w:val="0"/>
      <w:divBdr>
        <w:top w:val="none" w:sz="0" w:space="0" w:color="auto"/>
        <w:left w:val="none" w:sz="0" w:space="0" w:color="auto"/>
        <w:bottom w:val="none" w:sz="0" w:space="0" w:color="auto"/>
        <w:right w:val="none" w:sz="0" w:space="0" w:color="auto"/>
      </w:divBdr>
    </w:div>
    <w:div w:id="599528759">
      <w:bodyDiv w:val="1"/>
      <w:marLeft w:val="0"/>
      <w:marRight w:val="0"/>
      <w:marTop w:val="0"/>
      <w:marBottom w:val="0"/>
      <w:divBdr>
        <w:top w:val="none" w:sz="0" w:space="0" w:color="auto"/>
        <w:left w:val="none" w:sz="0" w:space="0" w:color="auto"/>
        <w:bottom w:val="none" w:sz="0" w:space="0" w:color="auto"/>
        <w:right w:val="none" w:sz="0" w:space="0" w:color="auto"/>
      </w:divBdr>
    </w:div>
    <w:div w:id="620840747">
      <w:bodyDiv w:val="1"/>
      <w:marLeft w:val="0"/>
      <w:marRight w:val="0"/>
      <w:marTop w:val="0"/>
      <w:marBottom w:val="0"/>
      <w:divBdr>
        <w:top w:val="none" w:sz="0" w:space="0" w:color="auto"/>
        <w:left w:val="none" w:sz="0" w:space="0" w:color="auto"/>
        <w:bottom w:val="none" w:sz="0" w:space="0" w:color="auto"/>
        <w:right w:val="none" w:sz="0" w:space="0" w:color="auto"/>
      </w:divBdr>
    </w:div>
    <w:div w:id="640425328">
      <w:bodyDiv w:val="1"/>
      <w:marLeft w:val="0"/>
      <w:marRight w:val="0"/>
      <w:marTop w:val="0"/>
      <w:marBottom w:val="0"/>
      <w:divBdr>
        <w:top w:val="none" w:sz="0" w:space="0" w:color="auto"/>
        <w:left w:val="none" w:sz="0" w:space="0" w:color="auto"/>
        <w:bottom w:val="none" w:sz="0" w:space="0" w:color="auto"/>
        <w:right w:val="none" w:sz="0" w:space="0" w:color="auto"/>
      </w:divBdr>
    </w:div>
    <w:div w:id="657684848">
      <w:bodyDiv w:val="1"/>
      <w:marLeft w:val="0"/>
      <w:marRight w:val="0"/>
      <w:marTop w:val="0"/>
      <w:marBottom w:val="0"/>
      <w:divBdr>
        <w:top w:val="none" w:sz="0" w:space="0" w:color="auto"/>
        <w:left w:val="none" w:sz="0" w:space="0" w:color="auto"/>
        <w:bottom w:val="none" w:sz="0" w:space="0" w:color="auto"/>
        <w:right w:val="none" w:sz="0" w:space="0" w:color="auto"/>
      </w:divBdr>
    </w:div>
    <w:div w:id="705914683">
      <w:bodyDiv w:val="1"/>
      <w:marLeft w:val="0"/>
      <w:marRight w:val="0"/>
      <w:marTop w:val="0"/>
      <w:marBottom w:val="0"/>
      <w:divBdr>
        <w:top w:val="none" w:sz="0" w:space="0" w:color="auto"/>
        <w:left w:val="none" w:sz="0" w:space="0" w:color="auto"/>
        <w:bottom w:val="none" w:sz="0" w:space="0" w:color="auto"/>
        <w:right w:val="none" w:sz="0" w:space="0" w:color="auto"/>
      </w:divBdr>
    </w:div>
    <w:div w:id="726802675">
      <w:bodyDiv w:val="1"/>
      <w:marLeft w:val="0"/>
      <w:marRight w:val="0"/>
      <w:marTop w:val="0"/>
      <w:marBottom w:val="0"/>
      <w:divBdr>
        <w:top w:val="none" w:sz="0" w:space="0" w:color="auto"/>
        <w:left w:val="none" w:sz="0" w:space="0" w:color="auto"/>
        <w:bottom w:val="none" w:sz="0" w:space="0" w:color="auto"/>
        <w:right w:val="none" w:sz="0" w:space="0" w:color="auto"/>
      </w:divBdr>
    </w:div>
    <w:div w:id="752166514">
      <w:bodyDiv w:val="1"/>
      <w:marLeft w:val="0"/>
      <w:marRight w:val="0"/>
      <w:marTop w:val="0"/>
      <w:marBottom w:val="0"/>
      <w:divBdr>
        <w:top w:val="none" w:sz="0" w:space="0" w:color="auto"/>
        <w:left w:val="none" w:sz="0" w:space="0" w:color="auto"/>
        <w:bottom w:val="none" w:sz="0" w:space="0" w:color="auto"/>
        <w:right w:val="none" w:sz="0" w:space="0" w:color="auto"/>
      </w:divBdr>
    </w:div>
    <w:div w:id="819806991">
      <w:bodyDiv w:val="1"/>
      <w:marLeft w:val="0"/>
      <w:marRight w:val="0"/>
      <w:marTop w:val="0"/>
      <w:marBottom w:val="0"/>
      <w:divBdr>
        <w:top w:val="none" w:sz="0" w:space="0" w:color="auto"/>
        <w:left w:val="none" w:sz="0" w:space="0" w:color="auto"/>
        <w:bottom w:val="none" w:sz="0" w:space="0" w:color="auto"/>
        <w:right w:val="none" w:sz="0" w:space="0" w:color="auto"/>
      </w:divBdr>
    </w:div>
    <w:div w:id="824395498">
      <w:bodyDiv w:val="1"/>
      <w:marLeft w:val="0"/>
      <w:marRight w:val="0"/>
      <w:marTop w:val="0"/>
      <w:marBottom w:val="0"/>
      <w:divBdr>
        <w:top w:val="none" w:sz="0" w:space="0" w:color="auto"/>
        <w:left w:val="none" w:sz="0" w:space="0" w:color="auto"/>
        <w:bottom w:val="none" w:sz="0" w:space="0" w:color="auto"/>
        <w:right w:val="none" w:sz="0" w:space="0" w:color="auto"/>
      </w:divBdr>
    </w:div>
    <w:div w:id="869532637">
      <w:bodyDiv w:val="1"/>
      <w:marLeft w:val="0"/>
      <w:marRight w:val="0"/>
      <w:marTop w:val="0"/>
      <w:marBottom w:val="0"/>
      <w:divBdr>
        <w:top w:val="none" w:sz="0" w:space="0" w:color="auto"/>
        <w:left w:val="none" w:sz="0" w:space="0" w:color="auto"/>
        <w:bottom w:val="none" w:sz="0" w:space="0" w:color="auto"/>
        <w:right w:val="none" w:sz="0" w:space="0" w:color="auto"/>
      </w:divBdr>
    </w:div>
    <w:div w:id="897399445">
      <w:bodyDiv w:val="1"/>
      <w:marLeft w:val="0"/>
      <w:marRight w:val="0"/>
      <w:marTop w:val="0"/>
      <w:marBottom w:val="0"/>
      <w:divBdr>
        <w:top w:val="none" w:sz="0" w:space="0" w:color="auto"/>
        <w:left w:val="none" w:sz="0" w:space="0" w:color="auto"/>
        <w:bottom w:val="none" w:sz="0" w:space="0" w:color="auto"/>
        <w:right w:val="none" w:sz="0" w:space="0" w:color="auto"/>
      </w:divBdr>
    </w:div>
    <w:div w:id="951933977">
      <w:bodyDiv w:val="1"/>
      <w:marLeft w:val="0"/>
      <w:marRight w:val="0"/>
      <w:marTop w:val="0"/>
      <w:marBottom w:val="0"/>
      <w:divBdr>
        <w:top w:val="none" w:sz="0" w:space="0" w:color="auto"/>
        <w:left w:val="none" w:sz="0" w:space="0" w:color="auto"/>
        <w:bottom w:val="none" w:sz="0" w:space="0" w:color="auto"/>
        <w:right w:val="none" w:sz="0" w:space="0" w:color="auto"/>
      </w:divBdr>
    </w:div>
    <w:div w:id="962462377">
      <w:bodyDiv w:val="1"/>
      <w:marLeft w:val="0"/>
      <w:marRight w:val="0"/>
      <w:marTop w:val="0"/>
      <w:marBottom w:val="0"/>
      <w:divBdr>
        <w:top w:val="none" w:sz="0" w:space="0" w:color="auto"/>
        <w:left w:val="none" w:sz="0" w:space="0" w:color="auto"/>
        <w:bottom w:val="none" w:sz="0" w:space="0" w:color="auto"/>
        <w:right w:val="none" w:sz="0" w:space="0" w:color="auto"/>
      </w:divBdr>
    </w:div>
    <w:div w:id="983586966">
      <w:bodyDiv w:val="1"/>
      <w:marLeft w:val="0"/>
      <w:marRight w:val="0"/>
      <w:marTop w:val="0"/>
      <w:marBottom w:val="0"/>
      <w:divBdr>
        <w:top w:val="none" w:sz="0" w:space="0" w:color="auto"/>
        <w:left w:val="none" w:sz="0" w:space="0" w:color="auto"/>
        <w:bottom w:val="none" w:sz="0" w:space="0" w:color="auto"/>
        <w:right w:val="none" w:sz="0" w:space="0" w:color="auto"/>
      </w:divBdr>
    </w:div>
    <w:div w:id="1040937983">
      <w:bodyDiv w:val="1"/>
      <w:marLeft w:val="0"/>
      <w:marRight w:val="0"/>
      <w:marTop w:val="0"/>
      <w:marBottom w:val="0"/>
      <w:divBdr>
        <w:top w:val="none" w:sz="0" w:space="0" w:color="auto"/>
        <w:left w:val="none" w:sz="0" w:space="0" w:color="auto"/>
        <w:bottom w:val="none" w:sz="0" w:space="0" w:color="auto"/>
        <w:right w:val="none" w:sz="0" w:space="0" w:color="auto"/>
      </w:divBdr>
    </w:div>
    <w:div w:id="1054426318">
      <w:bodyDiv w:val="1"/>
      <w:marLeft w:val="0"/>
      <w:marRight w:val="0"/>
      <w:marTop w:val="0"/>
      <w:marBottom w:val="0"/>
      <w:divBdr>
        <w:top w:val="none" w:sz="0" w:space="0" w:color="auto"/>
        <w:left w:val="none" w:sz="0" w:space="0" w:color="auto"/>
        <w:bottom w:val="none" w:sz="0" w:space="0" w:color="auto"/>
        <w:right w:val="none" w:sz="0" w:space="0" w:color="auto"/>
      </w:divBdr>
    </w:div>
    <w:div w:id="1065027916">
      <w:bodyDiv w:val="1"/>
      <w:marLeft w:val="0"/>
      <w:marRight w:val="0"/>
      <w:marTop w:val="0"/>
      <w:marBottom w:val="0"/>
      <w:divBdr>
        <w:top w:val="none" w:sz="0" w:space="0" w:color="auto"/>
        <w:left w:val="none" w:sz="0" w:space="0" w:color="auto"/>
        <w:bottom w:val="none" w:sz="0" w:space="0" w:color="auto"/>
        <w:right w:val="none" w:sz="0" w:space="0" w:color="auto"/>
      </w:divBdr>
    </w:div>
    <w:div w:id="1071270536">
      <w:bodyDiv w:val="1"/>
      <w:marLeft w:val="0"/>
      <w:marRight w:val="0"/>
      <w:marTop w:val="0"/>
      <w:marBottom w:val="0"/>
      <w:divBdr>
        <w:top w:val="none" w:sz="0" w:space="0" w:color="auto"/>
        <w:left w:val="none" w:sz="0" w:space="0" w:color="auto"/>
        <w:bottom w:val="none" w:sz="0" w:space="0" w:color="auto"/>
        <w:right w:val="none" w:sz="0" w:space="0" w:color="auto"/>
      </w:divBdr>
    </w:div>
    <w:div w:id="1109742076">
      <w:bodyDiv w:val="1"/>
      <w:marLeft w:val="0"/>
      <w:marRight w:val="0"/>
      <w:marTop w:val="0"/>
      <w:marBottom w:val="0"/>
      <w:divBdr>
        <w:top w:val="none" w:sz="0" w:space="0" w:color="auto"/>
        <w:left w:val="none" w:sz="0" w:space="0" w:color="auto"/>
        <w:bottom w:val="none" w:sz="0" w:space="0" w:color="auto"/>
        <w:right w:val="none" w:sz="0" w:space="0" w:color="auto"/>
      </w:divBdr>
    </w:div>
    <w:div w:id="1133985450">
      <w:bodyDiv w:val="1"/>
      <w:marLeft w:val="0"/>
      <w:marRight w:val="0"/>
      <w:marTop w:val="0"/>
      <w:marBottom w:val="0"/>
      <w:divBdr>
        <w:top w:val="none" w:sz="0" w:space="0" w:color="auto"/>
        <w:left w:val="none" w:sz="0" w:space="0" w:color="auto"/>
        <w:bottom w:val="none" w:sz="0" w:space="0" w:color="auto"/>
        <w:right w:val="none" w:sz="0" w:space="0" w:color="auto"/>
      </w:divBdr>
    </w:div>
    <w:div w:id="1195729268">
      <w:bodyDiv w:val="1"/>
      <w:marLeft w:val="0"/>
      <w:marRight w:val="0"/>
      <w:marTop w:val="0"/>
      <w:marBottom w:val="0"/>
      <w:divBdr>
        <w:top w:val="none" w:sz="0" w:space="0" w:color="auto"/>
        <w:left w:val="none" w:sz="0" w:space="0" w:color="auto"/>
        <w:bottom w:val="none" w:sz="0" w:space="0" w:color="auto"/>
        <w:right w:val="none" w:sz="0" w:space="0" w:color="auto"/>
      </w:divBdr>
    </w:div>
    <w:div w:id="1213542755">
      <w:bodyDiv w:val="1"/>
      <w:marLeft w:val="0"/>
      <w:marRight w:val="0"/>
      <w:marTop w:val="0"/>
      <w:marBottom w:val="0"/>
      <w:divBdr>
        <w:top w:val="none" w:sz="0" w:space="0" w:color="auto"/>
        <w:left w:val="none" w:sz="0" w:space="0" w:color="auto"/>
        <w:bottom w:val="none" w:sz="0" w:space="0" w:color="auto"/>
        <w:right w:val="none" w:sz="0" w:space="0" w:color="auto"/>
      </w:divBdr>
    </w:div>
    <w:div w:id="1224029210">
      <w:bodyDiv w:val="1"/>
      <w:marLeft w:val="0"/>
      <w:marRight w:val="0"/>
      <w:marTop w:val="0"/>
      <w:marBottom w:val="0"/>
      <w:divBdr>
        <w:top w:val="none" w:sz="0" w:space="0" w:color="auto"/>
        <w:left w:val="none" w:sz="0" w:space="0" w:color="auto"/>
        <w:bottom w:val="none" w:sz="0" w:space="0" w:color="auto"/>
        <w:right w:val="none" w:sz="0" w:space="0" w:color="auto"/>
      </w:divBdr>
    </w:div>
    <w:div w:id="1255017735">
      <w:bodyDiv w:val="1"/>
      <w:marLeft w:val="0"/>
      <w:marRight w:val="0"/>
      <w:marTop w:val="0"/>
      <w:marBottom w:val="0"/>
      <w:divBdr>
        <w:top w:val="none" w:sz="0" w:space="0" w:color="auto"/>
        <w:left w:val="none" w:sz="0" w:space="0" w:color="auto"/>
        <w:bottom w:val="none" w:sz="0" w:space="0" w:color="auto"/>
        <w:right w:val="none" w:sz="0" w:space="0" w:color="auto"/>
      </w:divBdr>
    </w:div>
    <w:div w:id="1281259644">
      <w:bodyDiv w:val="1"/>
      <w:marLeft w:val="0"/>
      <w:marRight w:val="0"/>
      <w:marTop w:val="0"/>
      <w:marBottom w:val="0"/>
      <w:divBdr>
        <w:top w:val="none" w:sz="0" w:space="0" w:color="auto"/>
        <w:left w:val="none" w:sz="0" w:space="0" w:color="auto"/>
        <w:bottom w:val="none" w:sz="0" w:space="0" w:color="auto"/>
        <w:right w:val="none" w:sz="0" w:space="0" w:color="auto"/>
      </w:divBdr>
    </w:div>
    <w:div w:id="1294821972">
      <w:bodyDiv w:val="1"/>
      <w:marLeft w:val="0"/>
      <w:marRight w:val="0"/>
      <w:marTop w:val="0"/>
      <w:marBottom w:val="0"/>
      <w:divBdr>
        <w:top w:val="none" w:sz="0" w:space="0" w:color="auto"/>
        <w:left w:val="none" w:sz="0" w:space="0" w:color="auto"/>
        <w:bottom w:val="none" w:sz="0" w:space="0" w:color="auto"/>
        <w:right w:val="none" w:sz="0" w:space="0" w:color="auto"/>
      </w:divBdr>
    </w:div>
    <w:div w:id="1320033695">
      <w:bodyDiv w:val="1"/>
      <w:marLeft w:val="0"/>
      <w:marRight w:val="0"/>
      <w:marTop w:val="0"/>
      <w:marBottom w:val="0"/>
      <w:divBdr>
        <w:top w:val="none" w:sz="0" w:space="0" w:color="auto"/>
        <w:left w:val="none" w:sz="0" w:space="0" w:color="auto"/>
        <w:bottom w:val="none" w:sz="0" w:space="0" w:color="auto"/>
        <w:right w:val="none" w:sz="0" w:space="0" w:color="auto"/>
      </w:divBdr>
    </w:div>
    <w:div w:id="1329752932">
      <w:bodyDiv w:val="1"/>
      <w:marLeft w:val="0"/>
      <w:marRight w:val="0"/>
      <w:marTop w:val="0"/>
      <w:marBottom w:val="0"/>
      <w:divBdr>
        <w:top w:val="none" w:sz="0" w:space="0" w:color="auto"/>
        <w:left w:val="none" w:sz="0" w:space="0" w:color="auto"/>
        <w:bottom w:val="none" w:sz="0" w:space="0" w:color="auto"/>
        <w:right w:val="none" w:sz="0" w:space="0" w:color="auto"/>
      </w:divBdr>
    </w:div>
    <w:div w:id="1399285279">
      <w:bodyDiv w:val="1"/>
      <w:marLeft w:val="0"/>
      <w:marRight w:val="0"/>
      <w:marTop w:val="0"/>
      <w:marBottom w:val="0"/>
      <w:divBdr>
        <w:top w:val="none" w:sz="0" w:space="0" w:color="auto"/>
        <w:left w:val="none" w:sz="0" w:space="0" w:color="auto"/>
        <w:bottom w:val="none" w:sz="0" w:space="0" w:color="auto"/>
        <w:right w:val="none" w:sz="0" w:space="0" w:color="auto"/>
      </w:divBdr>
    </w:div>
    <w:div w:id="1451322813">
      <w:bodyDiv w:val="1"/>
      <w:marLeft w:val="0"/>
      <w:marRight w:val="0"/>
      <w:marTop w:val="0"/>
      <w:marBottom w:val="0"/>
      <w:divBdr>
        <w:top w:val="none" w:sz="0" w:space="0" w:color="auto"/>
        <w:left w:val="none" w:sz="0" w:space="0" w:color="auto"/>
        <w:bottom w:val="none" w:sz="0" w:space="0" w:color="auto"/>
        <w:right w:val="none" w:sz="0" w:space="0" w:color="auto"/>
      </w:divBdr>
    </w:div>
    <w:div w:id="1471901901">
      <w:bodyDiv w:val="1"/>
      <w:marLeft w:val="0"/>
      <w:marRight w:val="0"/>
      <w:marTop w:val="0"/>
      <w:marBottom w:val="0"/>
      <w:divBdr>
        <w:top w:val="none" w:sz="0" w:space="0" w:color="auto"/>
        <w:left w:val="none" w:sz="0" w:space="0" w:color="auto"/>
        <w:bottom w:val="none" w:sz="0" w:space="0" w:color="auto"/>
        <w:right w:val="none" w:sz="0" w:space="0" w:color="auto"/>
      </w:divBdr>
    </w:div>
    <w:div w:id="1499685481">
      <w:bodyDiv w:val="1"/>
      <w:marLeft w:val="0"/>
      <w:marRight w:val="0"/>
      <w:marTop w:val="0"/>
      <w:marBottom w:val="0"/>
      <w:divBdr>
        <w:top w:val="none" w:sz="0" w:space="0" w:color="auto"/>
        <w:left w:val="none" w:sz="0" w:space="0" w:color="auto"/>
        <w:bottom w:val="none" w:sz="0" w:space="0" w:color="auto"/>
        <w:right w:val="none" w:sz="0" w:space="0" w:color="auto"/>
      </w:divBdr>
    </w:div>
    <w:div w:id="1501044110">
      <w:bodyDiv w:val="1"/>
      <w:marLeft w:val="0"/>
      <w:marRight w:val="0"/>
      <w:marTop w:val="0"/>
      <w:marBottom w:val="0"/>
      <w:divBdr>
        <w:top w:val="none" w:sz="0" w:space="0" w:color="auto"/>
        <w:left w:val="none" w:sz="0" w:space="0" w:color="auto"/>
        <w:bottom w:val="none" w:sz="0" w:space="0" w:color="auto"/>
        <w:right w:val="none" w:sz="0" w:space="0" w:color="auto"/>
      </w:divBdr>
    </w:div>
    <w:div w:id="1523980942">
      <w:bodyDiv w:val="1"/>
      <w:marLeft w:val="0"/>
      <w:marRight w:val="0"/>
      <w:marTop w:val="0"/>
      <w:marBottom w:val="0"/>
      <w:divBdr>
        <w:top w:val="none" w:sz="0" w:space="0" w:color="auto"/>
        <w:left w:val="none" w:sz="0" w:space="0" w:color="auto"/>
        <w:bottom w:val="none" w:sz="0" w:space="0" w:color="auto"/>
        <w:right w:val="none" w:sz="0" w:space="0" w:color="auto"/>
      </w:divBdr>
    </w:div>
    <w:div w:id="1575699420">
      <w:bodyDiv w:val="1"/>
      <w:marLeft w:val="0"/>
      <w:marRight w:val="0"/>
      <w:marTop w:val="0"/>
      <w:marBottom w:val="0"/>
      <w:divBdr>
        <w:top w:val="none" w:sz="0" w:space="0" w:color="auto"/>
        <w:left w:val="none" w:sz="0" w:space="0" w:color="auto"/>
        <w:bottom w:val="none" w:sz="0" w:space="0" w:color="auto"/>
        <w:right w:val="none" w:sz="0" w:space="0" w:color="auto"/>
      </w:divBdr>
    </w:div>
    <w:div w:id="1612736264">
      <w:bodyDiv w:val="1"/>
      <w:marLeft w:val="0"/>
      <w:marRight w:val="0"/>
      <w:marTop w:val="0"/>
      <w:marBottom w:val="0"/>
      <w:divBdr>
        <w:top w:val="none" w:sz="0" w:space="0" w:color="auto"/>
        <w:left w:val="none" w:sz="0" w:space="0" w:color="auto"/>
        <w:bottom w:val="none" w:sz="0" w:space="0" w:color="auto"/>
        <w:right w:val="none" w:sz="0" w:space="0" w:color="auto"/>
      </w:divBdr>
    </w:div>
    <w:div w:id="1614938183">
      <w:bodyDiv w:val="1"/>
      <w:marLeft w:val="0"/>
      <w:marRight w:val="0"/>
      <w:marTop w:val="0"/>
      <w:marBottom w:val="0"/>
      <w:divBdr>
        <w:top w:val="none" w:sz="0" w:space="0" w:color="auto"/>
        <w:left w:val="none" w:sz="0" w:space="0" w:color="auto"/>
        <w:bottom w:val="none" w:sz="0" w:space="0" w:color="auto"/>
        <w:right w:val="none" w:sz="0" w:space="0" w:color="auto"/>
      </w:divBdr>
    </w:div>
    <w:div w:id="1625115366">
      <w:bodyDiv w:val="1"/>
      <w:marLeft w:val="0"/>
      <w:marRight w:val="0"/>
      <w:marTop w:val="0"/>
      <w:marBottom w:val="0"/>
      <w:divBdr>
        <w:top w:val="none" w:sz="0" w:space="0" w:color="auto"/>
        <w:left w:val="none" w:sz="0" w:space="0" w:color="auto"/>
        <w:bottom w:val="none" w:sz="0" w:space="0" w:color="auto"/>
        <w:right w:val="none" w:sz="0" w:space="0" w:color="auto"/>
      </w:divBdr>
    </w:div>
    <w:div w:id="1646159971">
      <w:bodyDiv w:val="1"/>
      <w:marLeft w:val="0"/>
      <w:marRight w:val="0"/>
      <w:marTop w:val="0"/>
      <w:marBottom w:val="0"/>
      <w:divBdr>
        <w:top w:val="none" w:sz="0" w:space="0" w:color="auto"/>
        <w:left w:val="none" w:sz="0" w:space="0" w:color="auto"/>
        <w:bottom w:val="none" w:sz="0" w:space="0" w:color="auto"/>
        <w:right w:val="none" w:sz="0" w:space="0" w:color="auto"/>
      </w:divBdr>
    </w:div>
    <w:div w:id="1662731483">
      <w:bodyDiv w:val="1"/>
      <w:marLeft w:val="0"/>
      <w:marRight w:val="0"/>
      <w:marTop w:val="0"/>
      <w:marBottom w:val="0"/>
      <w:divBdr>
        <w:top w:val="none" w:sz="0" w:space="0" w:color="auto"/>
        <w:left w:val="none" w:sz="0" w:space="0" w:color="auto"/>
        <w:bottom w:val="none" w:sz="0" w:space="0" w:color="auto"/>
        <w:right w:val="none" w:sz="0" w:space="0" w:color="auto"/>
      </w:divBdr>
    </w:div>
    <w:div w:id="1736783225">
      <w:bodyDiv w:val="1"/>
      <w:marLeft w:val="0"/>
      <w:marRight w:val="0"/>
      <w:marTop w:val="0"/>
      <w:marBottom w:val="0"/>
      <w:divBdr>
        <w:top w:val="none" w:sz="0" w:space="0" w:color="auto"/>
        <w:left w:val="none" w:sz="0" w:space="0" w:color="auto"/>
        <w:bottom w:val="none" w:sz="0" w:space="0" w:color="auto"/>
        <w:right w:val="none" w:sz="0" w:space="0" w:color="auto"/>
      </w:divBdr>
    </w:div>
    <w:div w:id="1754155712">
      <w:bodyDiv w:val="1"/>
      <w:marLeft w:val="0"/>
      <w:marRight w:val="0"/>
      <w:marTop w:val="0"/>
      <w:marBottom w:val="0"/>
      <w:divBdr>
        <w:top w:val="none" w:sz="0" w:space="0" w:color="auto"/>
        <w:left w:val="none" w:sz="0" w:space="0" w:color="auto"/>
        <w:bottom w:val="none" w:sz="0" w:space="0" w:color="auto"/>
        <w:right w:val="none" w:sz="0" w:space="0" w:color="auto"/>
      </w:divBdr>
    </w:div>
    <w:div w:id="1766220330">
      <w:bodyDiv w:val="1"/>
      <w:marLeft w:val="0"/>
      <w:marRight w:val="0"/>
      <w:marTop w:val="0"/>
      <w:marBottom w:val="0"/>
      <w:divBdr>
        <w:top w:val="none" w:sz="0" w:space="0" w:color="auto"/>
        <w:left w:val="none" w:sz="0" w:space="0" w:color="auto"/>
        <w:bottom w:val="none" w:sz="0" w:space="0" w:color="auto"/>
        <w:right w:val="none" w:sz="0" w:space="0" w:color="auto"/>
      </w:divBdr>
    </w:div>
    <w:div w:id="1804151164">
      <w:bodyDiv w:val="1"/>
      <w:marLeft w:val="0"/>
      <w:marRight w:val="0"/>
      <w:marTop w:val="0"/>
      <w:marBottom w:val="0"/>
      <w:divBdr>
        <w:top w:val="none" w:sz="0" w:space="0" w:color="auto"/>
        <w:left w:val="none" w:sz="0" w:space="0" w:color="auto"/>
        <w:bottom w:val="none" w:sz="0" w:space="0" w:color="auto"/>
        <w:right w:val="none" w:sz="0" w:space="0" w:color="auto"/>
      </w:divBdr>
      <w:divsChild>
        <w:div w:id="2108308690">
          <w:marLeft w:val="0"/>
          <w:marRight w:val="0"/>
          <w:marTop w:val="0"/>
          <w:marBottom w:val="0"/>
          <w:divBdr>
            <w:top w:val="none" w:sz="0" w:space="0" w:color="auto"/>
            <w:left w:val="none" w:sz="0" w:space="0" w:color="auto"/>
            <w:bottom w:val="none" w:sz="0" w:space="0" w:color="auto"/>
            <w:right w:val="none" w:sz="0" w:space="0" w:color="auto"/>
          </w:divBdr>
          <w:divsChild>
            <w:div w:id="1679195515">
              <w:marLeft w:val="0"/>
              <w:marRight w:val="0"/>
              <w:marTop w:val="0"/>
              <w:marBottom w:val="0"/>
              <w:divBdr>
                <w:top w:val="none" w:sz="0" w:space="0" w:color="auto"/>
                <w:left w:val="none" w:sz="0" w:space="0" w:color="auto"/>
                <w:bottom w:val="none" w:sz="0" w:space="0" w:color="auto"/>
                <w:right w:val="none" w:sz="0" w:space="0" w:color="auto"/>
              </w:divBdr>
              <w:divsChild>
                <w:div w:id="1629897632">
                  <w:marLeft w:val="0"/>
                  <w:marRight w:val="0"/>
                  <w:marTop w:val="0"/>
                  <w:marBottom w:val="0"/>
                  <w:divBdr>
                    <w:top w:val="none" w:sz="0" w:space="0" w:color="auto"/>
                    <w:left w:val="none" w:sz="0" w:space="0" w:color="auto"/>
                    <w:bottom w:val="none" w:sz="0" w:space="0" w:color="auto"/>
                    <w:right w:val="none" w:sz="0" w:space="0" w:color="auto"/>
                  </w:divBdr>
                  <w:divsChild>
                    <w:div w:id="582105601">
                      <w:marLeft w:val="0"/>
                      <w:marRight w:val="0"/>
                      <w:marTop w:val="0"/>
                      <w:marBottom w:val="0"/>
                      <w:divBdr>
                        <w:top w:val="none" w:sz="0" w:space="0" w:color="auto"/>
                        <w:left w:val="none" w:sz="0" w:space="0" w:color="auto"/>
                        <w:bottom w:val="none" w:sz="0" w:space="0" w:color="auto"/>
                        <w:right w:val="none" w:sz="0" w:space="0" w:color="auto"/>
                      </w:divBdr>
                      <w:divsChild>
                        <w:div w:id="1124809629">
                          <w:marLeft w:val="0"/>
                          <w:marRight w:val="0"/>
                          <w:marTop w:val="0"/>
                          <w:marBottom w:val="0"/>
                          <w:divBdr>
                            <w:top w:val="none" w:sz="0" w:space="0" w:color="auto"/>
                            <w:left w:val="none" w:sz="0" w:space="0" w:color="auto"/>
                            <w:bottom w:val="none" w:sz="0" w:space="0" w:color="auto"/>
                            <w:right w:val="none" w:sz="0" w:space="0" w:color="auto"/>
                          </w:divBdr>
                          <w:divsChild>
                            <w:div w:id="1985309925">
                              <w:marLeft w:val="0"/>
                              <w:marRight w:val="0"/>
                              <w:marTop w:val="0"/>
                              <w:marBottom w:val="0"/>
                              <w:divBdr>
                                <w:top w:val="none" w:sz="0" w:space="0" w:color="auto"/>
                                <w:left w:val="none" w:sz="0" w:space="0" w:color="auto"/>
                                <w:bottom w:val="none" w:sz="0" w:space="0" w:color="auto"/>
                                <w:right w:val="none" w:sz="0" w:space="0" w:color="auto"/>
                              </w:divBdr>
                              <w:divsChild>
                                <w:div w:id="669257508">
                                  <w:marLeft w:val="0"/>
                                  <w:marRight w:val="0"/>
                                  <w:marTop w:val="0"/>
                                  <w:marBottom w:val="0"/>
                                  <w:divBdr>
                                    <w:top w:val="none" w:sz="0" w:space="0" w:color="auto"/>
                                    <w:left w:val="none" w:sz="0" w:space="0" w:color="auto"/>
                                    <w:bottom w:val="none" w:sz="0" w:space="0" w:color="auto"/>
                                    <w:right w:val="none" w:sz="0" w:space="0" w:color="auto"/>
                                  </w:divBdr>
                                  <w:divsChild>
                                    <w:div w:id="1121649502">
                                      <w:marLeft w:val="0"/>
                                      <w:marRight w:val="0"/>
                                      <w:marTop w:val="0"/>
                                      <w:marBottom w:val="0"/>
                                      <w:divBdr>
                                        <w:top w:val="none" w:sz="0" w:space="0" w:color="auto"/>
                                        <w:left w:val="none" w:sz="0" w:space="0" w:color="auto"/>
                                        <w:bottom w:val="none" w:sz="0" w:space="0" w:color="auto"/>
                                        <w:right w:val="none" w:sz="0" w:space="0" w:color="auto"/>
                                      </w:divBdr>
                                      <w:divsChild>
                                        <w:div w:id="1374038174">
                                          <w:marLeft w:val="0"/>
                                          <w:marRight w:val="0"/>
                                          <w:marTop w:val="0"/>
                                          <w:marBottom w:val="0"/>
                                          <w:divBdr>
                                            <w:top w:val="none" w:sz="0" w:space="0" w:color="auto"/>
                                            <w:left w:val="none" w:sz="0" w:space="0" w:color="auto"/>
                                            <w:bottom w:val="none" w:sz="0" w:space="0" w:color="auto"/>
                                            <w:right w:val="none" w:sz="0" w:space="0" w:color="auto"/>
                                          </w:divBdr>
                                          <w:divsChild>
                                            <w:div w:id="1895071348">
                                              <w:marLeft w:val="0"/>
                                              <w:marRight w:val="0"/>
                                              <w:marTop w:val="0"/>
                                              <w:marBottom w:val="0"/>
                                              <w:divBdr>
                                                <w:top w:val="none" w:sz="0" w:space="0" w:color="auto"/>
                                                <w:left w:val="none" w:sz="0" w:space="0" w:color="auto"/>
                                                <w:bottom w:val="none" w:sz="0" w:space="0" w:color="auto"/>
                                                <w:right w:val="none" w:sz="0" w:space="0" w:color="auto"/>
                                              </w:divBdr>
                                              <w:divsChild>
                                                <w:div w:id="1494443038">
                                                  <w:marLeft w:val="0"/>
                                                  <w:marRight w:val="0"/>
                                                  <w:marTop w:val="0"/>
                                                  <w:marBottom w:val="0"/>
                                                  <w:divBdr>
                                                    <w:top w:val="none" w:sz="0" w:space="0" w:color="auto"/>
                                                    <w:left w:val="none" w:sz="0" w:space="0" w:color="auto"/>
                                                    <w:bottom w:val="none" w:sz="0" w:space="0" w:color="auto"/>
                                                    <w:right w:val="none" w:sz="0" w:space="0" w:color="auto"/>
                                                  </w:divBdr>
                                                  <w:divsChild>
                                                    <w:div w:id="24405291">
                                                      <w:marLeft w:val="0"/>
                                                      <w:marRight w:val="0"/>
                                                      <w:marTop w:val="0"/>
                                                      <w:marBottom w:val="0"/>
                                                      <w:divBdr>
                                                        <w:top w:val="none" w:sz="0" w:space="0" w:color="auto"/>
                                                        <w:left w:val="none" w:sz="0" w:space="0" w:color="auto"/>
                                                        <w:bottom w:val="none" w:sz="0" w:space="0" w:color="auto"/>
                                                        <w:right w:val="none" w:sz="0" w:space="0" w:color="auto"/>
                                                      </w:divBdr>
                                                      <w:divsChild>
                                                        <w:div w:id="1134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8497087">
      <w:bodyDiv w:val="1"/>
      <w:marLeft w:val="0"/>
      <w:marRight w:val="0"/>
      <w:marTop w:val="0"/>
      <w:marBottom w:val="0"/>
      <w:divBdr>
        <w:top w:val="none" w:sz="0" w:space="0" w:color="auto"/>
        <w:left w:val="none" w:sz="0" w:space="0" w:color="auto"/>
        <w:bottom w:val="none" w:sz="0" w:space="0" w:color="auto"/>
        <w:right w:val="none" w:sz="0" w:space="0" w:color="auto"/>
      </w:divBdr>
    </w:div>
    <w:div w:id="1878621274">
      <w:bodyDiv w:val="1"/>
      <w:marLeft w:val="0"/>
      <w:marRight w:val="0"/>
      <w:marTop w:val="0"/>
      <w:marBottom w:val="0"/>
      <w:divBdr>
        <w:top w:val="none" w:sz="0" w:space="0" w:color="auto"/>
        <w:left w:val="none" w:sz="0" w:space="0" w:color="auto"/>
        <w:bottom w:val="none" w:sz="0" w:space="0" w:color="auto"/>
        <w:right w:val="none" w:sz="0" w:space="0" w:color="auto"/>
      </w:divBdr>
    </w:div>
    <w:div w:id="1907570771">
      <w:bodyDiv w:val="1"/>
      <w:marLeft w:val="0"/>
      <w:marRight w:val="0"/>
      <w:marTop w:val="0"/>
      <w:marBottom w:val="0"/>
      <w:divBdr>
        <w:top w:val="none" w:sz="0" w:space="0" w:color="auto"/>
        <w:left w:val="none" w:sz="0" w:space="0" w:color="auto"/>
        <w:bottom w:val="none" w:sz="0" w:space="0" w:color="auto"/>
        <w:right w:val="none" w:sz="0" w:space="0" w:color="auto"/>
      </w:divBdr>
    </w:div>
    <w:div w:id="1942302099">
      <w:bodyDiv w:val="1"/>
      <w:marLeft w:val="0"/>
      <w:marRight w:val="0"/>
      <w:marTop w:val="0"/>
      <w:marBottom w:val="0"/>
      <w:divBdr>
        <w:top w:val="none" w:sz="0" w:space="0" w:color="auto"/>
        <w:left w:val="none" w:sz="0" w:space="0" w:color="auto"/>
        <w:bottom w:val="none" w:sz="0" w:space="0" w:color="auto"/>
        <w:right w:val="none" w:sz="0" w:space="0" w:color="auto"/>
      </w:divBdr>
    </w:div>
    <w:div w:id="1972325187">
      <w:bodyDiv w:val="1"/>
      <w:marLeft w:val="0"/>
      <w:marRight w:val="0"/>
      <w:marTop w:val="0"/>
      <w:marBottom w:val="0"/>
      <w:divBdr>
        <w:top w:val="none" w:sz="0" w:space="0" w:color="auto"/>
        <w:left w:val="none" w:sz="0" w:space="0" w:color="auto"/>
        <w:bottom w:val="none" w:sz="0" w:space="0" w:color="auto"/>
        <w:right w:val="none" w:sz="0" w:space="0" w:color="auto"/>
      </w:divBdr>
    </w:div>
    <w:div w:id="2008246232">
      <w:bodyDiv w:val="1"/>
      <w:marLeft w:val="0"/>
      <w:marRight w:val="0"/>
      <w:marTop w:val="0"/>
      <w:marBottom w:val="0"/>
      <w:divBdr>
        <w:top w:val="none" w:sz="0" w:space="0" w:color="auto"/>
        <w:left w:val="none" w:sz="0" w:space="0" w:color="auto"/>
        <w:bottom w:val="none" w:sz="0" w:space="0" w:color="auto"/>
        <w:right w:val="none" w:sz="0" w:space="0" w:color="auto"/>
      </w:divBdr>
    </w:div>
    <w:div w:id="2071462810">
      <w:bodyDiv w:val="1"/>
      <w:marLeft w:val="0"/>
      <w:marRight w:val="0"/>
      <w:marTop w:val="0"/>
      <w:marBottom w:val="0"/>
      <w:divBdr>
        <w:top w:val="none" w:sz="0" w:space="0" w:color="auto"/>
        <w:left w:val="none" w:sz="0" w:space="0" w:color="auto"/>
        <w:bottom w:val="none" w:sz="0" w:space="0" w:color="auto"/>
        <w:right w:val="none" w:sz="0" w:space="0" w:color="auto"/>
      </w:divBdr>
    </w:div>
    <w:div w:id="2121484566">
      <w:bodyDiv w:val="1"/>
      <w:marLeft w:val="0"/>
      <w:marRight w:val="0"/>
      <w:marTop w:val="0"/>
      <w:marBottom w:val="0"/>
      <w:divBdr>
        <w:top w:val="none" w:sz="0" w:space="0" w:color="auto"/>
        <w:left w:val="none" w:sz="0" w:space="0" w:color="auto"/>
        <w:bottom w:val="none" w:sz="0" w:space="0" w:color="auto"/>
        <w:right w:val="none" w:sz="0" w:space="0" w:color="auto"/>
      </w:divBdr>
    </w:div>
    <w:div w:id="21421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5F666-5DBB-47F6-9ACE-496BB526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17</Pages>
  <Words>7290</Words>
  <Characters>41554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ПРОМЫШЛЕННОСТЬ</vt:lpstr>
    </vt:vector>
  </TitlesOfParts>
  <Company>Администрация г.Мегион</Company>
  <LinksUpToDate>false</LinksUpToDate>
  <CharactersWithSpaces>48747</CharactersWithSpaces>
  <SharedDoc>false</SharedDoc>
  <HLinks>
    <vt:vector size="6" baseType="variant">
      <vt:variant>
        <vt:i4>1572947</vt:i4>
      </vt:variant>
      <vt:variant>
        <vt:i4>42</vt:i4>
      </vt:variant>
      <vt:variant>
        <vt:i4>0</vt:i4>
      </vt:variant>
      <vt:variant>
        <vt:i4>5</vt:i4>
      </vt:variant>
      <vt:variant>
        <vt:lpwstr>http://admmegion.ru/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ПРОМЫШЛЕННОСТЬ</dc:title>
  <dc:creator>Пользователь</dc:creator>
  <cp:lastModifiedBy>Пастух Лилия Вазимовна</cp:lastModifiedBy>
  <cp:revision>6</cp:revision>
  <cp:lastPrinted>2019-11-08T09:47:00Z</cp:lastPrinted>
  <dcterms:created xsi:type="dcterms:W3CDTF">2019-11-07T11:00:00Z</dcterms:created>
  <dcterms:modified xsi:type="dcterms:W3CDTF">2019-11-13T05:04:00Z</dcterms:modified>
</cp:coreProperties>
</file>