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</w:t>
      </w:r>
      <w:r>
        <w:rPr>
          <w:rFonts w:ascii="Times New Roman" w:hAnsi="Times New Roman" w:cs="Times New Roman"/>
          <w:sz w:val="24"/>
          <w:szCs w:val="24"/>
        </w:rPr>
        <w:t xml:space="preserve">ансово-экономическое обоснование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решения Думы города Мегиона «</w:t>
      </w:r>
      <w:r>
        <w:rPr>
          <w:rFonts w:ascii="Times New Roman" w:hAnsi="Times New Roman"/>
          <w:sz w:val="24"/>
          <w:szCs w:val="24"/>
        </w:rPr>
        <w:t xml:space="preserve">Об исполнении бюджета городского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</w:t>
      </w:r>
      <w:r>
        <w:rPr>
          <w:rFonts w:ascii="Times New Roman" w:hAnsi="Times New Roman"/>
          <w:sz w:val="24"/>
          <w:szCs w:val="24"/>
        </w:rPr>
        <w:t xml:space="preserve">Мегион</w:t>
      </w:r>
      <w:r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первый квартал 2025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  <w:lang w:eastAsia="ru-RU"/>
        </w:rPr>
      </w:r>
    </w:p>
    <w:p>
      <w:pPr>
        <w:pStyle w:val="837"/>
        <w:ind w:firstLine="720"/>
        <w:jc w:val="both"/>
        <w:spacing w:before="0" w:beforeAutospacing="0" w:after="0" w:afterAutospacing="0"/>
      </w:pPr>
      <w:r>
        <w:t xml:space="preserve">Бюджет города Мегиона на 202</w:t>
      </w:r>
      <w:r>
        <w:t xml:space="preserve">5</w:t>
      </w:r>
      <w:r>
        <w:t xml:space="preserve"> год утвержден решением Думы города Мегиона от </w:t>
      </w:r>
      <w:r>
        <w:t xml:space="preserve">09.12.2024</w:t>
      </w:r>
      <w:r>
        <w:t xml:space="preserve"> года №</w:t>
      </w:r>
      <w:r>
        <w:t xml:space="preserve">427</w:t>
      </w:r>
      <w:r>
        <w:t xml:space="preserve"> «О бюджете городского округа </w:t>
      </w:r>
      <w:r>
        <w:t xml:space="preserve">Мегион</w:t>
      </w:r>
      <w:r>
        <w:t xml:space="preserve"> Ханты-Мансийского автономного округа</w:t>
      </w:r>
      <w:r>
        <w:t xml:space="preserve"> – </w:t>
      </w:r>
      <w:r>
        <w:t xml:space="preserve">Югры на 202</w:t>
      </w:r>
      <w:r>
        <w:t xml:space="preserve">5</w:t>
      </w:r>
      <w:r>
        <w:t xml:space="preserve"> год и плановый период 202</w:t>
      </w:r>
      <w:r>
        <w:t xml:space="preserve">6</w:t>
      </w:r>
      <w:r>
        <w:t xml:space="preserve"> и 202</w:t>
      </w:r>
      <w:r>
        <w:t xml:space="preserve">7</w:t>
      </w:r>
      <w:r>
        <w:t xml:space="preserve"> годов». </w:t>
      </w:r>
      <w:r/>
    </w:p>
    <w:p>
      <w:pPr>
        <w:pStyle w:val="837"/>
        <w:ind w:firstLine="720"/>
        <w:jc w:val="both"/>
        <w:spacing w:before="0" w:beforeAutospacing="0" w:after="0" w:afterAutospacing="0"/>
        <w:rPr>
          <w:highlight w:val="none"/>
        </w:rPr>
      </w:pPr>
      <w:r>
        <w:t xml:space="preserve">По состоянию на 01.04.2025 утверждённый план доходной части бюджета города составил </w:t>
      </w:r>
      <w:r>
        <w:t xml:space="preserve">7 139 402,9</w:t>
      </w:r>
      <w:r>
        <w:t xml:space="preserve"> тыс. рублей, показатели сводной </w:t>
      </w:r>
      <w:r>
        <w:rPr>
          <w:highlight w:val="none"/>
        </w:rPr>
        <w:t xml:space="preserve">бюджетной росписи по расходам составили 7 439 985,0</w:t>
      </w:r>
      <w:r>
        <w:rPr>
          <w:highlight w:val="none"/>
        </w:rPr>
        <w:t xml:space="preserve"> тыс. рублей. </w:t>
      </w:r>
      <w:r>
        <w:t xml:space="preserve">Бюджет города Мегиона за первый квартал исполнен по доходам в сумме </w:t>
      </w:r>
      <w:r>
        <w:t xml:space="preserve">1 460 102,4</w:t>
      </w:r>
      <w:r>
        <w:t xml:space="preserve"> тыс. рублей,</w:t>
      </w:r>
      <w:r>
        <w:rPr>
          <w:highlight w:val="none"/>
        </w:rPr>
        <w:t xml:space="preserve"> </w:t>
      </w:r>
      <w:r>
        <w:rPr>
          <w:highlight w:val="none"/>
        </w:rPr>
        <w:t xml:space="preserve">п</w:t>
      </w:r>
      <w:r>
        <w:rPr>
          <w:highlight w:val="none"/>
        </w:rPr>
        <w:t xml:space="preserve">о расходам исполнение составило 1 455 397,3 тыс. рублей</w:t>
      </w:r>
      <w:r>
        <w:rPr>
          <w:highlight w:val="none"/>
        </w:rPr>
        <w:t xml:space="preserve">, дефицит бюджета составил сумму (-) 4 705,1 тыс. рублей.</w:t>
      </w:r>
      <w:r>
        <w:rPr>
          <w:highlight w:val="none"/>
        </w:rPr>
      </w:r>
      <w:r>
        <w:rPr>
          <w:highlight w:val="none"/>
        </w:rPr>
      </w:r>
    </w:p>
    <w:p>
      <w:pPr>
        <w:pStyle w:val="837"/>
        <w:ind w:firstLine="720"/>
        <w:jc w:val="both"/>
        <w:spacing w:before="0" w:beforeAutospacing="0" w:after="0" w:afterAutospacing="0"/>
      </w:pPr>
      <w:r>
        <w:t xml:space="preserve">Исполнение</w:t>
      </w:r>
      <w:r>
        <w:t xml:space="preserve"> доходной части бюджета го</w:t>
      </w:r>
      <w:r>
        <w:t xml:space="preserve">родского округа </w:t>
      </w:r>
      <w:r>
        <w:t xml:space="preserve">Мегион</w:t>
      </w:r>
      <w:r>
        <w:t xml:space="preserve"> Ханты-Мансийского автономного округа – Югры </w:t>
      </w:r>
      <w:r>
        <w:t xml:space="preserve">за первый квартал 202</w:t>
      </w:r>
      <w:r>
        <w:t xml:space="preserve">5</w:t>
      </w:r>
      <w:r>
        <w:t xml:space="preserve"> года:</w:t>
      </w:r>
      <w:r/>
    </w:p>
    <w:p>
      <w:pPr>
        <w:pStyle w:val="837"/>
        <w:ind w:firstLine="720"/>
        <w:jc w:val="right"/>
        <w:spacing w:before="0" w:beforeAutospacing="0" w:after="0" w:afterAutospacing="0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 xml:space="preserve">(тыс. рублей)</w:t>
      </w:r>
      <w:r>
        <w:rPr>
          <w:rFonts w:cstheme="minorBidi"/>
          <w:sz w:val="20"/>
          <w:szCs w:val="20"/>
        </w:rPr>
      </w:r>
      <w:r>
        <w:rPr>
          <w:rFonts w:cstheme="minorBidi"/>
          <w:sz w:val="20"/>
          <w:szCs w:val="20"/>
        </w:rPr>
      </w:r>
    </w:p>
    <w:tbl>
      <w:tblPr>
        <w:tblStyle w:val="838"/>
        <w:tblW w:w="9776" w:type="dxa"/>
        <w:tblLook w:val="04A0" w:firstRow="1" w:lastRow="0" w:firstColumn="1" w:lastColumn="0" w:noHBand="0" w:noVBand="1"/>
      </w:tblPr>
      <w:tblGrid>
        <w:gridCol w:w="2689"/>
        <w:gridCol w:w="2268"/>
        <w:gridCol w:w="1984"/>
        <w:gridCol w:w="2835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09.12.2024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427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26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Всего доходов,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 том числе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7 139 402,9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 460 102,4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21"/>
        </w:trPr>
        <w:tc>
          <w:tcPr>
            <w:tcW w:w="26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Налоговые доходы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1 808 184,6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409 611,5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22,7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tcW w:w="26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Неналоговые доходы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271 493,1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97 721,7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36,0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45"/>
        </w:trPr>
        <w:tc>
          <w:tcPr>
            <w:tcW w:w="26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Безвозмездные поступления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59 725,2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952 769,2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18,8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При уточненном объеме бюджетных ассигнований на 01.04.2025 в сумме 7 439 985,0 тыс. рублей кассовое исполнение бюджета составило 1 455 397,3 тыс. рублей, или 19,6%, в том числе: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sz w:val="20"/>
          <w:szCs w:val="20"/>
          <w:highlight w:val="none"/>
        </w:rPr>
      </w:r>
      <w:r>
        <w:rPr>
          <w:rFonts w:ascii="Times New Roman" w:hAnsi="Times New Roman" w:eastAsia="Times New Roman"/>
          <w:sz w:val="20"/>
          <w:szCs w:val="20"/>
          <w:highlight w:val="none"/>
        </w:rPr>
      </w:r>
    </w:p>
    <w:tbl>
      <w:tblPr>
        <w:tblStyle w:val="838"/>
        <w:tblW w:w="0" w:type="auto"/>
        <w:tblLook w:val="04A0" w:firstRow="1" w:lastRow="0" w:firstColumn="1" w:lastColumn="0" w:noHBand="0" w:noVBand="1"/>
      </w:tblPr>
      <w:tblGrid>
        <w:gridCol w:w="1965"/>
        <w:gridCol w:w="2224"/>
        <w:gridCol w:w="2379"/>
        <w:gridCol w:w="1687"/>
        <w:gridCol w:w="1516"/>
      </w:tblGrid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 w:eastAsia="Times New Roman"/>
                <w:highlight w:val="none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Утверждено решением Думы города Мегиона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09.12.2024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 №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427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  <w:tc>
          <w:tcPr>
            <w:tcW w:w="2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Показатели сводной бюджетной росписи на 01.04.202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Исполнено на 01.04.202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  <w:tc>
          <w:tcPr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Программные расходы, в том числе: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7 277 987,8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7 386 230,7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1 446 349,8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19,6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177 832,3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2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177 832,3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36 994,4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20,8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tcW w:w="1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бюджет ХМАО –Югры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4 036 247,2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2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4 144 491,9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734 740,8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17,7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345"/>
        </w:trPr>
        <w:tc>
          <w:tcPr>
            <w:tcW w:w="1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3 063 908,3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2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3 063 906,4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674 614,6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22,0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Непрограммные расходы, в том числе: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52 932,4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53 754,3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9 047,5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16,8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485"/>
        </w:trPr>
        <w:tc>
          <w:tcPr>
            <w:tcW w:w="196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2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196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бюджет ХМАО –Югры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2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343,3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270,0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78,6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W w:w="196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2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52 852,2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2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53 404,1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8 770,6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Расходная часть бюджета города Мегиона в 2025 году исполняется в программном формате, на основе утвержденных администрацией города муниципальных программ и непрограммных направлений деятельности.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По состоянию на 01.04.2025 общая сумма муниципального долга города Мегиона составляет 363 593 803</w:t>
      </w:r>
      <w:r>
        <w:rPr>
          <w:rFonts w:ascii="Times New Roman" w:hAnsi="Times New Roman"/>
          <w:sz w:val="24"/>
          <w:szCs w:val="24"/>
          <w:highlight w:val="white"/>
        </w:rPr>
        <w:t xml:space="preserve">,00 рублей, что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не превышает нормы предельного объема муниципального долга, установленного статьей 107 Бюджетного кодекса Российской Федерации.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iCs/>
          <w:sz w:val="24"/>
          <w:szCs w:val="24"/>
          <w:highlight w:val="white"/>
        </w:rPr>
      </w:pPr>
      <w:r>
        <w:rPr>
          <w:rFonts w:ascii="Times New Roman" w:hAnsi="Times New Roman" w:eastAsia="Times New Roman"/>
          <w:bCs/>
          <w:i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r>
    </w:p>
    <w:p>
      <w:pPr>
        <w:jc w:val="both"/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highlight w:val="none"/>
          <w:lang w:eastAsia="ru-RU"/>
        </w:rPr>
        <w:t xml:space="preserve">    </w:t>
      </w:r>
      <w:r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highlight w:val="yellow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Директор департамента финансов                                                                                          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В.А.Ситникова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sectPr>
      <w:footnotePr/>
      <w:endnotePr/>
      <w:type w:val="nextPage"/>
      <w:pgSz w:w="11906" w:h="16838" w:orient="portrait"/>
      <w:pgMar w:top="1134" w:right="424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paragraph" w:styleId="837">
    <w:name w:val="Normal (Web)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38">
    <w:name w:val="Table Grid"/>
    <w:basedOn w:val="833"/>
    <w:uiPriority w:val="39"/>
    <w:pPr>
      <w:spacing w:after="0" w:line="240" w:lineRule="auto"/>
    </w:pPr>
    <w:rPr>
      <w:rFonts w:cs="Times New Roman"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368E-D698-46B1-BF1D-595B1BF4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Грига Ирина Владимировна</dc:creator>
  <cp:keywords/>
  <dc:description/>
  <cp:revision>27</cp:revision>
  <dcterms:created xsi:type="dcterms:W3CDTF">2024-04-17T05:13:00Z</dcterms:created>
  <dcterms:modified xsi:type="dcterms:W3CDTF">2025-05-14T09:38:04Z</dcterms:modified>
</cp:coreProperties>
</file>