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49"/>
        <w:tblpPr w:horzAnchor="margin" w:tblpXSpec="left" w:vertAnchor="page" w:tblpY="1501" w:leftFromText="180" w:topFromText="0" w:rightFromText="180" w:bottomFromText="0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>
        <w:tblPrEx/>
        <w:trPr>
          <w:trHeight w:val="552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14560" w:type="dxa"/>
            <w:textDirection w:val="lrTb"/>
            <w:noWrap w:val="false"/>
          </w:tcPr>
          <w:p>
            <w:pPr>
              <w:jc w:val="center"/>
              <w:tabs>
                <w:tab w:val="left" w:pos="1125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/>
            <w:bookmarkStart w:id="0" w:name="_GoBack"/>
            <w:r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Сравнительная таблица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7"/>
        </w:trPr>
        <w:tc>
          <w:tcPr>
            <w:tcW w:w="728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Действующая редакция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80" w:type="dxa"/>
            <w:textDirection w:val="lrTb"/>
            <w:noWrap w:val="false"/>
          </w:tcPr>
          <w:p>
            <w:pPr>
              <w:jc w:val="center"/>
              <w:tabs>
                <w:tab w:val="left" w:pos="1125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Предлагаемая редакция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7280" w:type="dxa"/>
            <w:vMerge w:val="restart"/>
            <w:textDirection w:val="lrTb"/>
            <w:noWrap w:val="false"/>
          </w:tcPr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1. Утвердить основные характеристики бюджета городского округа Мегион Ханты-Мансийского автономного округа – Югры (далее также – городской округ) на 2026 год:</w:t>
            </w:r>
            <w:r>
              <w:rPr>
                <w:sz w:val="22"/>
              </w:rPr>
            </w:r>
            <w:r/>
          </w:p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1) прогнозируемый общий объем доходов бюджета городского округа в сумме 7 193 972,5 тыс. рублей согласно приложению 1 к настоящему решению;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2) общий объем расходов бюджета городского округа в сумме 7 488 311,2 тыс. рублей;</w:t>
            </w:r>
            <w:r/>
          </w:p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3) дефицит бюджета городского округа в сумме 294 338,7 тыс. рублей;</w:t>
            </w:r>
            <w:r/>
          </w:p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4) верхний предел муниципального внутреннего долга городского округа на 1 января 2027 года в сумме 854 679,5 тыс. рублей, в том числе, верхний предел долга по муниципальным гарантиям городского округа в сумме 0,00 тыс. рублей;</w:t>
            </w:r>
            <w:r/>
          </w:p>
          <w:p>
            <w:pPr>
              <w:ind w:firstLine="7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80" w:type="dxa"/>
            <w:vMerge w:val="restart"/>
            <w:textDirection w:val="lrTb"/>
            <w:noWrap w:val="false"/>
          </w:tcPr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1. Утвердить основные характеристики бюджета городского округа Мегион Ханты-Мансийского автономного округа – Югры (далее также – городской округ) на 2026 год: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1) прогнозируемый общий объем доходов бюджета городского округа в сумме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7 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668 025,1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 тыс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. рублей согласно приложению 1 к настоящему решению;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sz w:val="22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2) общий объем расходов бюджета городского округа в сумме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7 844 348,4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 тыс. рублей;</w:t>
            </w:r>
            <w:r>
              <w:rPr>
                <w:sz w:val="22"/>
                <w:highlight w:val="white"/>
              </w:rPr>
            </w:r>
            <w:r>
              <w:rPr>
                <w:sz w:val="22"/>
                <w:highlight w:val="white"/>
              </w:rPr>
            </w:r>
          </w:p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sz w:val="22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3) дефицит бюджета городского округа в сумме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176 323,3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 тыс. рублей;</w:t>
            </w:r>
            <w:r>
              <w:rPr>
                <w:sz w:val="22"/>
                <w:highlight w:val="white"/>
              </w:rPr>
            </w:r>
            <w:r>
              <w:rPr>
                <w:sz w:val="22"/>
                <w:highlight w:val="white"/>
              </w:rPr>
            </w:r>
          </w:p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sz w:val="22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4) верхний предел муниципального внутреннего долга городского округа на 1 января 2027 года в сумме 536 616,9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 тыс. рублей, в том числе, верхний предел долга по муниципальным гарантиям городского округа в сумме 0,00 тыс. рублей;</w:t>
            </w:r>
            <w:r>
              <w:rPr>
                <w:sz w:val="22"/>
                <w:highlight w:val="white"/>
              </w:rPr>
            </w:r>
            <w:r>
              <w:rPr>
                <w:sz w:val="22"/>
                <w:highlight w:val="white"/>
              </w:rPr>
            </w:r>
          </w:p>
          <w:p>
            <w:pPr>
              <w:ind w:firstLine="6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280" w:type="dxa"/>
            <w:textDirection w:val="lrTb"/>
            <w:noWrap w:val="false"/>
          </w:tcPr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2. Утвердить основные характеристики бюджета городского округа на плановый период 2027 и 2028 годов:</w:t>
            </w:r>
            <w:r/>
          </w:p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2) общий объем расходов бюджета городского округа на 2027 год в сумме 7 005 762,3 тыс. рублей и на 2028 год в сумме 7 131 612,2 тыс. рублей, в том числе, условно утвержденные расходы на 2027 год в сумме 88 826,0 тыс. рублей и на 2028 год в сумме 188 080,0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тыс. рублей;</w:t>
            </w:r>
            <w:r/>
          </w:p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3) дефицит бюджета городского округа на 2027 год в сумме 263 825,5 тыс. рублей и на 2028 год в сумме 281 600,1 тыс. рублей;</w:t>
            </w:r>
            <w:r/>
          </w:p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4) верхний предел муниципального внутреннего долга городского округа на 1 января 2028 года в сумме 1 118 505,0 тыс. рублей и на 1 января 2029 года в сумме 1 400 105,1 тыс. рублей, в том числе, предельный объем обязательств по муниципальным гарантиям городс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кого округа на 1 января 2028 года в сумме 0,0 тыс. рублей и на 1 января 2029 года в сумме 0,0 тыс. рублей;</w:t>
            </w:r>
            <w:r>
              <w:rPr>
                <w:sz w:val="22"/>
              </w:rPr>
            </w:r>
            <w:r/>
          </w:p>
        </w:tc>
        <w:tc>
          <w:tcPr>
            <w:tcW w:w="7280" w:type="dxa"/>
            <w:textDirection w:val="lrTb"/>
            <w:noWrap w:val="false"/>
          </w:tcPr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2. Утвердить основные характеристики бюджета городского округа на плановый период 2027 и 2028 годов:</w:t>
            </w:r>
            <w:r/>
          </w:p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2) общий объем расходов бюджета городского округа на 2027 год в сумме 6 851 631,2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тыс. рублей и на 2028 год в сумме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</w:rPr>
              <w:t xml:space="preserve">6 977 514,5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тыс. рублей, в том числе, условно утвержденные расходы на 2027 год в сумме 88 826,0 тыс. рублей и на 2028 год в сумме 188 080,0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тыс. рублей;</w:t>
            </w:r>
            <w:r/>
          </w:p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3) дефицит бюджета городского округа на 2027 год в сумме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</w:rPr>
              <w:t xml:space="preserve">109 694,4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тыс. рублей и на 2028 год в сумме 127 502,4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тыс. рублей;</w:t>
            </w:r>
            <w:r/>
          </w:p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4) верхний предел муниципального внутреннего долга городского округа на 1 января 2028 года в сумме 646 311,3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тыс. рублей и на 1 января 2029 года в сумме 773 813,7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тыс. рублей, в том числе, предельный объем обязательств по муниципальным гарантиям городс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кого округа на 1 января 2028 года в сумме 0,0 тыс. рублей и на 1 января 2029 года в сумме 0,0 тыс. рублей;</w:t>
            </w:r>
            <w:r>
              <w:rPr>
                <w:sz w:val="22"/>
              </w:rPr>
            </w:r>
            <w:r/>
          </w:p>
        </w:tc>
      </w:tr>
      <w:tr>
        <w:tblPrEx/>
        <w:trPr>
          <w:trHeight w:val="2400"/>
        </w:trPr>
        <w:tc>
          <w:tcPr>
            <w:tcW w:w="7280" w:type="dxa"/>
            <w:textDirection w:val="lrTb"/>
            <w:noWrap w:val="false"/>
          </w:tcPr>
          <w:p>
            <w:pPr>
              <w:ind w:firstLine="709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.</w:t>
            </w:r>
            <w:r>
              <w:rPr>
                <w:rFonts w:ascii="Calibri" w:hAnsi="Calibri" w:eastAsia="Calibri" w:cs="Times New Roman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Утвердить распределение бюджетных ассигнований по разделам, подразделам, целевым статьям (муниципальным программам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городского округа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и непрограммным направлениям деятельности), группам и подгруппам видов расходов классификации расходов бюджета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городского округа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Мегион</w:t>
            </w:r>
            <w: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Ханты-Мансийского автономного округа – Югры: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ind w:left="0" w:firstLine="709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1) на 2026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год согласно приложению 3 к настоящему решению;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ind w:left="0" w:firstLine="709"/>
              <w:jc w:val="both"/>
              <w:rPr>
                <w:rFonts w:ascii="Calibri" w:hAnsi="Calibri" w:eastAsia="Calibri" w:cs="Times New Roman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2)</w:t>
            </w:r>
            <w:r>
              <w:rPr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а плановый период 2027 и 2028 годов согласно прило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жению 4 к настоящему решению.</w:t>
            </w:r>
            <w:r>
              <w:rPr>
                <w:rFonts w:ascii="Calibri" w:hAnsi="Calibri" w:eastAsia="Calibri" w:cs="Times New Roman"/>
                <w:highlight w:val="white"/>
              </w:rPr>
            </w:r>
            <w:r>
              <w:rPr>
                <w:rFonts w:ascii="Calibri" w:hAnsi="Calibri" w:eastAsia="Calibri" w:cs="Times New Roman"/>
                <w:highlight w:val="white"/>
              </w:rPr>
            </w:r>
          </w:p>
          <w:p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Borders>
              <w:top w:val="none" w:color="000000" w:sz="4" w:space="0"/>
            </w:tcBorders>
            <w:tcW w:w="7280" w:type="dxa"/>
            <w:textDirection w:val="lrTb"/>
            <w:noWrap w:val="false"/>
          </w:tcPr>
          <w:p>
            <w:pPr>
              <w:ind w:firstLine="709"/>
              <w:jc w:val="both"/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Calibri" w:hAnsi="Calibri" w:eastAsia="Calibri" w:cs="Times New Roman"/>
                <w:highlight w:val="white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Утвердить распределение бюджетных ассигнований по разделам, подразделам, целевым статьям (муниципальным программам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  <w:lang w:eastAsia="ru-RU"/>
              </w:rPr>
              <w:t xml:space="preserve">городского округа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и непрограммным направлениям деятельности), группам и подгруппам видов расходов классификации расходов бюджета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  <w:lang w:eastAsia="ru-RU"/>
              </w:rPr>
              <w:t xml:space="preserve">городского округа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Мегион</w:t>
            </w:r>
            <w:r>
              <w:rPr>
                <w:highlight w:val="white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Ханты-Мансийского автономного округа – Югры: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</w:p>
          <w:p>
            <w:pPr>
              <w:ind w:left="0" w:firstLine="709"/>
              <w:jc w:val="both"/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1) 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а 2026 год согласно приложению 2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к настоящему решению;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</w:p>
          <w:p>
            <w:pPr>
              <w:ind w:left="0" w:firstLine="709"/>
              <w:jc w:val="both"/>
              <w:rPr>
                <w:rFonts w:ascii="Calibri" w:hAnsi="Calibri" w:eastAsia="Calibri" w:cs="Times New Roman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2)</w:t>
            </w:r>
            <w:r>
              <w:rPr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а плановый период 2027 и 2028 годов согласно прило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жению 3 к настоящему решению.</w:t>
            </w:r>
            <w:r>
              <w:rPr>
                <w:rFonts w:ascii="Calibri" w:hAnsi="Calibri" w:eastAsia="Calibri" w:cs="Times New Roman"/>
                <w:highlight w:val="white"/>
              </w:rPr>
            </w:r>
            <w:r>
              <w:rPr>
                <w:rFonts w:ascii="Calibri" w:hAnsi="Calibri" w:eastAsia="Calibri" w:cs="Times New Roman"/>
                <w:highlight w:val="white"/>
              </w:rPr>
            </w:r>
          </w:p>
          <w:p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972"/>
        </w:trPr>
        <w:tc>
          <w:tcPr>
            <w:tcW w:w="7280" w:type="dxa"/>
            <w:textDirection w:val="lrTb"/>
            <w:noWrap w:val="false"/>
          </w:tcPr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. Утвердить распределение бюджетных ассигнований по целевым статьям (муниципальным программам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городского округа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и непрограммным направлениям деятельности), группам и подгруппам видов расходов классификации расходов бюджета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городского округа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Мегион</w:t>
            </w:r>
            <w: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Ханты-Мансийского автономного округа – Югры: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1) на 2026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год согласно приложению 5 к настоящему решению;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r>
          </w:p>
          <w:p>
            <w:pPr>
              <w:ind w:left="0" w:firstLine="709"/>
              <w:jc w:val="both"/>
              <w:tabs>
                <w:tab w:val="left" w:pos="709" w:leader="none"/>
                <w:tab w:val="left" w:pos="1134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2) на плановый период 2027 и 2028 годов согласно приложению 6 к настоящему решению.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</w:p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7280" w:type="dxa"/>
            <w:textDirection w:val="lrTb"/>
            <w:noWrap w:val="false"/>
          </w:tcPr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. Утвердить распределение бюджетных ассигнований по целевым статьям (муниципальным программам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  <w:lang w:eastAsia="ru-RU"/>
              </w:rPr>
              <w:t xml:space="preserve">городского округа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и непрограммным направлениям деятельности), группам и подгруппам видов расходов классификации расходов бюджета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  <w:lang w:eastAsia="ru-RU"/>
              </w:rPr>
              <w:t xml:space="preserve">городского округа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Мегион</w:t>
            </w:r>
            <w:r>
              <w:rPr>
                <w:highlight w:val="white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Ханты-Мансийского автономного округа – Югры: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</w:p>
          <w:p>
            <w:pPr>
              <w:ind w:left="0" w:firstLine="709"/>
              <w:jc w:val="both"/>
              <w:tabs>
                <w:tab w:val="left" w:pos="709" w:leader="none"/>
                <w:tab w:val="left" w:pos="1134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1) на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2026 год согласно приложению 4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к настоящему решению;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</w:p>
          <w:p>
            <w:pPr>
              <w:ind w:left="0" w:firstLine="709"/>
              <w:jc w:val="both"/>
              <w:tabs>
                <w:tab w:val="left" w:pos="709" w:leader="none"/>
                <w:tab w:val="left" w:pos="1134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2) на плановый период 2027 и 2028 годов согласно приложению 5 к настоящему решению.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</w:p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486"/>
        </w:trPr>
        <w:tc>
          <w:tcPr>
            <w:tcW w:w="7280" w:type="dxa"/>
            <w:textDirection w:val="lrTb"/>
            <w:noWrap w:val="false"/>
          </w:tcPr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. Утвердить распределение бюджетных ассигнований по разделам, подразделам классификации расходов бюджета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городского округа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Мегион</w:t>
            </w:r>
            <w: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Ханты-Мансийского автономного округа – Югры: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1) на 2026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год согласно приложению 7 к настоящему решению;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r>
          </w:p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2) на плановый период 2027 и 2028 годов согласно приложению 8 к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настоящему решению.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80" w:type="dxa"/>
            <w:textDirection w:val="lrTb"/>
            <w:noWrap w:val="false"/>
          </w:tcPr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8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. Утвердить распределение бюджетных ассигнований по разделам, подразделам классификации расходов бюджета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  <w:lang w:eastAsia="ru-RU"/>
              </w:rPr>
              <w:t xml:space="preserve">городского округа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Мегион</w:t>
            </w:r>
            <w:r>
              <w:rPr>
                <w:highlight w:val="white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Ханты-Мансийского автономного округа – Югры: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</w:p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1) 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а 2026 год согласно приложению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к настоящему решению;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</w:p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2) на плановый период 2027 и 2028 годов согласно приложению 7 к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настоящему решению.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413"/>
        </w:trPr>
        <w:tc>
          <w:tcPr>
            <w:tcW w:w="7280" w:type="dxa"/>
            <w:textDirection w:val="lrTb"/>
            <w:noWrap w:val="false"/>
          </w:tcPr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. Утвердить ведомственную структуру расходов бюджета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городского округа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Мегион</w:t>
            </w:r>
            <w: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Ханты-Мансийского автономного округа – Югры, в том числе, в её составе перечень главных распорядителей средств бюджета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городского округа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Мегион: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ind w:lef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1) на 2026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год согласно приложению 9 к настоящему решению;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ind w:lef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2) на плановый период 2027 и 2028 годов согласно приложению 10 к настоящему решению.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</w:p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7280" w:type="dxa"/>
            <w:textDirection w:val="lrTb"/>
            <w:noWrap w:val="false"/>
          </w:tcPr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. Утвердить ведомственную структуру расходов бюджета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  <w:lang w:eastAsia="ru-RU"/>
              </w:rPr>
              <w:t xml:space="preserve">городского округа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Мегион</w:t>
            </w:r>
            <w:r>
              <w:rPr>
                <w:highlight w:val="white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Ханты-Мансийского автономного округа – Югры, в том числе, в её составе перечень главных распорядителей средств бюджета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  <w:lang w:eastAsia="ru-RU"/>
              </w:rPr>
              <w:t xml:space="preserve">городского округа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Мегион: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</w:p>
          <w:p>
            <w:pPr>
              <w:ind w:lef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1) 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а 2026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год согласно приложению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8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к настоящему решению;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</w:p>
          <w:p>
            <w:pPr>
              <w:ind w:lef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2) на плановый период 2027 и 2028 годов согласно приложению 9 к настоящему решению.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</w:p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342"/>
        </w:trPr>
        <w:tc>
          <w:tcPr>
            <w:tcW w:w="7280" w:type="dxa"/>
            <w:textDirection w:val="lrTb"/>
            <w:noWrap w:val="false"/>
          </w:tcPr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.</w:t>
            </w:r>
            <w: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Утвердить источники внутреннего финансирования дефицита бюджета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городского округа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Мегион</w:t>
            </w:r>
            <w: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Ханты-Мансийского автономного округа – Югры: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1) на 2026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год согласно приложению 11 к настоящему решению;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2) на плановый период 2027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годов согласно приложению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к настоящему решению;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7280" w:type="dxa"/>
            <w:textDirection w:val="lrTb"/>
            <w:noWrap w:val="false"/>
          </w:tcPr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10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highlight w:val="white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Утвердить источники внутреннего финансирования дефицита бюджета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  <w:lang w:eastAsia="ru-RU"/>
              </w:rPr>
              <w:t xml:space="preserve">городского округа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Мегион</w:t>
            </w:r>
            <w:r>
              <w:rPr>
                <w:highlight w:val="white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Ханты-Мансийского автономного округа – Югры: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</w:p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1) на 2026 год согласно приложению 10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к настоящему решению;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</w:p>
          <w:p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2) на плановый период 2027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и 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028 годов согласно приложению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к настоящему решению;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7280" w:type="dxa"/>
            <w:textDirection w:val="lrTb"/>
            <w:noWrap w:val="false"/>
          </w:tcPr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. Утвердить программу муниципальных внутренних заимствований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городского округа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Мегион</w:t>
            </w:r>
            <w: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Ханты-Мансийского автономного округа – Югры: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1) на 2026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год согласно приложению 13 к настоящему решению;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2) на плановый период 2027 и 2028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годов согласно приложению 14 к настоящему решению.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ind w:firstLine="746"/>
              <w:jc w:val="both"/>
              <w:rPr>
                <w:rFonts w:ascii="Times New Roman" w:hAnsi="Times New Roman" w:eastAsia="Calibri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yellow"/>
              </w:rPr>
            </w:r>
          </w:p>
        </w:tc>
        <w:tc>
          <w:tcPr>
            <w:tcW w:w="7280" w:type="dxa"/>
            <w:textDirection w:val="lrTb"/>
            <w:noWrap w:val="false"/>
          </w:tcPr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11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Утвердить программу муниципальных внутренних заимствований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  <w:lang w:eastAsia="ru-RU"/>
              </w:rPr>
              <w:t xml:space="preserve">городского округа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Мегион</w:t>
            </w:r>
            <w:r>
              <w:rPr>
                <w:highlight w:val="white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Ханты-Мансийского автономного округа – Югры: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</w:p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1) 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а 2026 год согласно приложению 12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к настоящему решению;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</w:p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2) на плановый период 2027 и 2028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годов согл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асно приложению 13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к настоящему решению.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</w:p>
          <w:p>
            <w:pPr>
              <w:ind w:firstLine="686"/>
              <w:jc w:val="both"/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W w:w="7280" w:type="dxa"/>
            <w:textDirection w:val="lrTb"/>
            <w:noWrap w:val="false"/>
          </w:tcPr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. Утвердить общий объем бюджетных ассигнований на исполнение публичных нормативных обязательств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городского округа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Мегион</w:t>
            </w:r>
            <w: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Ханты-Мансийского 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втономного округа – Югры: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1) на 2026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год в сумме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8,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тыс. рублей;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yellow"/>
              </w:rPr>
            </w:r>
          </w:p>
        </w:tc>
        <w:tc>
          <w:tcPr>
            <w:tcW w:w="7280" w:type="dxa"/>
            <w:textDirection w:val="lrTb"/>
            <w:noWrap w:val="false"/>
          </w:tcPr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12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. Утвердить общий объем бюджетных ассигнований на исполнение публичных нормативных обязательств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  <w:lang w:eastAsia="ru-RU"/>
              </w:rPr>
              <w:t xml:space="preserve">городского округа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Мегион</w:t>
            </w:r>
            <w:r>
              <w:rPr>
                <w:highlight w:val="white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Ханты-Мансийского а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втономного округа – Югры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</w:p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1)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на 2026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год 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сумме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82 668,6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тыс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. р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ублей.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315"/>
        </w:trPr>
        <w:tc>
          <w:tcPr>
            <w:tcW w:w="7280" w:type="dxa"/>
            <w:vMerge w:val="restart"/>
            <w:textDirection w:val="lrTb"/>
            <w:noWrap w:val="false"/>
          </w:tcPr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13.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Утвердить объем бюджетных ассигнований дорожного фонда городского округа Мегион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Ханты-Мансийского автономного округа – Югры:</w:t>
            </w:r>
            <w:r/>
          </w:p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1) на 2026 год в сумме 424 599,0 тыс. рублей;</w:t>
            </w:r>
            <w:r>
              <w:rPr>
                <w:rFonts w:ascii="Calibri" w:hAnsi="Calibri" w:eastAsia="Calibri" w:cs="Calibri"/>
                <w:sz w:val="22"/>
              </w:rPr>
            </w:r>
            <w:r/>
          </w:p>
        </w:tc>
        <w:tc>
          <w:tcPr>
            <w:tcW w:w="7280" w:type="dxa"/>
            <w:vMerge w:val="restart"/>
            <w:textDirection w:val="lrTb"/>
            <w:noWrap w:val="false"/>
          </w:tcPr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13. Утвердить объем бюджетных ассигнований дорожного фонда городского округа Мегион</w:t>
            </w:r>
            <w:r>
              <w:rPr>
                <w:rFonts w:ascii="Calibri" w:hAnsi="Calibri" w:eastAsia="Calibri" w:cs="Calibri"/>
                <w:color w:val="000000"/>
                <w:sz w:val="22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Ханты-Мансийского автономного округа – Югры: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1) на 2026 год в сумме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 тыс. рублей;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W w:w="7280" w:type="dxa"/>
            <w:vMerge w:val="restart"/>
            <w:textDirection w:val="lrTb"/>
            <w:noWrap w:val="false"/>
          </w:tcPr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14.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Утвердить объем межбюджетных трансфертов, получаемых из других бюджетов бюджетной системы Российской Федерации:</w:t>
            </w:r>
            <w:r/>
          </w:p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1) на 2026 год в сумме 4 353 341,9 тыс. рублей;</w:t>
            </w:r>
            <w:r>
              <w:rPr>
                <w:sz w:val="22"/>
              </w:rPr>
            </w:r>
            <w:r/>
          </w:p>
        </w:tc>
        <w:tc>
          <w:tcPr>
            <w:tcW w:w="7280" w:type="dxa"/>
            <w:vMerge w:val="restart"/>
            <w:textDirection w:val="lrTb"/>
            <w:noWrap w:val="false"/>
          </w:tcPr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sz w:val="22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14.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Утвердить объем межбюджетных трансфертов, получаемых из других бюджетов бюджетной системы Российской Федерации:</w:t>
            </w:r>
            <w:r>
              <w:rPr>
                <w:sz w:val="22"/>
                <w:highlight w:val="white"/>
              </w:rPr>
            </w:r>
            <w:r>
              <w:rPr>
                <w:sz w:val="22"/>
                <w:highlight w:val="white"/>
              </w:rPr>
            </w:r>
          </w:p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sz w:val="22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1) на 2026 год в сумм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4 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825 441,8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тыс. рублей;</w:t>
            </w:r>
            <w:r>
              <w:rPr>
                <w:sz w:val="22"/>
                <w:highlight w:val="white"/>
              </w:rPr>
            </w:r>
            <w:r>
              <w:rPr>
                <w:sz w:val="22"/>
                <w:highlight w:val="white"/>
              </w:rPr>
            </w:r>
          </w:p>
        </w:tc>
      </w:tr>
      <w:tr>
        <w:tblPrEx/>
        <w:trPr>
          <w:trHeight w:val="1021"/>
        </w:trPr>
        <w:tc>
          <w:tcPr>
            <w:tcW w:w="7280" w:type="dxa"/>
            <w:textDirection w:val="lrTb"/>
            <w:noWrap w:val="false"/>
          </w:tcPr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. Установить, что в бюджете городского округа Мегион Ханты-Мансийского 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втономного округа – Югры на 2026 год и плановый период 2027 и 2028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годов зарезервированы бюджетные ассигнования: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r>
          </w:p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1)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на реализацию инициативных проектов, в целях финансового обеспечения соответствующих расходных обязательств муниципального образования на 2026 год в сумме 20 000,0 тыс. рублей;</w:t>
            </w:r>
            <w:r>
              <w:rPr>
                <w:sz w:val="22"/>
              </w:rPr>
            </w:r>
            <w:r/>
          </w:p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2) на выплату дополнительной меры социальной поддержки граждан в городском округе, заключивших контракт о прохождении военной службы в Вооруженных Силах Российской Федерации, направленных для выполнения задач в ходе специальной военной опер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ации на 2026 год в сумме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тыс. рублей;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r>
          </w:p>
          <w:p>
            <w:pPr>
              <w:ind w:lef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3) на обеспечение доли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софинансирования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мероприятий государственных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программ Ханты-Мансийского автономного округа – Югры при предоставлении из бюджетов бюджетной системы Российской Федерации объема субсидий сверх утвержденного решением Думы города о бюджете города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Мегиона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на 2026 год в сумме 3 000,0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тыс. рублей.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7280" w:type="dxa"/>
            <w:textDirection w:val="lrTb"/>
            <w:noWrap w:val="false"/>
          </w:tcPr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16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. Установить, что в бюджете городского округа Мегион Ханты-Мансийского а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втономного округа – Югры на 2026 год и плановый период 2027 и 2028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годов зарезервированы бюджетные ассигнования: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</w:p>
          <w:p>
            <w:pPr>
              <w:ind w:left="0" w:righ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1) на реализацию инициативных проектов, в целях финансового обеспечения соответствующих расходных обязательств муниципального образования на 2026 год в сумме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 тыс. рублей;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2) на выплату дополнительной меры социальной поддержки граждан в городском округе, заключивших контракт о прохождении военной службы в Вооруженных Силах Российской Федерации, направленных для выполнения задач в ходе специальной военной операции на 2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026 год в сумме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0,0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тыс. рублей;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</w:p>
          <w:p>
            <w:pPr>
              <w:ind w:left="0"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3) на обеспечение доли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софинансирования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мероприятий государственных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программ Ханты-Мансийского автономного округа – Югры при предоставлении из бюджетов бюджетной системы Российской Федерации объема субсидий сверх утвержденного решением Думы города о бюджете города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Мегиона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на 2026 год в сумме 12 444,7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 тыс. рублей.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415"/>
        </w:trPr>
        <w:tc>
          <w:tcPr>
            <w:tcW w:w="7280" w:type="dxa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Приложение 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before="0" w:after="0" w:line="57" w:lineRule="atLeas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11Возмещение ресурсоснабжающим организациям недополученных доходов в связи с применением понижающих коэффициентов к нормативам потребления коммунальных услуг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280" w:type="dxa"/>
            <w:vMerge w:val="restart"/>
            <w:textDirection w:val="lrTb"/>
            <w:noWrap w:val="false"/>
          </w:tcPr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Приложение 15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</w:p>
          <w:p>
            <w:pPr>
              <w:ind w:firstLine="709"/>
              <w:jc w:val="both"/>
              <w:tabs>
                <w:tab w:val="left" w:pos="709" w:leader="none"/>
                <w:tab w:val="left" w:pos="1134" w:leader="none"/>
                <w:tab w:val="left" w:pos="1701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</w:p>
          <w:p>
            <w:pPr>
              <w:contextualSpacing w:val="0"/>
              <w:ind w:left="0" w:right="0" w:firstLine="0"/>
              <w:jc w:val="both"/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11.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Возмещение недополученных доходов ресурсоснабжающим организациям, осуществляющим регулируемый вид деятельности в сфере тепло-, водоснабжения и водоотведения, в связи с применением понижающих коэффициентов к нормативам потребления коммунальных услуг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</w:r>
          </w:p>
        </w:tc>
      </w:tr>
    </w:tbl>
    <w:p>
      <w:pPr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</w:r>
      <w:r>
        <w:rPr>
          <w:rFonts w:ascii="Times New Roman" w:hAnsi="Times New Roman" w:cs="Times New Roman"/>
          <w:sz w:val="24"/>
          <w:szCs w:val="24"/>
          <w:highlight w:val="yellow"/>
        </w:rPr>
      </w:r>
      <w:r>
        <w:rPr>
          <w:rFonts w:ascii="Times New Roman" w:hAnsi="Times New Roman" w:cs="Times New Roman"/>
          <w:sz w:val="24"/>
          <w:szCs w:val="24"/>
          <w:highlight w:val="yellow"/>
        </w:rPr>
      </w:r>
    </w:p>
    <w:sectPr>
      <w:footnotePr/>
      <w:endnotePr/>
      <w:type w:val="nextPage"/>
      <w:pgSz w:w="16838" w:h="11906" w:orient="landscape"/>
      <w:pgMar w:top="1247" w:right="1134" w:bottom="567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Caption Char"/>
    <w:basedOn w:val="704"/>
    <w:link w:val="854"/>
    <w:uiPriority w:val="99"/>
  </w:style>
  <w:style w:type="paragraph" w:styleId="655" w:default="1">
    <w:name w:val="Normal"/>
    <w:qFormat/>
  </w:style>
  <w:style w:type="paragraph" w:styleId="656">
    <w:name w:val="Heading 1"/>
    <w:basedOn w:val="655"/>
    <w:next w:val="655"/>
    <w:link w:val="68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57">
    <w:name w:val="Heading 2"/>
    <w:basedOn w:val="655"/>
    <w:next w:val="655"/>
    <w:link w:val="68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58">
    <w:name w:val="Heading 3"/>
    <w:basedOn w:val="655"/>
    <w:next w:val="655"/>
    <w:link w:val="68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59">
    <w:name w:val="Heading 4"/>
    <w:basedOn w:val="655"/>
    <w:next w:val="655"/>
    <w:link w:val="68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0">
    <w:name w:val="Heading 5"/>
    <w:basedOn w:val="655"/>
    <w:next w:val="655"/>
    <w:link w:val="6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1">
    <w:name w:val="Heading 6"/>
    <w:basedOn w:val="655"/>
    <w:next w:val="655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62">
    <w:name w:val="Heading 7"/>
    <w:basedOn w:val="655"/>
    <w:next w:val="655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63">
    <w:name w:val="Heading 8"/>
    <w:basedOn w:val="655"/>
    <w:next w:val="655"/>
    <w:link w:val="69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64">
    <w:name w:val="Heading 9"/>
    <w:basedOn w:val="655"/>
    <w:next w:val="655"/>
    <w:link w:val="69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5" w:default="1">
    <w:name w:val="Default Paragraph Font"/>
    <w:uiPriority w:val="1"/>
    <w:semiHidden/>
    <w:unhideWhenUsed/>
  </w:style>
  <w:style w:type="table" w:styleId="66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7" w:default="1">
    <w:name w:val="No List"/>
    <w:uiPriority w:val="99"/>
    <w:semiHidden/>
    <w:unhideWhenUsed/>
  </w:style>
  <w:style w:type="character" w:styleId="668" w:customStyle="1">
    <w:name w:val="Heading 1 Char"/>
    <w:basedOn w:val="665"/>
    <w:uiPriority w:val="9"/>
    <w:rPr>
      <w:rFonts w:ascii="Arial" w:hAnsi="Arial" w:eastAsia="Arial" w:cs="Arial"/>
      <w:sz w:val="40"/>
      <w:szCs w:val="40"/>
    </w:rPr>
  </w:style>
  <w:style w:type="character" w:styleId="669" w:customStyle="1">
    <w:name w:val="Heading 2 Char"/>
    <w:basedOn w:val="665"/>
    <w:uiPriority w:val="9"/>
    <w:rPr>
      <w:rFonts w:ascii="Arial" w:hAnsi="Arial" w:eastAsia="Arial" w:cs="Arial"/>
      <w:sz w:val="34"/>
    </w:rPr>
  </w:style>
  <w:style w:type="character" w:styleId="670" w:customStyle="1">
    <w:name w:val="Heading 3 Char"/>
    <w:basedOn w:val="665"/>
    <w:uiPriority w:val="9"/>
    <w:rPr>
      <w:rFonts w:ascii="Arial" w:hAnsi="Arial" w:eastAsia="Arial" w:cs="Arial"/>
      <w:sz w:val="30"/>
      <w:szCs w:val="30"/>
    </w:rPr>
  </w:style>
  <w:style w:type="character" w:styleId="671" w:customStyle="1">
    <w:name w:val="Heading 4 Char"/>
    <w:basedOn w:val="665"/>
    <w:uiPriority w:val="9"/>
    <w:rPr>
      <w:rFonts w:ascii="Arial" w:hAnsi="Arial" w:eastAsia="Arial" w:cs="Arial"/>
      <w:b/>
      <w:bCs/>
      <w:sz w:val="26"/>
      <w:szCs w:val="26"/>
    </w:rPr>
  </w:style>
  <w:style w:type="character" w:styleId="672" w:customStyle="1">
    <w:name w:val="Heading 5 Char"/>
    <w:basedOn w:val="665"/>
    <w:uiPriority w:val="9"/>
    <w:rPr>
      <w:rFonts w:ascii="Arial" w:hAnsi="Arial" w:eastAsia="Arial" w:cs="Arial"/>
      <w:b/>
      <w:bCs/>
      <w:sz w:val="24"/>
      <w:szCs w:val="24"/>
    </w:rPr>
  </w:style>
  <w:style w:type="character" w:styleId="673" w:customStyle="1">
    <w:name w:val="Heading 6 Char"/>
    <w:basedOn w:val="665"/>
    <w:uiPriority w:val="9"/>
    <w:rPr>
      <w:rFonts w:ascii="Arial" w:hAnsi="Arial" w:eastAsia="Arial" w:cs="Arial"/>
      <w:b/>
      <w:bCs/>
      <w:sz w:val="22"/>
      <w:szCs w:val="22"/>
    </w:rPr>
  </w:style>
  <w:style w:type="character" w:styleId="674" w:customStyle="1">
    <w:name w:val="Heading 7 Char"/>
    <w:basedOn w:val="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5" w:customStyle="1">
    <w:name w:val="Heading 8 Char"/>
    <w:basedOn w:val="665"/>
    <w:uiPriority w:val="9"/>
    <w:rPr>
      <w:rFonts w:ascii="Arial" w:hAnsi="Arial" w:eastAsia="Arial" w:cs="Arial"/>
      <w:i/>
      <w:iCs/>
      <w:sz w:val="22"/>
      <w:szCs w:val="22"/>
    </w:rPr>
  </w:style>
  <w:style w:type="character" w:styleId="676" w:customStyle="1">
    <w:name w:val="Heading 9 Char"/>
    <w:basedOn w:val="665"/>
    <w:uiPriority w:val="9"/>
    <w:rPr>
      <w:rFonts w:ascii="Arial" w:hAnsi="Arial" w:eastAsia="Arial" w:cs="Arial"/>
      <w:i/>
      <w:iCs/>
      <w:sz w:val="21"/>
      <w:szCs w:val="21"/>
    </w:rPr>
  </w:style>
  <w:style w:type="character" w:styleId="677" w:customStyle="1">
    <w:name w:val="Title Char"/>
    <w:basedOn w:val="665"/>
    <w:uiPriority w:val="10"/>
    <w:rPr>
      <w:sz w:val="48"/>
      <w:szCs w:val="48"/>
    </w:rPr>
  </w:style>
  <w:style w:type="character" w:styleId="678" w:customStyle="1">
    <w:name w:val="Subtitle Char"/>
    <w:basedOn w:val="665"/>
    <w:uiPriority w:val="11"/>
    <w:rPr>
      <w:sz w:val="24"/>
      <w:szCs w:val="24"/>
    </w:rPr>
  </w:style>
  <w:style w:type="character" w:styleId="679" w:customStyle="1">
    <w:name w:val="Quote Char"/>
    <w:uiPriority w:val="29"/>
    <w:rPr>
      <w:i/>
    </w:rPr>
  </w:style>
  <w:style w:type="character" w:styleId="680" w:customStyle="1">
    <w:name w:val="Intense Quote Char"/>
    <w:uiPriority w:val="30"/>
    <w:rPr>
      <w:i/>
    </w:rPr>
  </w:style>
  <w:style w:type="character" w:styleId="681" w:customStyle="1">
    <w:name w:val="Footnote Text Char"/>
    <w:uiPriority w:val="99"/>
    <w:rPr>
      <w:sz w:val="18"/>
    </w:rPr>
  </w:style>
  <w:style w:type="character" w:styleId="682" w:customStyle="1">
    <w:name w:val="Endnote Text Char"/>
    <w:uiPriority w:val="99"/>
    <w:rPr>
      <w:sz w:val="20"/>
    </w:rPr>
  </w:style>
  <w:style w:type="character" w:styleId="683" w:customStyle="1">
    <w:name w:val="Заголовок 1 Знак"/>
    <w:basedOn w:val="665"/>
    <w:link w:val="656"/>
    <w:uiPriority w:val="9"/>
    <w:rPr>
      <w:rFonts w:ascii="Arial" w:hAnsi="Arial" w:eastAsia="Arial" w:cs="Arial"/>
      <w:sz w:val="40"/>
      <w:szCs w:val="40"/>
    </w:rPr>
  </w:style>
  <w:style w:type="character" w:styleId="684" w:customStyle="1">
    <w:name w:val="Заголовок 2 Знак"/>
    <w:basedOn w:val="665"/>
    <w:link w:val="657"/>
    <w:uiPriority w:val="9"/>
    <w:rPr>
      <w:rFonts w:ascii="Arial" w:hAnsi="Arial" w:eastAsia="Arial" w:cs="Arial"/>
      <w:sz w:val="34"/>
    </w:rPr>
  </w:style>
  <w:style w:type="character" w:styleId="685" w:customStyle="1">
    <w:name w:val="Заголовок 3 Знак"/>
    <w:basedOn w:val="665"/>
    <w:link w:val="658"/>
    <w:uiPriority w:val="9"/>
    <w:rPr>
      <w:rFonts w:ascii="Arial" w:hAnsi="Arial" w:eastAsia="Arial" w:cs="Arial"/>
      <w:sz w:val="30"/>
      <w:szCs w:val="30"/>
    </w:rPr>
  </w:style>
  <w:style w:type="character" w:styleId="686" w:customStyle="1">
    <w:name w:val="Заголовок 4 Знак"/>
    <w:basedOn w:val="665"/>
    <w:link w:val="659"/>
    <w:uiPriority w:val="9"/>
    <w:rPr>
      <w:rFonts w:ascii="Arial" w:hAnsi="Arial" w:eastAsia="Arial" w:cs="Arial"/>
      <w:b/>
      <w:bCs/>
      <w:sz w:val="26"/>
      <w:szCs w:val="26"/>
    </w:rPr>
  </w:style>
  <w:style w:type="character" w:styleId="687" w:customStyle="1">
    <w:name w:val="Заголовок 5 Знак"/>
    <w:basedOn w:val="665"/>
    <w:link w:val="660"/>
    <w:uiPriority w:val="9"/>
    <w:rPr>
      <w:rFonts w:ascii="Arial" w:hAnsi="Arial" w:eastAsia="Arial" w:cs="Arial"/>
      <w:b/>
      <w:bCs/>
      <w:sz w:val="24"/>
      <w:szCs w:val="24"/>
    </w:rPr>
  </w:style>
  <w:style w:type="character" w:styleId="688" w:customStyle="1">
    <w:name w:val="Заголовок 6 Знак"/>
    <w:basedOn w:val="665"/>
    <w:link w:val="661"/>
    <w:uiPriority w:val="9"/>
    <w:rPr>
      <w:rFonts w:ascii="Arial" w:hAnsi="Arial" w:eastAsia="Arial" w:cs="Arial"/>
      <w:b/>
      <w:bCs/>
      <w:sz w:val="22"/>
      <w:szCs w:val="22"/>
    </w:rPr>
  </w:style>
  <w:style w:type="character" w:styleId="689" w:customStyle="1">
    <w:name w:val="Заголовок 7 Знак"/>
    <w:basedOn w:val="665"/>
    <w:link w:val="66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0" w:customStyle="1">
    <w:name w:val="Заголовок 8 Знак"/>
    <w:basedOn w:val="665"/>
    <w:link w:val="663"/>
    <w:uiPriority w:val="9"/>
    <w:rPr>
      <w:rFonts w:ascii="Arial" w:hAnsi="Arial" w:eastAsia="Arial" w:cs="Arial"/>
      <w:i/>
      <w:iCs/>
      <w:sz w:val="22"/>
      <w:szCs w:val="22"/>
    </w:rPr>
  </w:style>
  <w:style w:type="character" w:styleId="691" w:customStyle="1">
    <w:name w:val="Заголовок 9 Знак"/>
    <w:basedOn w:val="665"/>
    <w:link w:val="664"/>
    <w:uiPriority w:val="9"/>
    <w:rPr>
      <w:rFonts w:ascii="Arial" w:hAnsi="Arial" w:eastAsia="Arial" w:cs="Arial"/>
      <w:i/>
      <w:iCs/>
      <w:sz w:val="21"/>
      <w:szCs w:val="21"/>
    </w:rPr>
  </w:style>
  <w:style w:type="paragraph" w:styleId="692">
    <w:name w:val="List Paragraph"/>
    <w:basedOn w:val="655"/>
    <w:uiPriority w:val="34"/>
    <w:qFormat/>
    <w:pPr>
      <w:contextualSpacing/>
      <w:ind w:left="720"/>
    </w:pPr>
  </w:style>
  <w:style w:type="paragraph" w:styleId="693">
    <w:name w:val="No Spacing"/>
    <w:uiPriority w:val="1"/>
    <w:qFormat/>
    <w:pPr>
      <w:spacing w:after="0" w:line="240" w:lineRule="auto"/>
    </w:pPr>
  </w:style>
  <w:style w:type="paragraph" w:styleId="694">
    <w:name w:val="Title"/>
    <w:basedOn w:val="655"/>
    <w:next w:val="655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 w:customStyle="1">
    <w:name w:val="Заголовок Знак"/>
    <w:basedOn w:val="665"/>
    <w:link w:val="694"/>
    <w:uiPriority w:val="10"/>
    <w:rPr>
      <w:sz w:val="48"/>
      <w:szCs w:val="48"/>
    </w:rPr>
  </w:style>
  <w:style w:type="paragraph" w:styleId="696">
    <w:name w:val="Subtitle"/>
    <w:basedOn w:val="655"/>
    <w:next w:val="655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 w:customStyle="1">
    <w:name w:val="Подзаголовок Знак"/>
    <w:basedOn w:val="665"/>
    <w:link w:val="696"/>
    <w:uiPriority w:val="11"/>
    <w:rPr>
      <w:sz w:val="24"/>
      <w:szCs w:val="24"/>
    </w:rPr>
  </w:style>
  <w:style w:type="paragraph" w:styleId="698">
    <w:name w:val="Quote"/>
    <w:basedOn w:val="655"/>
    <w:next w:val="655"/>
    <w:link w:val="699"/>
    <w:uiPriority w:val="29"/>
    <w:qFormat/>
    <w:pPr>
      <w:ind w:left="720" w:right="720"/>
    </w:pPr>
    <w:rPr>
      <w:i/>
    </w:rPr>
  </w:style>
  <w:style w:type="character" w:styleId="699" w:customStyle="1">
    <w:name w:val="Цитата 2 Знак"/>
    <w:link w:val="698"/>
    <w:uiPriority w:val="29"/>
    <w:rPr>
      <w:i/>
    </w:rPr>
  </w:style>
  <w:style w:type="paragraph" w:styleId="700">
    <w:name w:val="Intense Quote"/>
    <w:basedOn w:val="655"/>
    <w:next w:val="655"/>
    <w:link w:val="70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 w:customStyle="1">
    <w:name w:val="Выделенная цитата Знак"/>
    <w:link w:val="700"/>
    <w:uiPriority w:val="30"/>
    <w:rPr>
      <w:i/>
    </w:rPr>
  </w:style>
  <w:style w:type="character" w:styleId="702" w:customStyle="1">
    <w:name w:val="Header Char"/>
    <w:basedOn w:val="665"/>
    <w:uiPriority w:val="99"/>
  </w:style>
  <w:style w:type="character" w:styleId="703" w:customStyle="1">
    <w:name w:val="Footer Char"/>
    <w:basedOn w:val="665"/>
    <w:uiPriority w:val="99"/>
  </w:style>
  <w:style w:type="paragraph" w:styleId="704">
    <w:name w:val="Caption"/>
    <w:basedOn w:val="655"/>
    <w:next w:val="655"/>
    <w:link w:val="705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05" w:customStyle="1">
    <w:name w:val="Название объекта Знак"/>
    <w:link w:val="704"/>
    <w:uiPriority w:val="99"/>
  </w:style>
  <w:style w:type="table" w:styleId="706" w:customStyle="1">
    <w:name w:val="Table Grid Light"/>
    <w:basedOn w:val="66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07">
    <w:name w:val="Plain Table 1"/>
    <w:basedOn w:val="66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8">
    <w:name w:val="Plain Table 2"/>
    <w:basedOn w:val="66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3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0">
    <w:name w:val="Plain Table 4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Plain Table 5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2">
    <w:name w:val="Grid Table 1 Light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 w:customStyle="1">
    <w:name w:val="Grid Table 1 Light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 w:customStyle="1">
    <w:name w:val="Grid Table 1 Light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Grid Table 1 Light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Grid Table 1 Light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 w:customStyle="1">
    <w:name w:val="Grid Table 2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 w:customStyle="1">
    <w:name w:val="Grid Table 2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2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2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3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3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3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4"/>
    <w:basedOn w:val="666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4" w:customStyle="1">
    <w:name w:val="Grid Table 4 - Accent 1"/>
    <w:basedOn w:val="66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35" w:customStyle="1">
    <w:name w:val="Grid Table 4 - Accent 2"/>
    <w:basedOn w:val="66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36" w:customStyle="1">
    <w:name w:val="Grid Table 4 - Accent 3"/>
    <w:basedOn w:val="666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37" w:customStyle="1">
    <w:name w:val="Grid Table 4 - Accent 4"/>
    <w:basedOn w:val="66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38" w:customStyle="1">
    <w:name w:val="Grid Table 4 - Accent 5"/>
    <w:basedOn w:val="66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39" w:customStyle="1">
    <w:name w:val="Grid Table 4 - Accent 6"/>
    <w:basedOn w:val="66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0">
    <w:name w:val="Grid Table 5 Dark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1" w:customStyle="1">
    <w:name w:val="Grid Table 5 Dark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2" w:customStyle="1">
    <w:name w:val="Grid Table 5 Dark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3" w:customStyle="1">
    <w:name w:val="Grid Table 5 Dark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4" w:customStyle="1">
    <w:name w:val="Grid Table 5 Dark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47">
    <w:name w:val="Grid Table 6 Colorful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48" w:customStyle="1">
    <w:name w:val="Grid Table 6 Colorful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49" w:customStyle="1">
    <w:name w:val="Grid Table 6 Colorful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0" w:customStyle="1">
    <w:name w:val="Grid Table 6 Colorful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1" w:customStyle="1">
    <w:name w:val="Grid Table 6 Colorful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2" w:customStyle="1">
    <w:name w:val="Grid Table 6 Colorful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3" w:customStyle="1">
    <w:name w:val="Grid Table 6 Colorful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4">
    <w:name w:val="Grid Table 7 Colorful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7 Colorful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7 Colorful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7 Colorful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7 Colorful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7 Colorful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7 Colorful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List Table 1 Light - Accent 1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List Table 1 Light - Accent 2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List Table 1 Light - Accent 3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List Table 1 Light - Accent 4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5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6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69" w:customStyle="1">
    <w:name w:val="List Table 2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0" w:customStyle="1">
    <w:name w:val="List Table 2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1" w:customStyle="1">
    <w:name w:val="List Table 2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2" w:customStyle="1">
    <w:name w:val="List Table 2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75">
    <w:name w:val="List Table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3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3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3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3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4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4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4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5 Dark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0" w:customStyle="1">
    <w:name w:val="List Table 5 Dark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1" w:customStyle="1">
    <w:name w:val="List Table 5 Dark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2" w:customStyle="1">
    <w:name w:val="List Table 5 Dark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3" w:customStyle="1">
    <w:name w:val="List Table 5 Dark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>
    <w:name w:val="List Table 6 Colorful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7" w:customStyle="1">
    <w:name w:val="List Table 6 Colorful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798" w:customStyle="1">
    <w:name w:val="List Table 6 Colorful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799" w:customStyle="1">
    <w:name w:val="List Table 6 Colorful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0" w:customStyle="1">
    <w:name w:val="List Table 6 Colorful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1" w:customStyle="1">
    <w:name w:val="List Table 6 Colorful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2" w:customStyle="1">
    <w:name w:val="List Table 6 Colorful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3">
    <w:name w:val="List Table 7 Colorful"/>
    <w:basedOn w:val="66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7 Colorful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7 Colorful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7 Colorful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7 Colorful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7 Colorful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7 Colorful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ned - Accent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1" w:customStyle="1">
    <w:name w:val="Lined - Accent 1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2" w:customStyle="1">
    <w:name w:val="Lined - Accent 2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3" w:customStyle="1">
    <w:name w:val="Lined - Accent 3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4" w:customStyle="1">
    <w:name w:val="Lined - Accent 4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5" w:customStyle="1">
    <w:name w:val="Lined - Accent 5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16" w:customStyle="1">
    <w:name w:val="Lined - Accent 6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7" w:customStyle="1">
    <w:name w:val="Bordered &amp; Lined - Accent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8" w:customStyle="1">
    <w:name w:val="Bordered &amp; Lined - Accent 1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9" w:customStyle="1">
    <w:name w:val="Bordered &amp; Lined - Accent 2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0" w:customStyle="1">
    <w:name w:val="Bordered &amp; Lined - Accent 3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1" w:customStyle="1">
    <w:name w:val="Bordered &amp; Lined - Accent 4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2" w:customStyle="1">
    <w:name w:val="Bordered &amp; Lined - Accent 5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3" w:customStyle="1">
    <w:name w:val="Bordered &amp; Lined - Accent 6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4" w:customStyle="1">
    <w:name w:val="Bordered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5" w:customStyle="1">
    <w:name w:val="Bordered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26" w:customStyle="1">
    <w:name w:val="Bordered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27" w:customStyle="1">
    <w:name w:val="Bordered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28" w:customStyle="1">
    <w:name w:val="Bordered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29" w:customStyle="1">
    <w:name w:val="Bordered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0" w:customStyle="1">
    <w:name w:val="Bordered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1">
    <w:name w:val="Hyperlink"/>
    <w:uiPriority w:val="99"/>
    <w:unhideWhenUsed/>
    <w:rPr>
      <w:color w:val="0563c1" w:themeColor="hyperlink"/>
      <w:u w:val="single"/>
    </w:rPr>
  </w:style>
  <w:style w:type="paragraph" w:styleId="832">
    <w:name w:val="footnote text"/>
    <w:basedOn w:val="655"/>
    <w:link w:val="833"/>
    <w:uiPriority w:val="99"/>
    <w:semiHidden/>
    <w:unhideWhenUsed/>
    <w:pPr>
      <w:spacing w:after="40" w:line="240" w:lineRule="auto"/>
    </w:pPr>
    <w:rPr>
      <w:sz w:val="18"/>
    </w:rPr>
  </w:style>
  <w:style w:type="character" w:styleId="833" w:customStyle="1">
    <w:name w:val="Текст сноски Знак"/>
    <w:link w:val="832"/>
    <w:uiPriority w:val="99"/>
    <w:rPr>
      <w:sz w:val="18"/>
    </w:rPr>
  </w:style>
  <w:style w:type="character" w:styleId="834">
    <w:name w:val="footnote reference"/>
    <w:basedOn w:val="665"/>
    <w:uiPriority w:val="99"/>
    <w:unhideWhenUsed/>
    <w:rPr>
      <w:vertAlign w:val="superscript"/>
    </w:rPr>
  </w:style>
  <w:style w:type="paragraph" w:styleId="835">
    <w:name w:val="endnote text"/>
    <w:basedOn w:val="655"/>
    <w:link w:val="836"/>
    <w:uiPriority w:val="99"/>
    <w:semiHidden/>
    <w:unhideWhenUsed/>
    <w:pPr>
      <w:spacing w:after="0" w:line="240" w:lineRule="auto"/>
    </w:pPr>
    <w:rPr>
      <w:sz w:val="20"/>
    </w:rPr>
  </w:style>
  <w:style w:type="character" w:styleId="836" w:customStyle="1">
    <w:name w:val="Текст концевой сноски Знак"/>
    <w:link w:val="835"/>
    <w:uiPriority w:val="99"/>
    <w:rPr>
      <w:sz w:val="20"/>
    </w:rPr>
  </w:style>
  <w:style w:type="character" w:styleId="837">
    <w:name w:val="endnote reference"/>
    <w:basedOn w:val="665"/>
    <w:uiPriority w:val="99"/>
    <w:semiHidden/>
    <w:unhideWhenUsed/>
    <w:rPr>
      <w:vertAlign w:val="superscript"/>
    </w:rPr>
  </w:style>
  <w:style w:type="paragraph" w:styleId="838">
    <w:name w:val="toc 1"/>
    <w:basedOn w:val="655"/>
    <w:next w:val="655"/>
    <w:uiPriority w:val="39"/>
    <w:unhideWhenUsed/>
    <w:pPr>
      <w:spacing w:after="57"/>
    </w:pPr>
  </w:style>
  <w:style w:type="paragraph" w:styleId="839">
    <w:name w:val="toc 2"/>
    <w:basedOn w:val="655"/>
    <w:next w:val="655"/>
    <w:uiPriority w:val="39"/>
    <w:unhideWhenUsed/>
    <w:pPr>
      <w:ind w:left="283"/>
      <w:spacing w:after="57"/>
    </w:pPr>
  </w:style>
  <w:style w:type="paragraph" w:styleId="840">
    <w:name w:val="toc 3"/>
    <w:basedOn w:val="655"/>
    <w:next w:val="655"/>
    <w:uiPriority w:val="39"/>
    <w:unhideWhenUsed/>
    <w:pPr>
      <w:ind w:left="567"/>
      <w:spacing w:after="57"/>
    </w:pPr>
  </w:style>
  <w:style w:type="paragraph" w:styleId="841">
    <w:name w:val="toc 4"/>
    <w:basedOn w:val="655"/>
    <w:next w:val="655"/>
    <w:uiPriority w:val="39"/>
    <w:unhideWhenUsed/>
    <w:pPr>
      <w:ind w:left="850"/>
      <w:spacing w:after="57"/>
    </w:pPr>
  </w:style>
  <w:style w:type="paragraph" w:styleId="842">
    <w:name w:val="toc 5"/>
    <w:basedOn w:val="655"/>
    <w:next w:val="655"/>
    <w:uiPriority w:val="39"/>
    <w:unhideWhenUsed/>
    <w:pPr>
      <w:ind w:left="1134"/>
      <w:spacing w:after="57"/>
    </w:pPr>
  </w:style>
  <w:style w:type="paragraph" w:styleId="843">
    <w:name w:val="toc 6"/>
    <w:basedOn w:val="655"/>
    <w:next w:val="655"/>
    <w:uiPriority w:val="39"/>
    <w:unhideWhenUsed/>
    <w:pPr>
      <w:ind w:left="1417"/>
      <w:spacing w:after="57"/>
    </w:pPr>
  </w:style>
  <w:style w:type="paragraph" w:styleId="844">
    <w:name w:val="toc 7"/>
    <w:basedOn w:val="655"/>
    <w:next w:val="655"/>
    <w:uiPriority w:val="39"/>
    <w:unhideWhenUsed/>
    <w:pPr>
      <w:ind w:left="1701"/>
      <w:spacing w:after="57"/>
    </w:pPr>
  </w:style>
  <w:style w:type="paragraph" w:styleId="845">
    <w:name w:val="toc 8"/>
    <w:basedOn w:val="655"/>
    <w:next w:val="655"/>
    <w:uiPriority w:val="39"/>
    <w:unhideWhenUsed/>
    <w:pPr>
      <w:ind w:left="1984"/>
      <w:spacing w:after="57"/>
    </w:pPr>
  </w:style>
  <w:style w:type="paragraph" w:styleId="846">
    <w:name w:val="toc 9"/>
    <w:basedOn w:val="655"/>
    <w:next w:val="655"/>
    <w:uiPriority w:val="39"/>
    <w:unhideWhenUsed/>
    <w:pPr>
      <w:ind w:left="2268"/>
      <w:spacing w:after="57"/>
    </w:pPr>
  </w:style>
  <w:style w:type="paragraph" w:styleId="847">
    <w:name w:val="TOC Heading"/>
    <w:uiPriority w:val="39"/>
    <w:unhideWhenUsed/>
  </w:style>
  <w:style w:type="paragraph" w:styleId="848">
    <w:name w:val="table of figures"/>
    <w:basedOn w:val="655"/>
    <w:next w:val="655"/>
    <w:uiPriority w:val="99"/>
    <w:unhideWhenUsed/>
    <w:pPr>
      <w:spacing w:after="0"/>
    </w:pPr>
  </w:style>
  <w:style w:type="table" w:styleId="849">
    <w:name w:val="Table Grid"/>
    <w:basedOn w:val="666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50">
    <w:name w:val="Balloon Text"/>
    <w:basedOn w:val="655"/>
    <w:link w:val="85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1" w:customStyle="1">
    <w:name w:val="Текст выноски Знак"/>
    <w:basedOn w:val="665"/>
    <w:link w:val="850"/>
    <w:uiPriority w:val="99"/>
    <w:semiHidden/>
    <w:rPr>
      <w:rFonts w:ascii="Segoe UI" w:hAnsi="Segoe UI" w:cs="Segoe UI"/>
      <w:sz w:val="18"/>
      <w:szCs w:val="18"/>
    </w:rPr>
  </w:style>
  <w:style w:type="paragraph" w:styleId="852">
    <w:name w:val="Header"/>
    <w:basedOn w:val="655"/>
    <w:link w:val="85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3" w:customStyle="1">
    <w:name w:val="Верхний колонтитул Знак"/>
    <w:basedOn w:val="665"/>
    <w:link w:val="852"/>
    <w:uiPriority w:val="99"/>
  </w:style>
  <w:style w:type="paragraph" w:styleId="854">
    <w:name w:val="Footer"/>
    <w:basedOn w:val="655"/>
    <w:link w:val="85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5" w:customStyle="1">
    <w:name w:val="Нижний колонтитул Знак"/>
    <w:basedOn w:val="665"/>
    <w:link w:val="854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Megion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Сяфукова Эльвира Мягзумовна</dc:creator>
  <cp:keywords/>
  <dc:description/>
  <cp:revision>72</cp:revision>
  <dcterms:created xsi:type="dcterms:W3CDTF">2024-04-17T05:41:00Z</dcterms:created>
  <dcterms:modified xsi:type="dcterms:W3CDTF">2026-09-15T04:42:21Z</dcterms:modified>
</cp:coreProperties>
</file>