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widowControl w:val="o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Сводный годовой доклад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ходе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реализации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оценке эффективности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муниципальных программ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города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 2025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widowControl w:val="o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+mn-ea"/>
          <w:color w:val="000000" w:themeColor="text1"/>
          <w:sz w:val="24"/>
          <w:szCs w:val="24"/>
        </w:rPr>
      </w:pP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Сводный годовой доклад о ходе реализации и оценки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эффективности муниципальных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программ подготовлен в соответствии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поста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новлением администрации города                            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от 21.06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.202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1287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«О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орядке разработки и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реализации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муниципальных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программ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(с изменениями)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Arial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Основой для формирования сводного годового доклада являются годовые отчеты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ходе реализации и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оценке эффективности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муниципальных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программ, предоставленные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управление экономической политики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ответственными исполнителями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муниципальных программ, а также утвержденные муниципальные программы</w:t>
      </w:r>
      <w:r>
        <w:rPr>
          <w:rFonts w:ascii="Times New Roman" w:hAnsi="Times New Roman" w:eastAsia="Arial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Arial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Arial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На момент 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роведения оценки эффективности 3 муниципальные программы не приведены в соответст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вие с решениям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 Думы города Мегиона от 12.12.2025 №42 «О бюджете городского округа Меги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он Ханты-Мансийского автономного округа – Югры на 2026 год и плановый период 2027 и 2028 годов», от 25.12.2025 №43 «О внесении изменений в решение Думы города Мегиона от 09.12.2024 №4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27 «О бюджете городского округа Мегион Ханты-Мансийского автономного округа – Югры на 2025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д и плановый период 2026 и 2027 годов» (см изменениями). Оценка эффективности по муниципальным программам  «Культурное пространство в городе Мегионе», «Развитие информационного общества на территории города Мегиона», «Молодежная политика города Мегиона» 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оведена на основании годовых отчетов ответственных исполнителей муниципальных программ.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+mn-ea"/>
          <w:color w:val="000000" w:themeColor="text1"/>
          <w:sz w:val="24"/>
          <w:szCs w:val="24"/>
        </w:rPr>
      </w:pP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По итогам 2025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года управлением экономической политики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на основе информации, представленной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ответственными исполнителями муниципальных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программ, по каждой программе проведена комплексная оценка эффективности реал</w:t>
      </w:r>
      <w:r>
        <w:rPr>
          <w:rFonts w:ascii="Times New Roman" w:hAnsi="Times New Roman" w:eastAsia="Arial"/>
          <w:color w:val="000000" w:themeColor="text1"/>
          <w:sz w:val="24"/>
          <w:szCs w:val="24"/>
          <w:lang w:eastAsia="ru-RU"/>
        </w:rPr>
        <w:t xml:space="preserve">изации муниципальных программ в соответствии с постановлением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администрации города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от 04.02.2016 №176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 «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О методике оценки эффективности реализации муниципа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льных программ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го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род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(с изменениями)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. Оценка проводилась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по следующим критериям: освоение средств за счет всех источников финансирования, степень достижения значений показателей муниципальной программы, объем дополнительно привлеченных средств для финансирования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муниципальной программы, степень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выполнения мероприятий муниципальной программы в отчетном году.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При оценке степени достижения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значений показателей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выше 100%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применялось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«отсечение» полученных значений до 100% с целью исключения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влияния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перевыполнения одного или нескольких мероприятий (показателей)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на оценку эффективности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муниципальной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программ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ы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целом. Кроме того, значения показателей и объемов исполнения муниципальных программ от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95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% до 100% учитывали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сь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как достигнутые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в полном объеме.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+mn-ea"/>
          <w:color w:val="000000" w:themeColor="text1"/>
          <w:sz w:val="24"/>
          <w:szCs w:val="24"/>
        </w:rPr>
      </w:pP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Необходимо отметить, что муниципальные программы содержат как «позитивные»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показатели, положительной динамикой изменения которых я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вляется увеличение их значений, так и «негативные», положительной динамикой изменений которых является уменьшение их значений.</w:t>
      </w:r>
      <w:r>
        <w:rPr>
          <w:rFonts w:ascii="Times New Roman" w:hAnsi="Times New Roman" w:eastAsia="+mn-e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  <w:r>
        <w:rPr>
          <w:rFonts w:ascii="Times New Roman" w:hAnsi="Times New Roman" w:eastAsia="+mn-ea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Все муниципальные программы разработаны в соответствии с приоритетами социально-экономического развития, определенными Стратегией социально-экономического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развития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города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Мегион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период до 203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1.Население и человеческий капитал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униципальная экономика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ородская среда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4.Муниципальное управление и самоуправление.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город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2025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 были запланированы средства на финансирование 2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ых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утвержденных распоряжением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.0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.2025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№105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«О перечне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муниципальных программ города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егиона» (с изменениями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утвержденных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 по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 привлекалось софинансирование из бюджетов других уровней.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Плановое финансирование муниципал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ьных про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грамм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году, с учетом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всех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источников финансирования составило 8 600 551,0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федеральный бюджет – 159 691,5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бюджет автономного округа – 4 852 060,1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местный бюджет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3 588 799,4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рублей.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актически освоено 8 279 773,8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тыс.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рублей, или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96,3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 от годового плана: федеральный бюджет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159 691,5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 (99,4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), бюджет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автономного ок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руга – 4 726 052,5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тыс. рублей 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97,4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%), 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стный бюджет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3 395 031,5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тыс. рублей 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94,6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Исполнение расходных обязательств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муниципальным программам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за 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654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962"/>
        <w:gridCol w:w="1701"/>
        <w:gridCol w:w="1417"/>
        <w:gridCol w:w="992"/>
      </w:tblGrid>
      <w:tr>
        <w:trPr>
          <w:trHeight w:val="600"/>
          <w:tblHeader/>
        </w:trPr>
        <w:tblPrEx/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Муниципальная программа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Объем финансирования на 2025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год, тыс. рублей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за 2025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64"/>
          <w:tblHeader/>
        </w:trPr>
        <w:tblPrEx/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 рублей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систем гражданской защиты населения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66 843,3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66 228,8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39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Улучшение условий и охраны труда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2 612,0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2 596,9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6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Поддержка и развитие малого и среднего предпринимательства на территории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4 536,6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4 536,6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гражданского общества на территории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6 488,7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6 443,7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3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муниципальными финансами в 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45 130,1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44 496,3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Культурное пространство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723 133,7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711 121,7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муниципальной службы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350,0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8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Информационное обеспечение деятельности органов местного самоуправления города Мегион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36 768,3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36 074,5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физической культуры и спорта, укрепление общественного здоровья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435 893,7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432 588,8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2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 имуществ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ом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36 890,8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30 816,4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83,5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9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жилищной сферы на территории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1 064 346,2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1 049 959,7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информационного общества на территории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44 504,8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44 247,3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5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транспортной системы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771 252,6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718 756,1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93,2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жилищно-коммунального комплекса и повышение энергетической эффективности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763 959,9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659 057,6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в области градостроительной деятельности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11 156,9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9 985,4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89,5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доступной среды для инвалидов и других маломобильных групп населения на территории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14 723,5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7 786,5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52,9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Профилактика правонарушений в сфере обществе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нного порядка,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незаконного оборота и злоупотребления наркотиками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1 744,2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1 658,4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95,1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75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профилактика экстремизма и терроризма в 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9 574,9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9 551,5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54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образования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3 739 306,3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3 676 572,3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экологической безопасности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19 342,2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18 049,6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93,3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ого управления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643 699,7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621 881,0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комфортной городской среды города Мегио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54 101,6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27 308,3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Молодежная политика города 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104 168,0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99 706,4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5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Всего в рамках муниципальных программ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8 600 551,0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8 279 773,8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оцен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ки 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 (34,8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%) получили расчетную оценку «отлично» и рекомендации обеспечить необходимый уровень финансирования муниципальных программ за счет средств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местного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бюджета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 (52,2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%) получили расчетную оценку «хорошо» и рекомендации сохранить прежний уровень финансирования муниципальных программ за счет средств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местного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бюджета в очередном финансовом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 программы (13,0%) получили расчетную оценку «удовлетворительно» и рекомендации сохранить уровень финансирования муниципальной программы за счет средств местного бюджета в очередном финансовом году при условии ее корректировки.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комплексной оценки эффективности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реализации муниципальных программ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513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6"/>
        <w:gridCol w:w="4916"/>
        <w:gridCol w:w="1276"/>
        <w:gridCol w:w="1275"/>
        <w:gridCol w:w="1560"/>
      </w:tblGrid>
      <w:tr>
        <w:trPr>
          <w:trHeight w:val="545"/>
          <w:tblHeader/>
        </w:trPr>
        <w:tblPrEx/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программы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Комплексный критерий оценки программы (R)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Оценка эффективности программы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4"/>
          <w:tblHeader/>
        </w:trPr>
        <w:tblPrEx/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систем гражданской защиты населения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Улучшение условий и охраны труда в 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Поддержка и развитие малого и среднего предпринимательства на территории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гражданского общества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муниципальными финансами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0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Культурное пространство в городе Мегионе 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муниципальной службы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1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Информационное обеспечение деятельности органов местного самоуправления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0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физической культуры и спорта, укрепление общественного здоровья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4,4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3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 имуществом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6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жилищной сферы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3,9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информационного общества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4,1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6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транспортной системы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4,8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rPr>
          <w:trHeight w:val="82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жилищно-коммунального комплекса и повышение энергетической эффективности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1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в области градостроительной деятельности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1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доступной среды для инвалидов и других маломобильных групп населения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1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Профилактика правонарушений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в сфере общественного порядка,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незаконного оборота и злоупотребления наркотиками в городе Мегионе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020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профилактика экстремизма и терроризма в городе Мегионе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образования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экологической безопасности на территории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rPr>
          <w:trHeight w:val="629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муниципального управления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отлично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5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комфортной городской среды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55"/>
        </w:trPr>
        <w:tblPrEx/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1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Молодежная политика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хорошо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pStyle w:val="904"/>
        <w:spacing w:after="0" w:line="240" w:lineRule="auto"/>
        <w:ind w:firstLine="708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Исполнение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муниципальных программ сложилось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следующим образом: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1.Развитие систем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гр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ажданской защиты населения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ением администрации города от 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.12.20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072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66 843,3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66 228,8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>
          <w:trHeight w:val="26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66 843,3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66 228,8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устойчивого социально-экономиче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ского развития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а также приемлемого уровня безопасности жизнедеятельности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необходимого уровня защищенности населени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я и территории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материальных и культурных ценностей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 опасностей, возникающих при военных конфликтах и чрезвычайных ситуациях, обеспечение эффективной деятельности МКУ «УГЗН» в установленных сферах деятельности.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текущем году совместно с ФКУ «Центр управления в кризисных ситуациях Главного управления МЧС России по Ханты-Мансийскому автономному округу – Югре» и Единой дежурно-диспетчерской службой МКУ «УГЗН» города Мегиона, было проведено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трениров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ок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 предупреждению и ликвидации чрезвычайных ситуаций.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Ежеквартально специалистами ЕДДС проводилось техническое обслуживание и проверка автоматизированных рабочих мест Системы – 112 и территориальной автоматизированной системы централизованного оповещения.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992"/>
        <w:gridCol w:w="1134"/>
        <w:gridCol w:w="1418"/>
        <w:gridCol w:w="1417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3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Обеспечение надежности функционирования единой дежурно-диспетчерской службы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 каналами связи на уровне 100%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63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Количество информационно-пропагандистской печатной продукции по вопросам пожарной безопасности, распространяемой среди населения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2300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2300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63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Обеспечение уровня выполнения мероприятий по предупреждению и ликвидации чрезвычайных ситуаций до 100%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strike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strike w:val="0"/>
                <w:color w:val="000000" w:themeColor="text1"/>
                <w:sz w:val="20"/>
              </w:rPr>
              <w:t xml:space="preserve">%</w:t>
            </w:r>
            <w:r>
              <w:rPr>
                <w:rFonts w:ascii="Times New Roman" w:hAnsi="Times New Roman" w:eastAsia="Times New Roman"/>
                <w:strike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trike w:val="0"/>
                <w:color w:val="000000" w:themeColor="text1"/>
                <w:sz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3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Поддержание временных показателей на оповещение населения на уровне не более 5 минут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 мин.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9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Обеспечение уровня работоспособности муниципального казенного учреждения «Управление гражданской защиты населения» до 100%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6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Объем налоговых расходов городского округа, реализованных посредством предоставления льготы на земельный налог МКУ «УГЗН»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</w:tr>
    </w:tbl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2.Улучшение условий и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охраны труда 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 №1800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Объем б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1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2 612,0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2 596,9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>
          <w:trHeight w:val="28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2 127,6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2 126,2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>
          <w:trHeight w:val="19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484,4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470,7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97,2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программы является обеспечение конституционных прав и гарантий работников на здоровые и безопасные условия труда.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Снижение уровней производственного травматизма и профессиональной заболеваемости ср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еди работников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рамках реализаци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программных мероприятий в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проведены следующие мероприятия: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мероприятия по вопросам охраны труда;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и проведение специальной оценки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условий труда в муниципальных учреждениях города;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обучения и проверки знаний требований охраны труда руководителей            и специалистов муниципальных учреждений;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обучения руководителей и специалистов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учреждений города мерам пожарной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безопасности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7187" w:leader="none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обучения руководителей и специалистов муниципальных учреждений города гражданской обороне и чрезвычайным ситуациям.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ожидаемое значение 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показателям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708"/>
        <w:gridCol w:w="709"/>
        <w:gridCol w:w="851"/>
        <w:gridCol w:w="850"/>
        <w:gridCol w:w="1559"/>
      </w:tblGrid>
      <w:tr>
        <w:trPr>
          <w:trHeight w:val="1054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организаций города Мегиона, предоставляющих ежегодную информацию о состоянии условий и охраны труда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106,5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специалистов по охране труда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Мегиона,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Мегиона», который организуется и проводится раз в два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непрерывного повышения профессиональных знаний специалистов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посредством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участия в семинарах, совещаниях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улучшению услови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охраны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труда, проводимых управлением экономической политики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101,1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рабочих мест в муниципальных учреждениях города, на которых проведена специальная оценка условий труда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164,3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3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руководителей и специалистов муниципальных учреждений, ежегодно проходящих обучение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проверку знаний по охране труда,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мерам пожарной безопасности,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гражданской обороне и чрезвычайным ситуациям в обучающих организациях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144,1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пострадавших на производстве с утратой трудоспособности на 1 рабочий день и более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5 раз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отлично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3.Поддержка и развитие малого и среднего предприн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имательства на территории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Программа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утверждена постановл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ением админ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истрации города от 03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023 №1801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92"/>
        <w:gridCol w:w="1638"/>
        <w:gridCol w:w="1302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2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1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2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2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2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4 536,6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2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4 536,6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2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4 309,8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2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4 309,8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2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226,8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2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226,8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елью программы является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повышени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 реального роста дохода на 1 работника субъекта малого и среднего предпринимательства, устойчивое развитие агропромышленного комплекса и сельских территорий, повышение конкурентоспособности произведенной в автономном округе сельскохозяйственной продукции.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реализации муниципальной программы осуществлялась реализация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мероприятий, направленных на достижение результатов регионального проекта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Малое и среднее предпринимательство и поддержка индивидуальной предпринимательской инициативы», направленных на достижение результатов национального проекта «Эффективная и конкурентная экономика».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На ос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новании постановлений администрации города от 17.06.2025 №1036, от 27.10.2025 №1675, от 11.12.2025 №1946 «О предоставлении субсидий субъектам малого и среднего предпринимательства» заключено 18 соглашений с субъектами малого и среднего предпринимательства.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Субъекты, осуществляющие деятельность в области здравоохранения, спорта, отдыха и развлечений, гостиниц и прочих мест для временного проживания, в сфере туризма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, предоставления социальных услуг без обеспечения проживания престарелым и инвалидам, прочих услуг (ремонт часов и ювелирных изделий, химчистка, организация похорон, парикмахерские и салоны красоты) получили финансовую поддержку по следующим направлениям: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на аренду нежилых помещений;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на приобретение оборудования;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на оплату коммунальных услуг.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муниципальной программы осуществлялась по 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536"/>
        <w:gridCol w:w="993"/>
        <w:gridCol w:w="992"/>
        <w:gridCol w:w="1276"/>
        <w:gridCol w:w="1275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Численность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занятых в сфере малого и среднего предпринимательства, включая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тыс.чел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117,0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70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Оказание информационно-консультационной поддержки, в том числе через Цифровую платформу МСП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да/нет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70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Передача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 в аренду муниципального имущества, включенного в Перечень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ab/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отлично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Развитие гражданского общества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на территории города Мегиона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ением ад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министрации города от 16.11.2023 №1901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6 488,7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6 443,7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/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5 888,7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5 843,7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Цель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программы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является создание условий для развития институтов гражданского общества и реализации гражданских инициатив, формирование культуры открытости в системе муниципального управления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конкурса на предоставление гранта в форме субсидии финансовая поддержка предоставлена: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автономной некоммерческой организации содействия развития молодежи «До 16 и старше»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автономной некоммерческой организации «Хуторское казачье общество «Мегион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автономной некоммерческой организации «Многонациональный Мегион»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автономной некоммерческой организации «Нъехэс».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820"/>
        <w:gridCol w:w="850"/>
        <w:gridCol w:w="1134"/>
        <w:gridCol w:w="1134"/>
        <w:gridCol w:w="1134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Фактичес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социально ориентированных некоммерческих организаций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осуществляющих деятельность на территории города Мегиона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83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мероприятий (проектов программ), реализованных социально ориентированными некоммерческими организациями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2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социально значимых проектов социально ориентированных некоммерческих организаций, получивших финансовую поддержку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101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консультаций для социально ориентированных некоммерческих организаций по организационным вопросам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99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объектов муниципального имущества, переданного в пользование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Объем информационной поддержки проектов социально ориентированных некоммерческих организаций, получивших государственную и муниципальную поддержку на оказание социально значимых услуг и реализацию социально значимых программ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147,4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69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изготовленных видеоматериалов и баннеров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56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и участия населения в осуществлении местного самоуправления в городе Мегионе и случаев их применения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128,0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Сохранение доли граждан, воспользовавшихся мерами социальной поддержки, от числа граждан, имеющих право на их получение и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ратившихся за их получением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56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граждан, награжденных знаком отличия «Доброволец Мегиона»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561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мероприятий для социально ориентированных некоммерческих организаций, осуществляющих деятельность в городе Мегионе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5.Управление муниципальными финансами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26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0.2023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1736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45 130,1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44 496,3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345,6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345,6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44 784,5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44 150,7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Целью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долгосрочной сбалансированности и устойчивости бюджета города Мегиона, повышение качества управления муниципальными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финансами города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В рамках реализации муниципальной программы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проводились следующие мероприятия: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мониторинг полноты и своевременности поступления налогов, сборов и других обязательных платежей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мониторинг налоговых расходов по земельному налогу и налогу на имущество физических лиц;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совместное межведомственное взаимодействие между Управлением Федерального казначейства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Ханты-Мансийскому автономному округу – Югре, Межрайонной инспекцией Федеральной налоговой службы России №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 Ханты-Мансийскому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автономному округу – Югре и другими главными администраторами доходов в части обмена оперативной информацией по платежам в бюджете города, с целью снижения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невыясненных платежей;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работа по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окращению невыясненных платежей;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взаимодействие администрации города с крупнейшим налогоплательщиком, осуществляющим свою деятельность на территор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ии города;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ля осуществления мер, направленных на ликвидацию задолженности организаций и физических лиц, на территории муниципального образования осуществляла работу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комиссия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 моби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лизации доходов в бюджет города;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рово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дилась разъяснительная работа 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целесообразности своевременной уплаты налогов и налоговых платежей, работа со списками должников, работниками администрации города, органов администрации города, бюджетных казенных и автономных учреждений города на предмет задолженности по уплате налогов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сборов во все уровни бюджетов.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й программы осуществлялась по 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 показателям,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992"/>
        <w:gridCol w:w="850"/>
        <w:gridCol w:w="851"/>
        <w:gridCol w:w="992"/>
        <w:gridCol w:w="1559"/>
      </w:tblGrid>
      <w:tr>
        <w:trPr>
          <w:trHeight w:val="741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Исполнение плана по налоговым и неналоговым доходам, утвержденного реше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нием о бюджете города Мегиона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&gt;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95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102,5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107,9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182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города Мегиона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&gt;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95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96,2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101,3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184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Доля бюджетных ассигнований предусмотренных в бюджете города Мегиона в рамках муниципальных программ, в общих расходах бюджета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&gt;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98,2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98,9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5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Отношение объема муниципального долга к общему объему доходов бюджета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города Мегиона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(без учета объемов безвозмездных поступлений)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≤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16,7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179,6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показатель «негативный», положительной динамикой которого является уменьшение его значения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отлично». 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6.Культурное пространство 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администрации г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28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.12.20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На момент п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роведения оценки эффективности муниципальная программа не приведена в соответст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вие с решениям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и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годов», от 25.12.2025 №43 «О внесении изменений в решение Думы города Мегиона от 09.12.2024 №4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27 «О бюджете городского округа Мегион Ханты-Мансийского автономного округа – Югры на 2025 год и плановый период 2026 и 2027 годов» (см изменениями). Оценка эффективности муниципальной программы  пр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оведена на основании годового отчета управления культуры администрации города.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723 133,7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711 121,7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8 447,2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8 447,2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15 667,2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15 644,7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99,9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699 019,3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687 029,8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 целями программы являются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Мегиона, доступа населения к культурным ценностям, цифровым ресурсам в сфере культуры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Реализация муниципальной программы осуществляется в значимых сферах социально-экономического развития города Мегиона: культура и искусство, историко-культурное наследие, государственная национальная политика.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В программе нашли отражение приоритеты развития культ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урного комплекса города Мегиона, среди которых мероприятия как по основным направлениям отрасли (библиот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ечное и музейное дело, кинематография, образование в сфере культуры, народное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творчество и традиционная культура, художественные промыслы и ремесла, профессиональное искусство, сохранение и популяризация историко-культурного наследия),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так и развитие негос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ударственного сектора (поддержка некоммерческих и общественных ор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ганизаций в сфере культуры).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Внимание уделено также вопросам развития материально-технической базы (приобретение современного оборудования, капи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таль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ный и текущий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ремонты зданий и сооружений).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В рамках муниципальной программы были реализованы следующие комплексы процессных мероприятий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  <w:highlight w:val="none"/>
        </w:rPr>
        <w:t xml:space="preserve">региональный проект «Сохранение культурного и исторического наследия»;</w:t>
      </w:r>
      <w:r>
        <w:rPr>
          <w:rFonts w:ascii="Times New Roman" w:hAnsi="Times New Roman" w:eastAsia="Calibri Light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  <w:highlight w:val="none"/>
        </w:rPr>
        <w:t xml:space="preserve">региональный проект «Развитие искусства и творчества»;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развитие библиотечного дела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беспечение комплексной безопасности учреждений культуры и дополнительно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го образования в сфере культуры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;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п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оддержка одаренных детей и молодежи, развитие художественного образования;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р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азвитие профессионального искусства;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с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тимулирование культурного разнообразия в городе Мегионе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Calibri Light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р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еализация единой государственной политики в сфере культуры.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рамках реализации муниципальной программы осуществляется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реализация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мероприятий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, направленных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на исполнение региона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льного проекта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«Семейные ценности и инфраструктура культуры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, а также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на достижение результатов национального проекта «Семья»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904"/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Для города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Меги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он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декомпозирован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показатель: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«Число посещений культурных мероприятий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Показатель исполнен.</w:t>
      </w:r>
      <w:r>
        <w:rPr>
          <w:rFonts w:ascii="Times New Roman" w:hAnsi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программы осуществлялась по 11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которых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96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530"/>
        <w:gridCol w:w="1134"/>
        <w:gridCol w:w="1134"/>
        <w:gridCol w:w="993"/>
        <w:gridCol w:w="1281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507,0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508,7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958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Оцифровка музейных предметов, представленных в сети Интернет, от общего числа музейных предметов основно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го фонда музея</w:t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125,0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1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14 896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14 980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учреждений культуры, получивших современное оборудование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переоснащенных муниципальных библиотек по модельному стандарту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удовлетворенности населения услугами в сфере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101,2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Число обращений к цифровым ресурсам в сфере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 ед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105,8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реализованных при государственной поддержке творческих инициатив и проектов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зданий учреждений культуры, находящихся в удовлетворительном состоянии, в общем количестве зданий данных учреждений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85,0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2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обеспеченности организациями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учреждений воспользовавшихся налоговой льготой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ab/>
        <w:t xml:space="preserve">Ответственному исполнителю рекомендуется обеспечивать своевременное внесение изменений в муниципальную программу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основании пункта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Порядка принятия решения о разработке муниципальных программ города Мегиона, их формирования, утверждения и реализации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постановлением администрации города от 21.06.2024 №1287 «О порядке разработки и реализации муниципальных программ города Мегиона» (с изменениями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7.Развитие муниципальной службы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утверждена постановлением администрации города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1933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Объем бюджетных асси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программы является формирование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рамках реализации комплекса процессных мероприятий «Повышение уровня профессиональной компетенции муниципальных служащих» 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повышение квалификации прошли 35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муниципальны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х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лужащи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х 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 муниципальный служащий, включенный в кадровый резерв администрации города.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9654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992"/>
        <w:gridCol w:w="1228"/>
        <w:gridCol w:w="1228"/>
        <w:gridCol w:w="1229"/>
      </w:tblGrid>
      <w:tr>
        <w:trPr>
          <w:trHeight w:val="765"/>
          <w:tblHeader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43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муниципальных служащих, повысивших квал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ификацию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116,7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43"/>
        </w:trPr>
        <w:tblPrEx/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муниципальных служащих администрации города Мегиона, соблюдающих ограничения и запреты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отлично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8.Информационное обеспечение деятельности органо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 местного самоуправления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утверждена постановлением админист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рации города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1897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36 768,3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36 074,5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36 768,3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36 074,5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Основными целями программы являются функционирование системы производства и доведения до населения го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рода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информации о деятельности органов местного самоуправления, иной социально-значимой информации, способствующей сохранению социальной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стабильности в городе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эффективному взаимодействию органов местного самоуправления и населения, социально-экономическому развитию муниципального образования.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Основными каналами распространения информации о деятельности органов местного самоуправления города в 2025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году были: официальный сайт администрации города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 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instrText xml:space="preserve">HYPERLINK</w:instrTex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 "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instrText xml:space="preserve">http</w:instrTex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://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instrText xml:space="preserve">www</w:instrTex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instrText xml:space="preserve">admmegion</w:instrTex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instrText xml:space="preserve">ru</w:instrTex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instrText xml:space="preserve">" </w:instrTex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fldChar w:fldCharType="separate"/>
      </w:r>
      <w:r>
        <w:rPr>
          <w:rStyle w:val="926"/>
          <w:rFonts w:ascii="Times New Roman" w:hAnsi="Times New Roman"/>
          <w:color w:val="000000" w:themeColor="text1"/>
          <w:sz w:val="24"/>
          <w:szCs w:val="24"/>
          <w:u w:val="none"/>
          <w:lang w:val="en-US" w:eastAsia="ru-RU"/>
        </w:rPr>
        <w:t xml:space="preserve">www</w:t>
      </w:r>
      <w:r>
        <w:rPr>
          <w:rStyle w:val="926"/>
          <w:rFonts w:ascii="Times New Roman" w:hAnsi="Times New Roman"/>
          <w:color w:val="000000" w:themeColor="text1"/>
          <w:sz w:val="24"/>
          <w:szCs w:val="24"/>
          <w:u w:val="none"/>
          <w:lang w:eastAsia="ru-RU"/>
        </w:rPr>
        <w:t xml:space="preserve">.</w:t>
      </w:r>
      <w:r>
        <w:rPr>
          <w:rStyle w:val="926"/>
          <w:rFonts w:ascii="Times New Roman" w:hAnsi="Times New Roman"/>
          <w:color w:val="000000" w:themeColor="text1"/>
          <w:sz w:val="24"/>
          <w:szCs w:val="24"/>
          <w:u w:val="none"/>
          <w:lang w:val="en-US" w:eastAsia="ru-RU"/>
        </w:rPr>
        <w:t xml:space="preserve">admmegion</w:t>
      </w:r>
      <w:r>
        <w:rPr>
          <w:rStyle w:val="926"/>
          <w:rFonts w:ascii="Times New Roman" w:hAnsi="Times New Roman"/>
          <w:color w:val="000000" w:themeColor="text1"/>
          <w:sz w:val="24"/>
          <w:szCs w:val="24"/>
          <w:u w:val="none"/>
          <w:lang w:eastAsia="ru-RU"/>
        </w:rPr>
        <w:t xml:space="preserve">.</w:t>
      </w:r>
      <w:r>
        <w:rPr>
          <w:rStyle w:val="926"/>
          <w:rFonts w:ascii="Times New Roman" w:hAnsi="Times New Roman"/>
          <w:color w:val="000000" w:themeColor="text1"/>
          <w:sz w:val="24"/>
          <w:szCs w:val="24"/>
          <w:u w:val="none"/>
          <w:lang w:val="en-US" w:eastAsia="ru-RU"/>
        </w:rPr>
        <w:t xml:space="preserve">ru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медиа-ресурсы муниципального автономного учреждения «Информационное агентство «Мегионские новости», телекомпания «Акцент» и «Эфир-Медиа», радиостанции «Р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усское ради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о», «Дорожное радио».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 начала года управлением общественных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связей администрация города заключено 16 муниципальных контрактов на оказание услуг по производству и размещению материалов о деятельности органов местного самоуправления и иной социально-значимой информации в сети кабельного и эфирного телевидения, в эфи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 местных радиостанций, в электронном региональном средстве массовой информации. Заключены контракты на изготовление полиграфической продукции, трансляцию информационных материалов администрации города для жителей пгт.Высокий.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Систематически проводилась онлайн-трансляция программ «Прямой эфир» 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запись программы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«Актуальное интервью» в сети кабельного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телевидения на территории городского округа в рамках муниципальных контрактов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Оценка эффективности реализации муниципальн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ой программы осуществлялась по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показ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ателям, ожидаемое значение кото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ых достигнуто в полном объеме.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992"/>
        <w:gridCol w:w="1134"/>
        <w:gridCol w:w="1418"/>
        <w:gridCol w:w="1275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9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709" w:leader="none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Удовлетворенность населения качеством информирования о деятельности органов местного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(процент от числа опрошенных)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79,6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79,7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709" w:leader="none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Общий объем произведенных и размещенных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111,0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709" w:leader="none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информационных материалов в газете «Мегионские новости»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полоса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25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709" w:leader="none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Производство и распространение телепрограмм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25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709" w:leader="none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Производство и выпуск сетевого издания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мегабайт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19 312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101,6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«отлично».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 счет средств местного бюджета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9.Развитие физической ку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льтуры и спорта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, укрепление общественного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здоровья 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утверждена постановл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ением администрации города от 03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1820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435 893,7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432 588,8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33 885,4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33 885,4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402 008,3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398 703,4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Основной ц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елью программы является создание усл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овий населению городского округа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для регулярных занятий физической культурой и спортом,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развитие спортивной инфраструктуры, о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беспечение подготовки спортивного резерва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повышение качества оказания услуг в сфере физической культуры и спорта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улучшение здоровья населения, формирование культуры общественного здоровья, ответственного отношения к здоровью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рамках муниципальной программы были реализованы следующие комплексы процессных мероприятий: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реализация Всероссийского физкультурно-спортивного комплекса «Готов к труду и обороне»;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проведение муниципальных С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партакиад, физкультурно-массовых мероприятий, спортивных мероприятий, первенств и чемпионатов по видам спорта;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мероприятия по обеспечению комплексной безопасности и комфортных условий в муниципальных спортивных учреждениях. Ремонтные р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аботы спортивных объектов и сооружений;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создание условий для удовлетворения потребности населения города в оказании услуг в сфере физической культуры и спорта;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для детей» в соответствии с социальным сертификатом на получение муниципальной услуги в социальной сфере города Мегиона;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спорта;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реализация мероприятий по приобретению спортивного оборудования и инвентаря;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развитие сети спортивных объектов шаговой доступности;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  <w:lang w:eastAsia="ru-RU"/>
        </w:rPr>
        <w:t xml:space="preserve">муниципальная поддержка некоммерчес</w:t>
      </w:r>
      <w:r>
        <w:rPr>
          <w:rFonts w:ascii="Times New Roman" w:hAnsi="Times New Roman"/>
          <w:color w:val="auto"/>
          <w:sz w:val="24"/>
          <w:szCs w:val="24"/>
          <w:highlight w:val="none"/>
          <w:lang w:eastAsia="ru-RU"/>
        </w:rPr>
        <w:t xml:space="preserve">ких организаций (за исключением государственных (муниципальных учреждений)».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Для города</w:t>
      </w:r>
      <w:r>
        <w:rPr>
          <w:rFonts w:ascii="Times New Roman" w:hAnsi="Times New Roman"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 декомпозированы следующие </w:t>
      </w:r>
      <w:r>
        <w:rPr>
          <w:rFonts w:ascii="Times New Roman" w:hAnsi="Times New Roman"/>
          <w:color w:val="auto"/>
          <w:sz w:val="24"/>
          <w:szCs w:val="24"/>
        </w:rPr>
        <w:t xml:space="preserve">показатели: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/>
          <w:color w:val="auto"/>
          <w:sz w:val="24"/>
          <w:szCs w:val="24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спорта»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«Доля граждан, систематически занимающихся физической культурой и спортом».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Показатели достигнуты.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spacing w:after="0" w:line="240" w:lineRule="atLeast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реализации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13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tLeast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678"/>
        <w:gridCol w:w="992"/>
        <w:gridCol w:w="1134"/>
        <w:gridCol w:w="1134"/>
        <w:gridCol w:w="1134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6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граждан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систематически занимающ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ихся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физической культурой и спортом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Количество учреждений, воспользовавшихся налоговой льготой</w:t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Численность населения, принявшего участие в сдаче </w:t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норматив</w:t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 Всероссийского физкультурно-спортивного комплекса «Готов к труду и </w:t>
            </w:r>
            <w:r>
              <w:rPr>
                <w:rFonts w:ascii="Times New Roman" w:hAnsi="Times New Roman" w:eastAsia="Times New Roman" w:cs="Calibri"/>
                <w:color w:val="000000" w:themeColor="text1"/>
                <w:sz w:val="24"/>
                <w:szCs w:val="24"/>
                <w:lang w:eastAsia="ru-RU"/>
              </w:rPr>
              <w:t xml:space="preserve">обороне» (ГТО)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5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Проведение спортивно-массовых мероприятий, первенств и чемпионатов по видам спорта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90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75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Присвоение спортивных разрядов и квалификационных категорий спортивных судей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840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840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75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Доля занимающихся по программам спортивной подготовки, в общем количестве занимающихся в муниципальных учреждениях сферы физической культуры и спорта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2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5,5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5,5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5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Количество получателей услуг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 работ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 муниципальных учреждениях сферы физической культуры и спорта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040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040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Количество получателей услуг в муниципальных учреждениях сферы физической культуры и спорта по программе «Реализация дополнительных  общеразвивающих программ для детей» в соответствии с муниципальным социальным заказом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550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550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мероприятий (проектов, программ), реализованных социально ориентированными некоммерческими организациями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граждан, прин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явших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в мероприятиях, мотивирующих к ведению здорового образа жизни в общей доле населения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21,0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оличест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во публикаций,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информационных сообщений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, размещенных постов, видеороликов, сюжетов и др.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 средствах массовой информации 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сети Интернет по профилактике заболеваний и формированию здорового образа жизни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, пропаганде и популяризации физической культуры и спорта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560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«отлично». 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10.Управ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ление муниципальным имуществом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администрации города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30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 №1980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Объем бюджетных ассигнований на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3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36 890,8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30 816,4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36 890,8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30 816,4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цел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ью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программы является осуществление эффективного управления муниципальной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собственностью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защита имуществен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ных интересов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город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муниципальной программы были реализованы следующие комплексы процессных мероприятий: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выполнения полномочий и функций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города 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сферах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управления муниципальным имуществом и землепользования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капитальный ремонт, реконструкция и ремонт муниципального имущества 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которых достигнуто в полном объеме по 3 показателям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Причина низкого исполнения по финансированию и исполнению показателя «</w:t>
      </w:r>
      <w:r>
        <w:rPr>
          <w:rFonts w:ascii="Times New Roman" w:hAnsi="Times New Roman"/>
          <w:color w:val="000000" w:themeColor="text1"/>
          <w:sz w:val="24"/>
        </w:rPr>
        <w:t xml:space="preserve">Обеспечение проведения ремонта в отношении муниципального имущества»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-  непогашенная кредиторская задолженность по заключенным контрактам.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992"/>
        <w:gridCol w:w="1228"/>
        <w:gridCol w:w="1228"/>
        <w:gridCol w:w="1229"/>
      </w:tblGrid>
      <w:tr>
        <w:trPr>
          <w:trHeight w:val="437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Право муниципальной собственности зарегистрированного в Едином государственном реестре прав на недвижимое имущество и сделок с ним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42 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116,7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Количество поставленных на государственный кадастровый учет земельных участков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 1,9 раза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  <w:tr>
        <w:trPr>
          <w:trHeight w:val="3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Обеспечение проведения ремонта в отношении муниципального имущества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90,7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90,7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  <w:tr>
        <w:trPr>
          <w:trHeight w:val="3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Доля муниципальных учреждений, воспользовавшихся льготой, от числа муниципальных учреждений имеющих право на ее получение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122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ная программа признана эффективной, присвоена оценка «удовлетворительно». По данной программе рекомендуется сохранить уровень финансирования муниципальной программы  за счет средств местного бюджета в очередном финансовом году при условии ее корректировки.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1.Развитие жилищной с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феры на территории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.12.20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182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505"/>
        <w:gridCol w:w="1438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505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5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1 064 369,2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4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1 049 959,7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98,6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5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3 218,4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4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2 218,4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68,9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5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971 976,8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4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694 933,4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5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89 174,0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4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82 807,9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92,9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муниципальной программы является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создание условий для развития жилищного строительства и обеспечения жильем отдельных категорий граждан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Муниципальная программа направлена на достижение показателей по обеспеченности населения благоустроенным жильем, сокращению аварийного и непригодного для проживания жилищного фонда.</w:t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Ключевыми направлениями в рамках реализации программных мероприятий являются: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улучшение жилищных условий молодых семей;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Улучшение жилищных условий семей, состоящих на учете в качестве нуждающихся в жилых помещениях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и граждан, нуждающихся в особой заботе государства (таких как дети-сироты и дети, оставшиеся без попечения родителей, ветераны боевых действий, инвалиды боевых действий, инвалиды и семьи, имеющие детей – инвалидов, ветераны Великой Отечественной войны);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предоставление субсидии участникам специальной военной операции, членам их семей, состоящим на учете в качестве нуждающихся в жилых помещениях;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обеспечение устойчивого сокращения аварийного и непригодного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для проживания жилищного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фонда.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рамках</w:t>
      </w:r>
      <w:r>
        <w:rPr>
          <w:rFonts w:ascii="Times New Roman" w:hAnsi="Times New Roman"/>
          <w:color w:val="auto"/>
          <w:sz w:val="24"/>
          <w:szCs w:val="24"/>
        </w:rPr>
        <w:t xml:space="preserve"> муниципальной программы реализуются мероприятия, направленные на исполнение регионального проекта </w:t>
      </w:r>
      <w:r>
        <w:rPr>
          <w:rFonts w:ascii="Times New Roman" w:hAnsi="Times New Roman"/>
          <w:color w:val="auto"/>
          <w:sz w:val="24"/>
          <w:szCs w:val="24"/>
        </w:rPr>
        <w:t xml:space="preserve">«Жилье»</w:t>
      </w:r>
      <w:r>
        <w:rPr>
          <w:rFonts w:ascii="Times New Roman" w:hAnsi="Times New Roman"/>
          <w:color w:val="auto"/>
          <w:sz w:val="24"/>
          <w:szCs w:val="24"/>
        </w:rPr>
        <w:t xml:space="preserve">, направленного на достижение результатов национального проекта </w:t>
      </w:r>
      <w:r>
        <w:rPr>
          <w:rFonts w:ascii="Times New Roman" w:hAnsi="Times New Roman"/>
          <w:color w:val="auto"/>
          <w:sz w:val="24"/>
          <w:szCs w:val="24"/>
        </w:rPr>
        <w:t xml:space="preserve">«Инфраструктура для жизни».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показателям,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Показатели «Общая площадь расселенного аварийного жилищного фонда, признанного таковым до 1 января 2022 года» и «Количество граждан, переселенных 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з аварийного жилищного фонда, признанного таковым до 1 января 2022 года» устанавливаются на основании постановления Правительства Ханты-Мансийского автономного округа – Югры от 01.09.2025 «Об адресной программе Ханты-Мансийского автономного округа – Югры п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 переселению граждан из аварийного жилищного фонда на 2024-2030 годы» и были уточнены 20.03.2026 года. В связи с этим не было возможности внести изменения в муниципальную программу в части значений данных показателей.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  <w:t xml:space="preserve">                   </w:t>
      </w: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820"/>
        <w:gridCol w:w="992"/>
        <w:gridCol w:w="1134"/>
        <w:gridCol w:w="1086"/>
        <w:gridCol w:w="1040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78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Сокращение количества аварийного и непригодного жилья на территории города Мегиона, признанного аварийным и непригодным,  из них: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кв.м.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1 506,1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9 724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6,5 раз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Общая площадь расселенного аварийного жилищного фонда, признанного таковым до 1 января 2022 года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кв.м.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1 009,1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86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8 381,2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4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8,3 раза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8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граждан, переселенных из аварийного жилищного фонда, признанного таковым до 1 января 2022 года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86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489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4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7,1 раз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8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семей, улучшивших свои жилищные условия, состоящих на учете в качестве нуждающихся в жилых помещениях,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предоставляемых по договорам социального найма, в том числе граждан, имеющих право на внеочередное предоставление жилья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семей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86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4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Увеличение количества молодых семей города Мегиона улучшивших свои жилищные условия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семей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3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Увеличение количества детей-сирот, детей, оставшихся без попечения родителей города Мегиона улучшивших свои жилищные условия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человек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ветеранов боевых действий, инвалидов боевых действий, инвалидов и семей, имеющих детей инвалидов, улучшивших свои жилищные условия в общем списке очередности указанных категорий граждан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человек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8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82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тников специальной военной операции, а также членов их семей, состоящих на учете в качестве нуждающихся в жилых помещениях, предоставляемых по договорам социального  найма, получивших субсидию на приобретение (строительство) жилых помещений в собственность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семей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Развитие информационного общества на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ции города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09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1853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На момент п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роведения оценки эффективности муниципальная программа не приведена в соответст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вие с решениям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и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годов», от 25.12.2025 №43 «О внесении изменений в решение Думы города Мегиона от 09.12.2024 №4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27 «О бюджете городского округа Мегион Ханты-Мансийского автономного округа – Югры на 2025 год и плановый период 2026 и 2027 годов» (см изменениями). Оценка эффективности муниципальной программы  пр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оведена на основании годового отчета муниципального бюджетного учреждения МЦИКТ «Вектор».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</w:p>
    <w:p>
      <w:pPr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4"/>
        <w:gridCol w:w="1638"/>
        <w:gridCol w:w="1310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9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44 504,8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44 247,3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4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44 504,8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44 247,3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99,4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Основной целью муниципальной программы является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преимуществ                     от применения информационных и телекоммуникационных технологий гражданами и органами местного самоуправления.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Основные комплексы процессных мероприятий муниципальной программы: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обеспечение деятельности муниципальных учреждений;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защита информации органов местного самоуправления города Мегиона.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ходе реализации муниципальной программы было выполнено следующее: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оснащение комплектующими компьютерного и серверного оборудования администрации города (системные блоки, мониторы, многофункциональные устройства, жесткие диски, оперативная память, источники бесперебойного питания и т.д.);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оснащение сертифицированным программным обеспечением для органов администрации;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сопровождение программного обеспечения органов администрации;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обслуживание и содержание уличного светодиодного экрана, расположенного на городской площади города Мегиона;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Поддержание высокого уровня информационной безопасности и защищенности данных.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значение 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остижение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536"/>
        <w:gridCol w:w="851"/>
        <w:gridCol w:w="1276"/>
        <w:gridCol w:w="1275"/>
        <w:gridCol w:w="1134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58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и сопровождение инфраструктуры информационно-коммуникацион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 технологий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электронного правительства, имеющих важное значение для со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циально экономического развития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1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мун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иципального задания учреждением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МЦИКТ «Вектор»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567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567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мации с ограниченными доступом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мероприятий по обучению, повышению квалификации, профессиональной переподготовке специалистов в сфере защиты информации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отлично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ab/>
        <w:t xml:space="preserve">Ответственному исполнителю рекомендуется обеспечивать своевременное внесение изменений в муниципальную программу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основании пункта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Порядка принятия решения о разработке муниципальных программ города Мегиона, их формирования, утверждения и реализации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постановлением администрации города от 21.06.2024 №1287 «О порядке разработки и реализации муниципальных программ города Мегиона» (с изменениями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13.Развитие транспортной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системы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постановлением администрации го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рода от 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16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.11.20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1895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0"/>
        <w:contextualSpacing/>
        <w:jc w:val="left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0"/>
        <w:contextualSpacing/>
        <w:jc w:val="left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0"/>
        <w:contextualSpacing/>
        <w:jc w:val="left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left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8"/>
        <w:gridCol w:w="1638"/>
        <w:gridCol w:w="1306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65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30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771 252,6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6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718 756,1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93,2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379 787,0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6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348 543,5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91,8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391 465,6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6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370 212,6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94,6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Основной целью программы является развитие современной транспортной инфраструктуры, обеспечивающей повышение доступности и безопасности услуг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транспортного комплекса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для населения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город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рамках муниципальной программы были реализованы следующие комплексы процессных мероприятий: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 Light"/>
          <w:color w:val="auto"/>
          <w:sz w:val="24"/>
        </w:rPr>
      </w:pPr>
      <w:r>
        <w:rPr>
          <w:rFonts w:ascii="Times New Roman" w:hAnsi="Times New Roman" w:eastAsia="Calibri Light"/>
          <w:color w:val="auto"/>
          <w:sz w:val="24"/>
        </w:rPr>
        <w:t xml:space="preserve">строительство, капитальный ремонт и ремонт автомобильных дорог общего пользования местного значения;</w:t>
      </w:r>
      <w:r>
        <w:rPr>
          <w:rFonts w:ascii="Times New Roman" w:hAnsi="Times New Roman" w:eastAsia="Calibri Light"/>
          <w:color w:val="auto"/>
          <w:sz w:val="24"/>
        </w:rPr>
      </w:r>
      <w:r>
        <w:rPr>
          <w:rFonts w:ascii="Times New Roman" w:hAnsi="Times New Roman" w:eastAsia="Calibri Light"/>
          <w:color w:val="auto"/>
          <w:sz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 Light"/>
          <w:color w:val="auto"/>
          <w:sz w:val="24"/>
        </w:rPr>
      </w:pPr>
      <w:r>
        <w:rPr>
          <w:rFonts w:ascii="Times New Roman" w:hAnsi="Times New Roman" w:eastAsia="Calibri Light"/>
          <w:color w:val="auto"/>
          <w:sz w:val="24"/>
        </w:rPr>
        <w:t xml:space="preserve">обеспечение доступности и повышение качества транспортных услуг автомобильным транспортом;</w:t>
      </w:r>
      <w:r>
        <w:rPr>
          <w:rFonts w:ascii="Times New Roman" w:hAnsi="Times New Roman" w:eastAsia="Calibri Light"/>
          <w:color w:val="auto"/>
          <w:sz w:val="24"/>
        </w:rPr>
      </w:r>
      <w:r>
        <w:rPr>
          <w:rFonts w:ascii="Times New Roman" w:hAnsi="Times New Roman" w:eastAsia="Calibri Light"/>
          <w:color w:val="auto"/>
          <w:sz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 Light"/>
          <w:color w:val="auto"/>
          <w:sz w:val="24"/>
        </w:rPr>
      </w:pPr>
      <w:r>
        <w:rPr>
          <w:rFonts w:ascii="Times New Roman" w:hAnsi="Times New Roman" w:eastAsia="Calibri Light"/>
          <w:color w:val="auto"/>
          <w:sz w:val="24"/>
        </w:rPr>
        <w:t xml:space="preserve">обеспечение функционирования сети автомобильных дорог общ</w:t>
      </w:r>
      <w:r>
        <w:rPr>
          <w:rFonts w:ascii="Times New Roman" w:hAnsi="Times New Roman" w:eastAsia="Calibri Light"/>
          <w:color w:val="auto"/>
          <w:sz w:val="24"/>
        </w:rPr>
        <w:t xml:space="preserve">его пользования города Мегиона;</w:t>
      </w:r>
      <w:r>
        <w:rPr>
          <w:rFonts w:ascii="Times New Roman" w:hAnsi="Times New Roman" w:eastAsia="Calibri Light"/>
          <w:color w:val="auto"/>
          <w:sz w:val="24"/>
        </w:rPr>
      </w:r>
      <w:r>
        <w:rPr>
          <w:rFonts w:ascii="Times New Roman" w:hAnsi="Times New Roman" w:eastAsia="Calibri Light"/>
          <w:color w:val="auto"/>
          <w:sz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 Light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auto"/>
          <w:sz w:val="24"/>
        </w:rPr>
        <w:t xml:space="preserve">субсидии перевозчику</w:t>
      </w:r>
      <w:r>
        <w:rPr>
          <w:rFonts w:ascii="Times New Roman" w:hAnsi="Times New Roman" w:eastAsia="Calibri Light"/>
          <w:color w:val="auto"/>
          <w:sz w:val="24"/>
        </w:rPr>
        <w:t xml:space="preserve">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Мегиона и проживающих на территории СУ-920 и 28 микрорайона города Мегиона, обучающихся в муниципальных </w:t>
      </w:r>
      <w:r>
        <w:rPr>
          <w:rFonts w:ascii="Times New Roman" w:hAnsi="Times New Roman" w:eastAsia="Calibri Light"/>
          <w:color w:val="auto"/>
          <w:sz w:val="24"/>
        </w:rPr>
        <w:t xml:space="preserve">общеобразовате</w:t>
      </w:r>
      <w:r>
        <w:rPr>
          <w:rFonts w:ascii="Times New Roman" w:hAnsi="Times New Roman" w:eastAsia="Calibri Light"/>
          <w:color w:val="auto"/>
          <w:sz w:val="24"/>
        </w:rPr>
        <w:t xml:space="preserve">льных организациях поселка городского типа Высокий города Мегиона и проживающих на территории поселка городского типа Высокий города Мегиона на проезд автомобильным транспортом общего пользования до муниципальных общеобразовательных организаций и обратно;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 Light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auto"/>
          <w:sz w:val="24"/>
          <w:highlight w:val="none"/>
        </w:rPr>
        <w:t xml:space="preserve">совершенствование условий движения и организации дорожного движения на улично-дорожной сети города Мегиона.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</w:rPr>
      </w:r>
    </w:p>
    <w:p>
      <w:pPr>
        <w:pStyle w:val="904"/>
        <w:tabs>
          <w:tab w:val="left" w:pos="709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й программы осу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ществлялась по 9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показателям, ожидае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мое значение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которых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достигнуто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полном объеме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Информация о степени достижения показателей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686"/>
        <w:gridCol w:w="709"/>
        <w:gridCol w:w="1134"/>
        <w:gridCol w:w="1134"/>
        <w:gridCol w:w="850"/>
        <w:gridCol w:w="1559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58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(реконструкция), капитальный ремонт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ремонт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автомобильных дорог общего пользования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искусственных сооружений, а также внутриквартальных проездов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7 062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7 062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84 600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84 600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протяженности автомобильных дорог, соответствующих нормативным требованиям к транспортно-эксплуатационным показателям на 31 декабря отчетного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пассажирских перевозок автомобильным транспортом в городе Мегионе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181,8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181,8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0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Перевозчиком перевозок обучаю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щихся в муниципальных общеобразовательных организациях муниципального образования город Мегион и поселка городского типа Высокий автомобильным транспортом общего пользования (за исключением такси) до муниципальных общеобразовательных организаций и обратно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1 350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1 350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жителей города пострадавших в дорожно-транспортных происшествиях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пострадавших в дорожно-транспортных происшествиях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дорожно-транспортных происшествий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случаев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от общего количества дорожно-транспортных происшествий с участием детей по показателям на 31 декабря отчетного года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14.Развитие жилищно-коммунального комплекса и повышение энер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гетической эффективности в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№1900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763 959,9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659 057,6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86,3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529 558,9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479 809,2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90,6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234 401,0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highlight w:val="none"/>
                <w:lang w:eastAsia="ar-SA"/>
              </w:rPr>
              <w:t xml:space="preserve">179 248,4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76,5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Batang"/>
          <w:color w:val="ff0000"/>
          <w:sz w:val="24"/>
          <w:szCs w:val="24"/>
        </w:rPr>
      </w:pPr>
      <w:r>
        <w:rPr>
          <w:rFonts w:ascii="Times New Roman" w:hAnsi="Times New Roman" w:eastAsia="Batang"/>
          <w:color w:val="ff0000"/>
          <w:sz w:val="24"/>
          <w:szCs w:val="24"/>
          <w:lang w:eastAsia="ko-KR"/>
        </w:rPr>
      </w:r>
      <w:r>
        <w:rPr>
          <w:rFonts w:ascii="Times New Roman" w:hAnsi="Times New Roman" w:eastAsia="Batang"/>
          <w:color w:val="ff0000"/>
          <w:sz w:val="24"/>
          <w:szCs w:val="24"/>
        </w:rPr>
      </w:r>
      <w:r>
        <w:rPr>
          <w:rFonts w:ascii="Times New Roman" w:hAnsi="Times New Roman" w:eastAsia="Batang"/>
          <w:color w:val="ff0000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Batang"/>
          <w:color w:val="000000" w:themeColor="text1"/>
          <w:sz w:val="24"/>
          <w:szCs w:val="24"/>
        </w:rPr>
      </w:pPr>
      <w:r>
        <w:rPr>
          <w:rFonts w:ascii="Times New Roman" w:hAnsi="Times New Roman" w:eastAsia="Batang"/>
          <w:color w:val="000000" w:themeColor="text1"/>
          <w:sz w:val="24"/>
          <w:szCs w:val="24"/>
          <w:lang w:eastAsia="ko-KR"/>
        </w:rPr>
        <w:t xml:space="preserve">Основной целью программы является развитие жилищно-коммунального комплекса и повышение энергетической эффективности, 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оздание условий для комфортного проживания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граждан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повышение качества и надежности предоставления жилищно-коммунальных услуг населению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Batang"/>
          <w:color w:val="000000" w:themeColor="text1"/>
          <w:sz w:val="24"/>
          <w:szCs w:val="24"/>
        </w:rPr>
      </w:r>
      <w:r>
        <w:rPr>
          <w:rFonts w:ascii="Times New Roman" w:hAnsi="Times New Roman" w:eastAsia="Batang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реализации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программы выполнены мероприятия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обращению с животными без владельцев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обитающих на территории города Мегиона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тлов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транспортировка, учет,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одержание, утилизация безнадзорных и бродячих животных)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 проведены мероприятия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дератизации и дезинсекции;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проводились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ероприятия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содержанию надлежащег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санитарного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состояния и планировка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трех кладбищ;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выполнены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противопаводковые мероприятия;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работы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посадке и уходу за цветниками и газонами;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мероприятия по текущему обслуживанию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текущему ремонту сетей уличного освещения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оказаны услуги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содержанию детских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площадок,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произведен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ремонт и установка нового игрового оборудования на детских игровых площадках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подготовка объектов к новогодним мероприятиям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 ремонт и содержание площадей и скверов.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r>
    </w:p>
    <w:p>
      <w:pPr>
        <w:pStyle w:val="904"/>
        <w:tabs>
          <w:tab w:val="left" w:pos="709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программы осуществл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ялась по 21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показателю,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ожидаемое значение 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709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132"/>
        <w:gridCol w:w="1134"/>
        <w:gridCol w:w="852"/>
        <w:gridCol w:w="1559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Ежегодное количество отловленных безнадзорных и бродячих животных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Площадь, на которой проведены мероприятия по дератизации и дезинсекции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490,91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490,91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Ежегодное количество снесенного непригодного для проживания жилья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обслуживаемых магистральных и луговых газонов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 кв.м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бслужива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емых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детских игровых площадок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 потребления электроэнергии на уличное освещение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т.кВт/ч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1 731,5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1 731,5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Протяженность обслужива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емых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сетей уличного освещения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обслуживаемых кладбищ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Общая площадь территории вновь построенного кладбища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10 442,2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10 442,2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противопаводковые мероприятия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маш./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объектов, подготовленных к новогодним мероприятиям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площадей и скверов, на которых выполняются работы по содержанию и ремонту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vMerge w:val="restart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установленных приборов учета энергоресурсов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Batang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Количество муниципальных квартир в которых проведен капитальный ремонт или реконструкция</w:t>
            </w:r>
            <w:r>
              <w:rPr>
                <w:rFonts w:ascii="Times New Roman" w:hAnsi="Times New Roman" w:eastAsia="Batang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Batang"/>
                <w:color w:val="ff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Доля замены ветхих инженерных сетей теплоснабжения, водоснабжения, водоотведения, в том числе композитных материалов в текущем году от общей протяженности ветхих инженерных сетей теплоснабжения, водоснабжения, водоотведения</w:t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Протяженность замененных ветхих сетей теплоснабжения, 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одоснабжения и водоотведения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обслуживаемых пожарных гидрантов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1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Ежегодное обеспечение сжиженным газом населения в границах города Мегиона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т/год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shd w:val="clear" w:color="000000" w:fill="ffffff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</w:t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6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Снижение задолженности за потребленные топливно-энергетические ресурсы</w:t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09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Предоставление коммунальных услуг населению, холодному и горячему вод</w:t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  <w:lang w:eastAsia="ko-KR"/>
              </w:rPr>
              <w:t xml:space="preserve">оснабжению, водоотведению и коммунальных ресурсов, потребляемых при использовании и содержании общего имущества в многоквартирном доме, с применением понижающих коэффициентов к нормативам потребления коммунальных услуг и нормативам расхода тепловой энергии</w:t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Batang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426" w:leader="none"/>
        </w:tabs>
        <w:spacing w:after="0" w:line="240" w:lineRule="auto"/>
        <w:ind w:firstLine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15.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Мероприятия в области градостроительной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деятельности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гион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.12.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2023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168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 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90"/>
        <w:gridCol w:w="1638"/>
        <w:gridCol w:w="1304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0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3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0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11 156,9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9 985,4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89,5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9 856,8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8 770,5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89,0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1 300,1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4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1 214,9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93,4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муниципальной программы является обеспечение устойчивого 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остранственного развития в городском округе Мегион, формирование комфортной городской среды и повышение качества жизни населения, увеличение объема жилищного строительства и обеспечение к 2030 году доступными и качественными жилищно-коммунальными услугами.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муниципальной программы были реализованы комплексы прооцессных мероприятий: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ершенствование системы управления градостроительным развитием территории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реализации муниципальной программы реализуются мероприятия, направленные на исполнение регионального проекта «Жилье»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направленного на достижение результатов национального проекта «Инфраструктура для жизни».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Достижение цели национального проекта оценивается включенным в муниципальную программу показателем, направленным на исполнение национального проекта - «Объем жилищного строительства».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Показатель исполнен.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709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ожидаемое значение 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850"/>
        <w:gridCol w:w="992"/>
        <w:gridCol w:w="993"/>
        <w:gridCol w:w="850"/>
        <w:gridCol w:w="1559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Увеличение количества разработанных документов по актуализации градостроительной документации (включая проекты планировки и проекты межевания, Правила землепользования и застройки, Генеральный план, местные нормативы градостроительного проектирования)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355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кадастровых кварталов с выполненными комплексными кадастровыми работами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3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Объем жилищного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кв.м.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30 000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31 813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60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 (участков)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115,8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16.Формирование доступной среды для инвалидо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 и других маломобильных групп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населения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 территории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город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рации города от 2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.12.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2023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2167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8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14 723,5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7 786,5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52,9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3 000,0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3 000,0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  <w:lang w:eastAsia="ar-SA"/>
              </w:rPr>
              <w:t xml:space="preserve">11 723,5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4 786,5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  <w:t xml:space="preserve">40,8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муниципальной программы является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создание правовых экономических и институциональных условий способствующих интеграции инвалидов в общество и повышению уровня их жизн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рамках муниципальной программы были реализованы следующие комплексы процессных мероприятий: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«Повышение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населения»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 xml:space="preserve">«Формирование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населения».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40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связи с образованием кредиторской задолженности, финансирование муниципальной программы исполнено на 52,9%. Оплата планируется в 1 квартале 2026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  показателям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которых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гнуто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пока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5245"/>
        <w:gridCol w:w="851"/>
        <w:gridCol w:w="992"/>
        <w:gridCol w:w="992"/>
        <w:gridCol w:w="992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жилых помещений (в соответствии с оптимальным перечнем)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«удовлетворительно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сохранить уровень финансирования муниципальной программы за счет средств местного бюджета в очередном финансовом году при условии ее корректировки.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17.Профилактика правонарушений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сфере общественного порядка,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незаконного оборота и зло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употребления наркотиками в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14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.12.20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079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1 744,2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1 658,4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95,1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138,8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138,8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1 605,4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1 519,6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94,7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Основными целями программы является обеспечение общественного порядка, профилактика правонарушений,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снижение уровня преступности,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организационное, нормативное правовое и ресурсное обеспечение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антинаркотической деятельности, обеспечение прав граждан в отдельных сферах жизнедеятельности.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рамках реализации программных мероприятий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выплачено материальное стимулирование народных дружинников, на изготовление плакатов, информационных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листовок, на оплату услуг круглосуточной охраны памятников воинской славы,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приобретение расходных материалов для проведения 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нтинаркотической акции «Время жить», на приобретение расходных материалов для организации и проведения антинаркотического концерта для молодежи, на приобретение призовой продукции и расходных материалов для организации и проведения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физкультурно-спортивного мероприятия «Выбираю спорт!»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на другие мероприятия.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муниципальной программы осуществлялась по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 по 4 показателям.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Показатель «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преступности на улицах и в общественных местах (число зарегистрированных преступлений на 100 тыс.населения)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увеличился по итогам года за счет роста краж.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формация о ходе реализации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размещена на официальном сайте администрации города https://admmegion.ru/programs/munici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"/>
        <w:gridCol w:w="3863"/>
        <w:gridCol w:w="709"/>
        <w:gridCol w:w="992"/>
        <w:gridCol w:w="992"/>
        <w:gridCol w:w="1168"/>
        <w:gridCol w:w="1559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6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6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Примечание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1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6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преступности (число зарегистрированных преступлений на 100 тыс.населения)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1 030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tcBorders>
              <w:bottom w:val="non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63" w:type="dxa"/>
            <w:tcBorders>
              <w:bottom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преступности на улицах и в общественных местах (на 100 тыс. населения)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8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89,8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bottom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71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6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распространенность наркомании (на 100 тыс. населения)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показатели «негативные», положительной динамикой которых является уменьшение их значений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tcBorders>
              <w:bottom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6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оценка наркоситуации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напряженная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992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напряженная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168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уровне плановой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8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86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потребительских споров, разрешенных в досудебном порядке, в общем количестве споров с участием потребителей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18.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Укрепление межнационального и межконфессионального согласия, профилактика экстремизма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 терроризма в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постановлением а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дминистрации города от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14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.12.20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№2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086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Финансовое обес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печение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93"/>
        <w:gridCol w:w="1638"/>
        <w:gridCol w:w="1301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3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60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3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30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3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9 574,9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9 551,5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99,8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/>
        <w:tc>
          <w:tcPr>
            <w:tcW w:w="5693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195,5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195,5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3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9 379,4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9 356,0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99,8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</w:tbl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Основной целью программы является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укрепление единства народов Российской Федерации, проживающих на территории города Мегиона, профилактика экстремизма и терроризма в городе Мегионе.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рамках реализации муниципальной программы финансирование направлено на: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ab/>
        <w:t xml:space="preserve"> установку системы оповещения и управления эвакуацией на объектах «Аллея Славы», мемориал «Звезда»;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приобретение расходных материалов и призовой продукции для проведения патриотической игры «Я гражданин России», культурно-просветительского проекта «Семейные национальные традиции мегионцев»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фестиваля «Игры народов России»;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приобретение казачьей одежды в рамках организации и проведения  праздничного концерта ко Дню Сибирского казачьего войска и другие мероприятия.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программы осуществлялась по 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показателей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850"/>
        <w:gridCol w:w="1134"/>
        <w:gridCol w:w="1418"/>
        <w:gridCol w:w="1275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0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Мегионе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101,3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28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0,680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0,726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106,8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0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Численность участников мероприятий, направленных на этнокультурное развитие народов России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1,000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995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99,5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8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общения, и языков народов России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0,280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96,4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783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 мероприятий, направленных на социальную и культурную адаптацию иностранных граждан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2,287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 4,6 раза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82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39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Обеспеченность мест массового пребывания людей, от общего количества мест, включенных в Перечень мест массового пребывания людей, техническими средствами антитеррористической защищенности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b/>
          <w:color w:val="auto"/>
          <w:sz w:val="24"/>
          <w:szCs w:val="24"/>
        </w:rPr>
      </w:pP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  <w:t xml:space="preserve">19</w:t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  <w:t xml:space="preserve">.Развитие обр</w:t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  <w:t xml:space="preserve">азования</w:t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b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постановлением администрации 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города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от 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27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1759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Финансовое обес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печение муниципальной программы</w:t>
      </w:r>
      <w:r>
        <w:rPr>
          <w:rFonts w:ascii="Times New Roman" w:hAnsi="Times New Roman" w:eastAsia="Times New Roman"/>
          <w:color w:val="auto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ar-SA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  <w:r>
        <w:rPr>
          <w:rFonts w:ascii="Times New Roman" w:hAnsi="Times New Roman" w:eastAsia="Times New Roman"/>
          <w:color w:val="ff0000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426"/>
        <w:gridCol w:w="1100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2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00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3 739 306,3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42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3 676 572,3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10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98,3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132 046,7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42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132 045,0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10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 858 690,4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42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2 821 843,9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10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98,7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748 569,2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426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722 683,4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100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96,5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Основн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ц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ел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му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ниципальной программы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является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беспечение доступности ка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чественного образования, соответствующего требованиям инновационного развития экономики, современным потребностям общества и каждого жителя города, формирование эффективной системы выявления, поддержки и развития способностей и талантов у детей и молодежи.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реализации про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граммных мероприятий были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выполнены следующ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ие мероприятия: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деятельности органов местного самоуправления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  <w:t xml:space="preserve">развитие системы дошкольного и общего образования;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  <w:t xml:space="preserve">предоставление компенсации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ab/>
        <w:t xml:space="preserve">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развитие системы, методического и информационного сопровождения традиционных, муниципальных и региональных мероприятий дошкольного и общего образования;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развитие и организационное обеспечение деятельности в муниципальных организациях;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организация питания в муниципальных общеобразовательных организациях;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организация отдыха и оздоровления детей и подростков;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ко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плексной безопасности образовательных организаций»;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подготовка образовательных организаций к осенне-зимнему периоду, к новому учебному году;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проведение мероприятий по приведению в нормативное состояние антитеррористической защищенности объек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тов образовательных организаций;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реализация инициативных проектов, отобранных по результатам конкурса.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муниципальной программы реализуются мероприятия, направленные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исполнение региональных проектов «Все лучшее детям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», «Профессионалитет»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«Педагоги и нставники», направленных на достижение результатов национального проекта «Молодежь и дети».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цели национального проекта оценивается включенным в муниципальную программу показателями, направленными на исполнение национального проекта.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Показатели исполнены.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Для города Мегиона декомпозированы следующие показатели: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ab/>
        <w:t xml:space="preserve">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мастерства»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, п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ри плане – 53,9%, достигнут на уровне 103,4%.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ab/>
        <w:t xml:space="preserve">«Доля детей в возрасте от 5 до 18 лет, охваченных дополнительным образованием», при плане 87,7% достигнут на уровне 103,2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%.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15"/>
        <w:tabs>
          <w:tab w:val="left" w:pos="0" w:leader="none"/>
        </w:tabs>
        <w:ind w:left="0"/>
        <w:contextualSpacing/>
        <w:jc w:val="both"/>
        <w:rPr>
          <w:color w:val="auto"/>
        </w:rPr>
      </w:pPr>
      <w:r>
        <w:rPr>
          <w:color w:val="ff0000"/>
          <w:lang w:eastAsia="ru-RU"/>
        </w:rPr>
        <w:tab/>
      </w:r>
      <w:r>
        <w:rPr>
          <w:color w:val="auto"/>
          <w:lang w:eastAsia="ru-RU"/>
        </w:rPr>
        <w:t xml:space="preserve">Оценка эффективности реализации муниципально</w:t>
      </w:r>
      <w:r>
        <w:rPr>
          <w:color w:val="auto"/>
          <w:lang w:eastAsia="ru-RU"/>
        </w:rPr>
        <w:t xml:space="preserve">й программы осуществлялась по 16</w:t>
      </w:r>
      <w:r>
        <w:rPr>
          <w:color w:val="auto"/>
          <w:lang w:eastAsia="ru-RU"/>
        </w:rPr>
        <w:t xml:space="preserve">  показателям</w:t>
      </w:r>
      <w:r>
        <w:rPr>
          <w:color w:val="auto"/>
          <w:lang w:eastAsia="ru-RU"/>
        </w:rPr>
        <w:t xml:space="preserve">, </w:t>
      </w:r>
      <w:r>
        <w:rPr>
          <w:color w:val="auto"/>
          <w:lang w:eastAsia="ru-RU"/>
        </w:rPr>
        <w:t xml:space="preserve">ожидаемое значение которых достигнуто в полном объеме</w:t>
      </w:r>
      <w:r>
        <w:rPr>
          <w:color w:val="auto"/>
          <w:lang w:eastAsia="ru-RU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показателей муниципальной п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рограммы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96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247"/>
        <w:gridCol w:w="992"/>
        <w:gridCol w:w="1134"/>
        <w:gridCol w:w="1418"/>
        <w:gridCol w:w="1281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45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Доступность дошкольного образования для 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етей в возрасте от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1,5 до 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8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Сохранение доли муниципальных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обще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образовательных организаций, соответствующих современным требованиям обучения, в общем количестве муниципальных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обще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образовательных организаций, на уровне 100%.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8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детей в возрасте от 6 до 17 лет (включительно), охваченных всеми формами отдыха и оздоровления, от общей численности детей, нуждающихся в отдыхе и оздоровлении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8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Сохранение доли образовательных организаций, поддерживающие эксплуатационный ресурс объектов и технические характеристики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эксплуатируемых зданий от общего количества муниципальных образовательных организаций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8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обучающихся муниципальных общеобразовательных организаций, которым предоставляется питание в период учебного года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выпускников муниципальных общеобразовательных организаций,  получивших аттестат о среднем образовании, в общей численности выпускников муниципальных общеобразовательных организаций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99,7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00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Сохранение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целевого показателя средней заработной платы педагогических работников муниципальных образовательных организаций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99,0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99,0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Количество образовательных учреждений, воспользовавшихся налоговой льготой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Количество выплат ежемесячного денежного вознаграждения советникам директоров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 повышения профессионального мастерства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53,9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56,0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103,9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участников Всероссийской олимпиады школьников, городских, окружных, и Всероссийских конкурсов и соревнований от общего количества обучающихся муниципальных общеобразовательных организаций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55,0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55,9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101,6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обучающихся муниципальных общеобразовательных организаци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й в возрасте от 12 до 18 лет, вовлеченных в добровольческую деятельность, деятельность Добровольного российского  детско-юношеского движения «Юнармия», общероссийской общественно-государственной детско-юношеской организации «Российское движение школьников»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16,2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108,0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1,18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2,6 раз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87,7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90,51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103,2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обучающихся 6-11 классов, охваченных комплексом профориентационных мероприятий в рамках Единой модели профориентации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57,74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134,3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60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4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Количество инициативных проектов реализованных с привлечением средств бюджета Ханты-Мансийского автономного округа - Югры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8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«хорошо». 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 данной программе рекомендуется сохранить 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0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.Развитие экологической безопасности на территории города Мегиона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постановлением администрации города от 16.11.2023 №1893 (с изменениями).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19 342,2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18 049,6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93,3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163,0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163,0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19 179,2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  <w:lang w:eastAsia="ar-SA"/>
              </w:rPr>
              <w:t xml:space="preserve">17 886,6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  <w:t xml:space="preserve">93,3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0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Основная цель программы 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сохранение благоприятной окружающей среды и биологического разнообразия, эффективное использование, охрана, защита и воспроизводство лесов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  <w:tab w:val="num" w:pos="72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рамках реа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лизации муниципальной программы проведены следующие мероприятия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ab/>
        <w:tab/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  <w:tab w:val="num" w:pos="720" w:leader="none"/>
        </w:tabs>
        <w:spacing w:after="0" w:line="240" w:lineRule="auto"/>
        <w:ind w:left="708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обслуживание 158 контейнерных площадок накопления твердых коммунальных отходов;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  <w:tab w:val="num" w:pos="72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отремонтированы 22 контейнерные площадки для накопления твердых коммунальных отходов;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ликвидированы несанкционированные свалки в количестве 22 штук;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ab/>
        <w:t xml:space="preserve">выполнение работ по устройству минерализованной полосы;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ab/>
        <w:t xml:space="preserve">вывоз неликвидной древесины;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ab/>
        <w:t xml:space="preserve">уборка захламленности территории.</w:t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ab/>
        <w:t xml:space="preserve">Оценка эффективности реализации муниципальн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ой программы осуществлялась по 4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 показателям, ожидаемое значение которых достигнуто в полном объеме.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ограммы представлена в таблице.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 пока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зателей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9654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992"/>
        <w:gridCol w:w="1134"/>
        <w:gridCol w:w="1418"/>
        <w:gridCol w:w="1275"/>
      </w:tblGrid>
      <w:tr>
        <w:trPr>
          <w:trHeight w:val="840"/>
          <w:tblHeader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25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Ед.из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493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иквидированных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несанкционированных свалок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ед.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6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Обустройство и ремонт мест (площадок) накопления твердых коммунальных отходов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60"/>
        </w:trPr>
        <w:tblPrEx/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Содержание (мест) площадок накопления твердых коммунальных отходов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158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60"/>
        </w:trPr>
        <w:tblPrEx/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Устройство противопожарной минерализованной полосы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1,175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 результатам реализации за 2025 год муниципальная программа признана эффективной, присвоена оценка «хорошо». 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Развитие м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униципального управления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Программа утверждена постановл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ением администрации города от 27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1746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643 699,7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621 881,0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96,6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9 088,4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9 088,4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15 666,5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15 654,2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99,9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618 944,8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597 138,4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ar-SA"/>
              </w:rPr>
              <w:t xml:space="preserve">96,5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Основной целью муниципальной программы является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повышение эффективности деятельности органов местного самоуправления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, повышение качества муниципального управления.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муниципальной программы были реализованы следующие мероприятия: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деятельности органов местного самоуправления;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осуществление переданных государственных полномочий;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обеспечение деятельности органов местного самоуправления, содержания и эксплуатации зданий и объектов;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исполнение иных функций и полномочий органов местного самоуправления;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реализация полномочий органов местного самоуправления в сфере строительства,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Кроме того,</w:t>
      </w:r>
      <w:r>
        <w:rPr>
          <w:color w:val="000000" w:themeColor="text1"/>
          <w:lang w:eastAsia="ru-RU"/>
        </w:rPr>
        <w:t xml:space="preserve"> в рамках программы предоставлял</w:t>
      </w:r>
      <w:r>
        <w:rPr>
          <w:color w:val="000000" w:themeColor="text1"/>
          <w:lang w:eastAsia="ru-RU"/>
        </w:rPr>
        <w:t xml:space="preserve">и</w:t>
      </w:r>
      <w:r>
        <w:rPr>
          <w:color w:val="000000" w:themeColor="text1"/>
          <w:lang w:eastAsia="ru-RU"/>
        </w:rPr>
        <w:t xml:space="preserve">сь субвенци</w:t>
      </w:r>
      <w:r>
        <w:rPr>
          <w:color w:val="000000" w:themeColor="text1"/>
          <w:lang w:eastAsia="ru-RU"/>
        </w:rPr>
        <w:t xml:space="preserve">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на осуществление переданных полномочий Российской Федерации на государственную регистрацию актов гражданского состояния;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на осуществление полномочий по хранению, комплектованию, учету и использованию архивных документов, относящихся </w:t>
      </w:r>
      <w:r>
        <w:rPr>
          <w:color w:val="000000" w:themeColor="text1"/>
          <w:lang w:eastAsia="ru-RU"/>
        </w:rPr>
        <w:t xml:space="preserve">к государственной собственности Ханты-Мансийского автономного округа </w:t>
      </w:r>
      <w:r>
        <w:rPr>
          <w:color w:val="000000" w:themeColor="text1"/>
          <w:lang w:eastAsia="ru-RU"/>
        </w:rPr>
        <w:t xml:space="preserve">– </w:t>
      </w:r>
      <w:r>
        <w:rPr>
          <w:color w:val="000000" w:themeColor="text1"/>
          <w:lang w:eastAsia="ru-RU"/>
        </w:rPr>
        <w:t xml:space="preserve">Югры;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на осуществление отдельных государственных полномочий по созданию административных комиссий и определению перечня должностных ли</w:t>
      </w:r>
      <w:r>
        <w:rPr>
          <w:color w:val="000000" w:themeColor="text1"/>
          <w:lang w:eastAsia="ru-RU"/>
        </w:rPr>
        <w:t xml:space="preserve">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11.06.2010 №102-оз «Об административных правонарушениях»;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на</w:t>
      </w:r>
      <w:r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осуществление отдельных государственных полномочий по созданию и осуществлению</w:t>
      </w:r>
      <w:r>
        <w:rPr>
          <w:color w:val="000000" w:themeColor="text1"/>
          <w:lang w:eastAsia="ru-RU"/>
        </w:rPr>
        <w:t xml:space="preserve"> деятельности</w:t>
      </w:r>
      <w:r>
        <w:rPr>
          <w:color w:val="000000" w:themeColor="text1"/>
          <w:lang w:eastAsia="ru-RU"/>
        </w:rPr>
        <w:t xml:space="preserve"> муниципальных комиссий по делам несов</w:t>
      </w:r>
      <w:r>
        <w:rPr>
          <w:color w:val="000000" w:themeColor="text1"/>
          <w:lang w:eastAsia="ru-RU"/>
        </w:rPr>
        <w:t xml:space="preserve">ершеннолетних и защите их прав;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программы осуществлялась по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ожидаемое значение которых достигнуто в полном объеме.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показателей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992"/>
        <w:gridCol w:w="1134"/>
        <w:gridCol w:w="1418"/>
        <w:gridCol w:w="1275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4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Наличие актуализированной Стратегии социально-экономического развития города Мегиона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да/нет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достигнут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1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Наличие Плана мероприятий по реализации Стратегии социально-экономического развития города Мегиона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да/нет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достигнут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6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обоснованных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76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планов капитального строительства и ремонтных работ (по объектам, не включенным в Адресную инвестиционную программу Ханты-Мансийского автономного округа – Югры)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7,7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2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4253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обеспеченных мерами социальной поддержки, от числа граждан обратившихся за их получением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год муниципальная программа признана эффективной, присвоена оценка «отлично».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обеспечить необходимый уровень финансирования за счет средств местного бюджета.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.Формирование комфортной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городской среды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постановлением ад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минист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рации города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16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№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1894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54 101,6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27 308,3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50,5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6 545,2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6 545,2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бюджет автономного округа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11 436,4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11 434,4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36 120,0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9 328,7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25,8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Основной целью программы является повышение качества и комфорта городской сред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ы на территории города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рамках муниципальной программы реализуются мероприятия, направленные на исполнение регионального проекта «Формирование комфортной городской среды», направленного на достижение результатов национального проекта «Инфраструктура для жизни».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Достижение цели национального проекта оценивается включенным в муниципальную программу показателями, направленным на исполнение национального проекта: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«Количество благоустроенных общественных территорий»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«Доля граждан, принявших участие в решении вопросов развития городской среды, от общего количества граждан 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возрасте от 14 лет, проживающих в муниципальном образовании, на территории которого реализуются проекты по созданию комфортной городской среды».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Показатели исполнены.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программы осуществлялась по 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Комплекс проц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ессных мероприятий «Повышение качества и комфорта территорий общего пользования» исполнен на 20,8%. Бюджетные ассигнования в сумме 25 110,0 тыс. рублей доведены публичным акционерным обществом «Славнефть-Мегионнефтегаз» (благотворительное пожертвование) 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 благоустройство центральной площади 29.08.2025. Срок реализации проекта по Соглашению пожертвования до 31.12.2026. В связи с сезонным характером выполнения работ, реализация проекта запланирована на 2026 год. Также образовалась экономия бюджетных средств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в  сумме 506,9 тыс. рублей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 по результатам проведенного аукциона (мероприятие «Благоустройство общественной территории «Скейт-Парк»).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Достижение  пока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зателей муниципальной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992"/>
        <w:gridCol w:w="1134"/>
        <w:gridCol w:w="1418"/>
        <w:gridCol w:w="1417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благоустроенных дворовых территорий от общего количества дворовых территорий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благоустроенных дворовых территорий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2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благоустроенных общественных территорий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«удовлетворительно».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сохранить уровень финансирования муниципальной программы за счет средств местного бюджета в очередном финансовом году при условии ее корректировки.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23. Молодежная по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литика города Мегиона.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ind w:firstLine="709"/>
        <w:jc w:val="left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Программа утверждена постанов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лением администрации города от 10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.202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3 №1867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(с изменениями).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На момент проведения оценки эффективности муниципальная программа не приведена в соответст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вие с решениям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и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годов», от 25.12.2025 №43 «О внесении изменений в решение Думы города Мегиона от 09.12.2024 №4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27 «О бюджете городского округа Мегион Ханты-Мансийского автономного округа – Югры на 2025 год и плановый период 2026 и 2027 годов» (см изменениями). Оценка эффективности муниципальной программы  пр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  <w:t xml:space="preserve">оведена на основании годового отчета управления молодежной политики.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</w:p>
    <w:p>
      <w:pPr>
        <w:pStyle w:val="904"/>
        <w:spacing w:after="0" w:line="240" w:lineRule="auto"/>
        <w:ind w:firstLine="709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Финансовое обеспечение муниципальной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 программы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right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9"/>
        <w:gridCol w:w="1638"/>
        <w:gridCol w:w="1305"/>
        <w:gridCol w:w="1221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restart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64" w:type="dxa"/>
            <w:gridSpan w:val="3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Объем бюджетных ассигнований на 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vMerge w:val="continue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r>
          </w:p>
        </w:tc>
        <w:tc>
          <w:tcPr>
            <w:tcW w:w="1638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Плановое финансирование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Исполнение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21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ar-SA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сего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104 168,0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99 706,4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15 000,0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15 000,0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9" w:type="dxa"/>
            <w:noWrap w:val="false"/>
            <w:textDirection w:val="lrTb"/>
            <w:vAlign w:val="top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8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89 168,0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5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84 706,4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1" w:type="dxa"/>
            <w:noWrap w:val="false"/>
            <w:textDirection w:val="lrTb"/>
            <w:vAlign w:val="center"/>
          </w:tcPr>
          <w:p>
            <w:pPr>
              <w:pStyle w:val="904"/>
              <w:tabs>
                <w:tab w:val="left" w:pos="0" w:leader="none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95,0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Основной целью программы является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создание условий для реализации государственной молодежной политики на территории города Мегиона.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рамках муниципальной программы были реализованы следующие комплексы процессных мероприятий: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организация и проведение мероприятий творческой, спортивной, профилактической, гражданско-патриотической и добровольческой направленности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городского уровня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реализация и обеспечение деятельности муниципальных учреждений молодежной политики;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организация временного трудоустройства несовершеннолетних граждан.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рамках муниципальной программы реализуются мероприятия, направленные на исполнение региональных проектов «Россия – страна возможностей»,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«Мы вместе (Воспитание гармонично развитой личности)»,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направленных на достижение результатов национального проекта «Молодежь и дети».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yellow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Достижение цели национального проекта оценивается включенными в муниципальную программу показателями, направленным на исполнение национального проекта: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«Охват молодежи мероприятиями проводимыми на базе инфраструктуры молодежной политики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«Доля молодых людей, вовлеченных в мероприятия, направленные на профессиональное развитие»;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«Доля молодых семе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деятельность»;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</w:p>
    <w:p>
      <w:pPr>
        <w:spacing w:before="2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«Доля молодых людей, участвующих в проектах и программах, направленных на патриотическое воспитание».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Показатели достигнуты.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</w:r>
    </w:p>
    <w:p>
      <w:pPr>
        <w:pStyle w:val="904"/>
        <w:spacing w:before="20"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муниципальной программы осуществлялась по 11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 показателям, ожидаемое значение которых достигнуто в полном объеме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Подробная информация о ходе реализации муниципальной программы размещена на официальном сайте администрации города https://admmegion.ru/programs/municipal/ в разделе «Муниципальные программы».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о степени достижения показателей реализации муниципальной программы представлена в таблице.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spacing w:after="0" w:line="240" w:lineRule="auto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Достижение показателей муниципальной программы                                                                       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904"/>
        <w:spacing w:after="0" w:line="240" w:lineRule="auto"/>
        <w:jc w:val="righ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eastAsia="Times New Roman"/>
          <w:color w:val="auto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tbl>
      <w:tblPr>
        <w:tblW w:w="9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992"/>
        <w:gridCol w:w="1134"/>
        <w:gridCol w:w="1418"/>
        <w:gridCol w:w="1417"/>
      </w:tblGrid>
      <w:tr>
        <w:trPr>
          <w:trHeight w:val="765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Ед.изм.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Плановое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Процент достижения, %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0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граждан, вовлеченных в добровольческую деятельность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7 467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7 467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принявших участие в мероприятиях гражданско-патриотической направленности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8 213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принявших участие в мероприятиях творческой направленности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4 833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в возрасте от 14 до 18 лет, трудоустроенных на временные работы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мероприятий в сфере молодежной политики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102,7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отделом молодежной политики администрации города мероприятий городского уровня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3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2" w:type="dxa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учреждений,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воспользовавшихся налоговой льготой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8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молодежи мероприятиями проводимыми на базе инфраструктуры молодежной политики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8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молодых людей, вовлеченных в мероприятия, направленные на профессиональное развитие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33,28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33,28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8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молодых людей, участвующих в проектах и программах, направленных на патриотическое воспитание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70,06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70,06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68"/>
        </w:trPr>
        <w:tblPrEx/>
        <w:tc>
          <w:tcPr>
            <w:tcW w:w="582" w:type="dxa"/>
            <w:vMerge w:val="restart"/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молодых 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емей, в том числе молодых семей, имеющих детей, участвующих в мероприятиях по продвижению традиционных духовно-нравственных ценностей, в том числе проекты и программы, направленные на патриотическое воспитание, в добровольческую и общественную деятельность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15,07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15,07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реализации за 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муниципальная программа признана эффективной, присвоена оценка «хорошо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данной программе рекомендуется сохранить прежний уровень финансирования за счет средств местного бюджета в очередном финансовом году.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ab/>
        <w:t xml:space="preserve">Ответственному исполнителю рекомендуется обеспечивать своевременное внесение изменений в муниципальную программу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основании пункта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Порядка принятия решения о разработке муниципальных программ города Мегиона, их формирования, утверждения и реализации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постановлением администрации города от 21.06.2024 №1287 «О порядке разработки и реализации муниципальных программ города Мегиона» (с изменениями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04"/>
        <w:tabs>
          <w:tab w:val="left" w:pos="0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rPr>
          <w:color w:val="ff0000"/>
          <w:vertAlign w:val="superscript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567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color w:val="ff0000"/>
          <w:vertAlign w:val="superscript"/>
          <w:lang w:eastAsia="ru-RU"/>
        </w:rPr>
      </w:r>
      <w:r>
        <w:rPr>
          <w:color w:val="ff0000"/>
          <w:vertAlign w:val="superscript"/>
        </w:rPr>
      </w:r>
      <w:r>
        <w:rPr>
          <w:color w:val="ff0000"/>
          <w:vertAlign w:val="superscript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center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Исполнени</w:t>
      </w:r>
      <w:r>
        <w:rPr>
          <w:color w:val="000000" w:themeColor="text1"/>
          <w:lang w:eastAsia="ru-RU"/>
        </w:rPr>
        <w:t xml:space="preserve">е муниципальных программ за 2025</w:t>
      </w:r>
      <w:r>
        <w:rPr>
          <w:color w:val="000000" w:themeColor="text1"/>
          <w:lang w:eastAsia="ru-RU"/>
        </w:rPr>
        <w:t xml:space="preserve"> год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tabs>
          <w:tab w:val="left" w:pos="0" w:leader="none"/>
        </w:tabs>
        <w:ind w:left="0" w:firstLine="709"/>
        <w:contextualSpacing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ru-RU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4899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9"/>
        <w:gridCol w:w="6056"/>
        <w:gridCol w:w="1298"/>
        <w:gridCol w:w="1418"/>
        <w:gridCol w:w="1417"/>
        <w:gridCol w:w="1560"/>
        <w:gridCol w:w="1417"/>
        <w:gridCol w:w="1134"/>
      </w:tblGrid>
      <w:tr>
        <w:trPr>
          <w:trHeight w:val="312"/>
          <w:tblHeader/>
        </w:trPr>
        <w:tblPrEx/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6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программы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 реализации муниципальной программы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Объем расходов,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91"/>
          <w:tblHeader/>
        </w:trPr>
        <w:tblPrEx/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6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Количество, всего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исполнение 95% и более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% исполненных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План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Факт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Исполнение, 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51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систе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мы гражданской защиты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66 843,3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66 228,8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0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Улучшени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условий и охраны труда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2 612,0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2 596,9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Поддержка и развитие малого и среднего предприн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имательства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4 536,6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4 536,6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гражданского общества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города Мегиона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6 488,7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6 443,7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8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муниципальными финансами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45 130,1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44 496,3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2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Культурное пространство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723 133,7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711 121,7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муниципальной службы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87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Информационное обеспечение деятельности органов местного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36 768,3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36 074,5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72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физической 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льтуры и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укрепление общественного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435 893,7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432 588,8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6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муниципальным имуществом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75,0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36 890,8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30 816,4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83,5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21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жилищной сферы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1 064 369,2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1 049 959,7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информационного обще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ства на территории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44 504,8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44 247,3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98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транспортной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системы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771 252,6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718 756,1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93,2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8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жилищно-коммунального комплекса и повышение энергетич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еской эффективности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763 959,9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659 057,6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в области градостроительной деятел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11 156,9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9 985,4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89,5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доступной среды для инвалидов и других маломобильных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территории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14 723,5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7 786,5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52,9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правонарушений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сфере общественного порядка,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незаконного оборота и зло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употребления наркотиками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80,0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1 744,2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1 658,4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Укрепление межнационального и межконфессионального согласия, профилактика экстремизма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терроризма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9 574,9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9 551,5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13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образования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3 739 306,3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3 676 572,3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37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итие экологической безопасности на территории города Мегиона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19 342,2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18 049,6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93,3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0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униципального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643 699,7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621 881,0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0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комфортной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среды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54 101,6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27 308,3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0"/>
        </w:trPr>
        <w:tblPrEx/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056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Молодежная политика города Мегиона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104 168,0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99 706,4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0"/>
        </w:trPr>
        <w:tblPrEx/>
        <w:tc>
          <w:tcPr>
            <w:tcW w:w="6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8 600 551,0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8 279 773,8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0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96,3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/>
    <w:sectPr>
      <w:footnotePr/>
      <w:endnotePr/>
      <w:type w:val="nextPage"/>
      <w:pgSz w:w="16838" w:h="11905" w:orient="landscape"/>
      <w:pgMar w:top="1701" w:right="1134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Wingdings">
    <w:panose1 w:val="05000000000000000000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Verdana">
    <w:panose1 w:val="020B0604030504040204"/>
  </w:font>
  <w:font w:name="Lucida Sans Unicode">
    <w:panose1 w:val="020B0602030504020204"/>
  </w:font>
  <w:font w:name="Courier New">
    <w:panose1 w:val="02070309020205020404"/>
  </w:font>
  <w:font w:name="Arial">
    <w:panose1 w:val="020B0604020202020204"/>
  </w:font>
  <w:font w:name="+mn-ea">
    <w:panose1 w:val="02000603000000000000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9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tabs>
          <w:tab w:val="num" w:pos="1440" w:leader="none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tabs>
          <w:tab w:val="num" w:pos="2160" w:leader="none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tabs>
          <w:tab w:val="num" w:pos="2880" w:leader="none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tabs>
          <w:tab w:val="num" w:pos="3600" w:leader="none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tabs>
          <w:tab w:val="num" w:pos="4320" w:leader="none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tabs>
          <w:tab w:val="num" w:pos="5040" w:leader="none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tabs>
          <w:tab w:val="num" w:pos="5760" w:leader="none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tabs>
          <w:tab w:val="num" w:pos="6480" w:leader="none"/>
        </w:tabs>
        <w:ind w:left="6480" w:hanging="360"/>
      </w:pPr>
      <w:rPr>
        <w:rFonts w:ascii="Times New Roman" w:hAnsi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tabs>
          <w:tab w:val="num" w:pos="1440" w:leader="none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tabs>
          <w:tab w:val="num" w:pos="2160" w:leader="none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tabs>
          <w:tab w:val="num" w:pos="2880" w:leader="none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tabs>
          <w:tab w:val="num" w:pos="3600" w:leader="none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tabs>
          <w:tab w:val="num" w:pos="4320" w:leader="none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tabs>
          <w:tab w:val="num" w:pos="5040" w:leader="none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tabs>
          <w:tab w:val="num" w:pos="5760" w:leader="none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tabs>
          <w:tab w:val="num" w:pos="6480" w:leader="none"/>
        </w:tabs>
        <w:ind w:left="6480" w:hanging="360"/>
      </w:pPr>
      <w:rPr>
        <w:rFonts w:ascii="Times New Roman" w:hAnsi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4"/>
  </w:num>
  <w:num w:numId="5">
    <w:abstractNumId w:val="24"/>
  </w:num>
  <w:num w:numId="6">
    <w:abstractNumId w:val="23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5"/>
  </w:num>
  <w:num w:numId="12">
    <w:abstractNumId w:val="17"/>
  </w:num>
  <w:num w:numId="13">
    <w:abstractNumId w:val="5"/>
  </w:num>
  <w:num w:numId="14">
    <w:abstractNumId w:val="0"/>
  </w:num>
  <w:num w:numId="15">
    <w:abstractNumId w:val="9"/>
  </w:num>
  <w:num w:numId="16">
    <w:abstractNumId w:val="22"/>
  </w:num>
  <w:num w:numId="17">
    <w:abstractNumId w:val="25"/>
  </w:num>
  <w:num w:numId="18">
    <w:abstractNumId w:val="8"/>
  </w:num>
  <w:num w:numId="19">
    <w:abstractNumId w:val="7"/>
  </w:num>
  <w:num w:numId="20">
    <w:abstractNumId w:val="6"/>
  </w:num>
  <w:num w:numId="21">
    <w:abstractNumId w:val="20"/>
  </w:num>
  <w:num w:numId="22">
    <w:abstractNumId w:val="11"/>
  </w:num>
  <w:num w:numId="23">
    <w:abstractNumId w:val="1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ind w:left="720"/>
      <w:contextualSpacing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spacing w:after="57"/>
      <w:ind w:left="0" w:right="0" w:firstLine="0"/>
    </w:pPr>
  </w:style>
  <w:style w:type="paragraph" w:styleId="894">
    <w:name w:val="toc 2"/>
    <w:basedOn w:val="904"/>
    <w:next w:val="904"/>
    <w:uiPriority w:val="39"/>
    <w:unhideWhenUsed/>
    <w:pPr>
      <w:spacing w:after="57"/>
      <w:ind w:left="283" w:right="0" w:firstLine="0"/>
    </w:pPr>
  </w:style>
  <w:style w:type="paragraph" w:styleId="895">
    <w:name w:val="toc 3"/>
    <w:basedOn w:val="904"/>
    <w:next w:val="904"/>
    <w:uiPriority w:val="39"/>
    <w:unhideWhenUsed/>
    <w:pPr>
      <w:spacing w:after="57"/>
      <w:ind w:left="567" w:right="0" w:firstLine="0"/>
    </w:pPr>
  </w:style>
  <w:style w:type="paragraph" w:styleId="896">
    <w:name w:val="toc 4"/>
    <w:basedOn w:val="904"/>
    <w:next w:val="904"/>
    <w:uiPriority w:val="39"/>
    <w:unhideWhenUsed/>
    <w:pPr>
      <w:spacing w:after="57"/>
      <w:ind w:left="850" w:right="0" w:firstLine="0"/>
    </w:pPr>
  </w:style>
  <w:style w:type="paragraph" w:styleId="897">
    <w:name w:val="toc 5"/>
    <w:basedOn w:val="904"/>
    <w:next w:val="904"/>
    <w:uiPriority w:val="39"/>
    <w:unhideWhenUsed/>
    <w:pPr>
      <w:spacing w:after="57"/>
      <w:ind w:left="1134" w:right="0" w:firstLine="0"/>
    </w:pPr>
  </w:style>
  <w:style w:type="paragraph" w:styleId="898">
    <w:name w:val="toc 6"/>
    <w:basedOn w:val="904"/>
    <w:next w:val="904"/>
    <w:uiPriority w:val="39"/>
    <w:unhideWhenUsed/>
    <w:pPr>
      <w:spacing w:after="57"/>
      <w:ind w:left="1417" w:right="0" w:firstLine="0"/>
    </w:pPr>
  </w:style>
  <w:style w:type="paragraph" w:styleId="899">
    <w:name w:val="toc 7"/>
    <w:basedOn w:val="904"/>
    <w:next w:val="904"/>
    <w:uiPriority w:val="39"/>
    <w:unhideWhenUsed/>
    <w:pPr>
      <w:spacing w:after="57"/>
      <w:ind w:left="1701" w:right="0" w:firstLine="0"/>
    </w:pPr>
  </w:style>
  <w:style w:type="paragraph" w:styleId="900">
    <w:name w:val="toc 8"/>
    <w:basedOn w:val="904"/>
    <w:next w:val="904"/>
    <w:uiPriority w:val="39"/>
    <w:unhideWhenUsed/>
    <w:pPr>
      <w:spacing w:after="57"/>
      <w:ind w:left="1984" w:right="0" w:firstLine="0"/>
    </w:pPr>
  </w:style>
  <w:style w:type="paragraph" w:styleId="901">
    <w:name w:val="toc 9"/>
    <w:basedOn w:val="904"/>
    <w:next w:val="904"/>
    <w:uiPriority w:val="39"/>
    <w:unhideWhenUsed/>
    <w:pPr>
      <w:spacing w:after="57"/>
      <w:ind w:left="2268" w:right="0" w:firstLine="0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05">
    <w:name w:val="Основной шрифт абзаца"/>
    <w:next w:val="905"/>
    <w:link w:val="904"/>
    <w:uiPriority w:val="1"/>
    <w:unhideWhenUsed/>
  </w:style>
  <w:style w:type="table" w:styleId="906">
    <w:name w:val="Обычная таблица"/>
    <w:next w:val="906"/>
    <w:link w:val="904"/>
    <w:uiPriority w:val="99"/>
    <w:semiHidden/>
    <w:unhideWhenUsed/>
    <w:tblPr/>
  </w:style>
  <w:style w:type="numbering" w:styleId="907">
    <w:name w:val="Нет списка"/>
    <w:next w:val="907"/>
    <w:link w:val="904"/>
    <w:uiPriority w:val="99"/>
    <w:semiHidden/>
    <w:unhideWhenUsed/>
  </w:style>
  <w:style w:type="numbering" w:styleId="908">
    <w:name w:val="Нет списка1"/>
    <w:next w:val="907"/>
    <w:link w:val="904"/>
    <w:uiPriority w:val="99"/>
    <w:semiHidden/>
    <w:unhideWhenUsed/>
  </w:style>
  <w:style w:type="paragraph" w:styleId="909">
    <w:name w:val="ConsPlusNonformat"/>
    <w:next w:val="909"/>
    <w:link w:val="90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10">
    <w:name w:val="ConsPlusCell"/>
    <w:next w:val="910"/>
    <w:link w:val="947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911">
    <w:name w:val="Содержимое таблицы"/>
    <w:basedOn w:val="904"/>
    <w:next w:val="911"/>
    <w:link w:val="904"/>
    <w:pPr>
      <w:widowControl w:val="off"/>
      <w:suppressLineNumbers/>
      <w:spacing w:after="0" w:line="240" w:lineRule="auto"/>
    </w:pPr>
    <w:rPr>
      <w:rFonts w:ascii="Arial" w:hAnsi="Arial" w:eastAsia="Lucida Sans Unicode" w:cs="Calibri"/>
      <w:sz w:val="20"/>
      <w:szCs w:val="24"/>
      <w:lang w:eastAsia="ar-SA"/>
    </w:rPr>
  </w:style>
  <w:style w:type="paragraph" w:styleId="912">
    <w:name w:val="ConsPlusNormal"/>
    <w:next w:val="912"/>
    <w:link w:val="960"/>
    <w:qFormat/>
    <w:rPr>
      <w:rFonts w:ascii="Arial" w:hAnsi="Arial" w:eastAsia="Times New Roman" w:cs="Arial"/>
      <w:lang w:val="ru-RU" w:eastAsia="ru-RU" w:bidi="ar-SA"/>
    </w:rPr>
  </w:style>
  <w:style w:type="paragraph" w:styleId="913">
    <w:name w:val="Обычный (веб)"/>
    <w:basedOn w:val="904"/>
    <w:next w:val="913"/>
    <w:link w:val="90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>
    <w:name w:val="Стиль"/>
    <w:next w:val="914"/>
    <w:link w:val="904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15">
    <w:name w:val="Абзац списка"/>
    <w:basedOn w:val="904"/>
    <w:next w:val="915"/>
    <w:link w:val="904"/>
    <w:uiPriority w:val="34"/>
    <w:qFormat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916">
    <w:name w:val="Верхний колонтитул"/>
    <w:basedOn w:val="904"/>
    <w:next w:val="916"/>
    <w:link w:val="91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/>
      <w:sz w:val="28"/>
    </w:rPr>
  </w:style>
  <w:style w:type="character" w:styleId="917">
    <w:name w:val="Верхний колонтитул Знак"/>
    <w:next w:val="917"/>
    <w:link w:val="916"/>
    <w:uiPriority w:val="99"/>
    <w:rPr>
      <w:rFonts w:ascii="Times New Roman" w:hAnsi="Times New Roman"/>
      <w:sz w:val="28"/>
      <w:szCs w:val="22"/>
      <w:lang w:eastAsia="en-US"/>
    </w:rPr>
  </w:style>
  <w:style w:type="paragraph" w:styleId="918">
    <w:name w:val="Нижний колонтитул"/>
    <w:basedOn w:val="904"/>
    <w:next w:val="918"/>
    <w:link w:val="91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/>
      <w:sz w:val="28"/>
    </w:rPr>
  </w:style>
  <w:style w:type="character" w:styleId="919">
    <w:name w:val="Нижний колонтитул Знак"/>
    <w:next w:val="919"/>
    <w:link w:val="918"/>
    <w:uiPriority w:val="99"/>
    <w:rPr>
      <w:rFonts w:ascii="Times New Roman" w:hAnsi="Times New Roman"/>
      <w:sz w:val="28"/>
      <w:szCs w:val="22"/>
      <w:lang w:eastAsia="en-US"/>
    </w:rPr>
  </w:style>
  <w:style w:type="table" w:styleId="920">
    <w:name w:val="Сетка таблицы"/>
    <w:basedOn w:val="906"/>
    <w:next w:val="920"/>
    <w:link w:val="904"/>
    <w:uiPriority w:val="59"/>
    <w:rPr>
      <w:rFonts w:eastAsia="Times New Roman"/>
      <w:sz w:val="22"/>
      <w:szCs w:val="22"/>
    </w:rPr>
    <w:tblPr/>
  </w:style>
  <w:style w:type="paragraph" w:styleId="921">
    <w:name w:val="Текст выноски"/>
    <w:basedOn w:val="904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23">
    <w:name w:val="Текст сноски"/>
    <w:basedOn w:val="904"/>
    <w:next w:val="923"/>
    <w:link w:val="924"/>
    <w:uiPriority w:val="99"/>
    <w:semiHidden/>
    <w:unhideWhenUsed/>
    <w:rPr>
      <w:sz w:val="20"/>
      <w:szCs w:val="20"/>
    </w:rPr>
  </w:style>
  <w:style w:type="character" w:styleId="924">
    <w:name w:val="Текст сноски Знак"/>
    <w:next w:val="924"/>
    <w:link w:val="923"/>
    <w:uiPriority w:val="99"/>
    <w:semiHidden/>
    <w:rPr>
      <w:lang w:eastAsia="en-US"/>
    </w:rPr>
  </w:style>
  <w:style w:type="character" w:styleId="925">
    <w:name w:val="Знак сноски"/>
    <w:next w:val="925"/>
    <w:link w:val="904"/>
    <w:uiPriority w:val="99"/>
    <w:semiHidden/>
    <w:unhideWhenUsed/>
    <w:rPr>
      <w:vertAlign w:val="superscript"/>
    </w:rPr>
  </w:style>
  <w:style w:type="character" w:styleId="926">
    <w:name w:val="Гиперссылка"/>
    <w:next w:val="926"/>
    <w:link w:val="904"/>
    <w:uiPriority w:val="99"/>
    <w:unhideWhenUsed/>
    <w:rPr>
      <w:color w:val="0000ff"/>
      <w:u w:val="single"/>
    </w:rPr>
  </w:style>
  <w:style w:type="character" w:styleId="927">
    <w:name w:val="Просмотренная гиперссылка"/>
    <w:next w:val="927"/>
    <w:link w:val="904"/>
    <w:uiPriority w:val="99"/>
    <w:semiHidden/>
    <w:unhideWhenUsed/>
    <w:rPr>
      <w:color w:val="800080"/>
      <w:u w:val="single"/>
    </w:rPr>
  </w:style>
  <w:style w:type="paragraph" w:styleId="928">
    <w:name w:val="xl65"/>
    <w:basedOn w:val="904"/>
    <w:next w:val="928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29">
    <w:name w:val="xl66"/>
    <w:basedOn w:val="904"/>
    <w:next w:val="929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0">
    <w:name w:val="xl67"/>
    <w:basedOn w:val="904"/>
    <w:next w:val="930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18"/>
      <w:szCs w:val="18"/>
      <w:lang w:eastAsia="ru-RU"/>
    </w:rPr>
  </w:style>
  <w:style w:type="paragraph" w:styleId="931">
    <w:name w:val="xl68"/>
    <w:basedOn w:val="904"/>
    <w:next w:val="931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2">
    <w:name w:val="xl69"/>
    <w:basedOn w:val="904"/>
    <w:next w:val="932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3">
    <w:name w:val="xl70"/>
    <w:basedOn w:val="904"/>
    <w:next w:val="933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4">
    <w:name w:val="xl71"/>
    <w:basedOn w:val="904"/>
    <w:next w:val="934"/>
    <w:link w:val="90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5">
    <w:name w:val="xl72"/>
    <w:basedOn w:val="904"/>
    <w:next w:val="935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6">
    <w:name w:val="xl73"/>
    <w:basedOn w:val="904"/>
    <w:next w:val="936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8"/>
      <w:szCs w:val="18"/>
      <w:lang w:eastAsia="ru-RU"/>
    </w:rPr>
  </w:style>
  <w:style w:type="paragraph" w:styleId="937">
    <w:name w:val="xl74"/>
    <w:basedOn w:val="904"/>
    <w:next w:val="937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8"/>
      <w:szCs w:val="18"/>
      <w:lang w:eastAsia="ru-RU"/>
    </w:rPr>
  </w:style>
  <w:style w:type="paragraph" w:styleId="938">
    <w:name w:val="xl75"/>
    <w:basedOn w:val="904"/>
    <w:next w:val="938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39">
    <w:name w:val="xl76"/>
    <w:basedOn w:val="904"/>
    <w:next w:val="939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0">
    <w:name w:val="xl77"/>
    <w:basedOn w:val="904"/>
    <w:next w:val="940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8"/>
      <w:szCs w:val="18"/>
      <w:lang w:eastAsia="ru-RU"/>
    </w:rPr>
  </w:style>
  <w:style w:type="paragraph" w:styleId="941">
    <w:name w:val="xl78"/>
    <w:basedOn w:val="904"/>
    <w:next w:val="941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8"/>
      <w:szCs w:val="18"/>
      <w:lang w:eastAsia="ru-RU"/>
    </w:rPr>
  </w:style>
  <w:style w:type="paragraph" w:styleId="942">
    <w:name w:val="xl79"/>
    <w:basedOn w:val="904"/>
    <w:next w:val="942"/>
    <w:link w:val="904"/>
    <w:pPr>
      <w:pBdr>
        <w:top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3">
    <w:name w:val="xl80"/>
    <w:basedOn w:val="904"/>
    <w:next w:val="943"/>
    <w:link w:val="904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4">
    <w:name w:val="xl81"/>
    <w:basedOn w:val="904"/>
    <w:next w:val="944"/>
    <w:link w:val="904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5">
    <w:name w:val="xl82"/>
    <w:basedOn w:val="904"/>
    <w:next w:val="945"/>
    <w:link w:val="90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18"/>
      <w:szCs w:val="18"/>
      <w:lang w:eastAsia="ru-RU"/>
    </w:rPr>
  </w:style>
  <w:style w:type="paragraph" w:styleId="946">
    <w:name w:val="xl83"/>
    <w:basedOn w:val="904"/>
    <w:next w:val="946"/>
    <w:link w:val="904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eastAsia="ru-RU"/>
    </w:rPr>
  </w:style>
  <w:style w:type="character" w:styleId="947">
    <w:name w:val="ConsPlusCell Знак"/>
    <w:next w:val="947"/>
    <w:link w:val="910"/>
    <w:rPr>
      <w:rFonts w:ascii="Times New Roman" w:hAnsi="Times New Roman" w:eastAsia="Times New Roman"/>
      <w:sz w:val="28"/>
      <w:szCs w:val="28"/>
    </w:rPr>
  </w:style>
  <w:style w:type="paragraph" w:styleId="948">
    <w:name w:val=" Знак Знак Знак Знак1"/>
    <w:basedOn w:val="904"/>
    <w:next w:val="948"/>
    <w:link w:val="904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Без интервала"/>
    <w:next w:val="949"/>
    <w:link w:val="959"/>
    <w:uiPriority w:val="1"/>
    <w:qFormat/>
    <w:rPr>
      <w:sz w:val="22"/>
      <w:szCs w:val="22"/>
      <w:lang w:val="ru-RU" w:eastAsia="en-US" w:bidi="ar-SA"/>
    </w:rPr>
  </w:style>
  <w:style w:type="paragraph" w:styleId="950">
    <w:name w:val="Standard"/>
    <w:next w:val="950"/>
    <w:link w:val="904"/>
    <w:pPr>
      <w:spacing w:after="160" w:line="244" w:lineRule="auto"/>
    </w:pPr>
    <w:rPr>
      <w:rFonts w:eastAsia="SimSun" w:cs="Calibri"/>
      <w:sz w:val="22"/>
      <w:szCs w:val="22"/>
      <w:lang w:val="ru-RU" w:eastAsia="en-US" w:bidi="ar-SA"/>
    </w:rPr>
  </w:style>
  <w:style w:type="paragraph" w:styleId="951">
    <w:name w:val="Знак"/>
    <w:basedOn w:val="904"/>
    <w:next w:val="951"/>
    <w:link w:val="904"/>
    <w:pPr>
      <w:spacing w:after="160" w:line="240" w:lineRule="exact"/>
    </w:pPr>
    <w:rPr>
      <w:rFonts w:ascii="Times New Roman" w:hAnsi="Times New Roman" w:eastAsia="Times New Roman"/>
      <w:sz w:val="28"/>
      <w:szCs w:val="20"/>
      <w:lang w:val="en-US"/>
    </w:rPr>
  </w:style>
  <w:style w:type="character" w:styleId="952">
    <w:name w:val="Гипертекстовая ссылка"/>
    <w:next w:val="952"/>
    <w:link w:val="904"/>
    <w:uiPriority w:val="99"/>
    <w:rPr>
      <w:rFonts w:ascii="Times New Roman" w:hAnsi="Times New Roman" w:cs="Times New Roman"/>
      <w:color w:val="106bbe"/>
    </w:rPr>
  </w:style>
  <w:style w:type="character" w:styleId="953">
    <w:name w:val="Знак примечания"/>
    <w:next w:val="953"/>
    <w:link w:val="904"/>
    <w:uiPriority w:val="99"/>
    <w:semiHidden/>
    <w:unhideWhenUsed/>
    <w:rPr>
      <w:sz w:val="16"/>
      <w:szCs w:val="16"/>
    </w:rPr>
  </w:style>
  <w:style w:type="paragraph" w:styleId="954">
    <w:name w:val="Текст примечания"/>
    <w:basedOn w:val="904"/>
    <w:next w:val="954"/>
    <w:link w:val="955"/>
    <w:uiPriority w:val="99"/>
    <w:semiHidden/>
    <w:unhideWhenUsed/>
    <w:rPr>
      <w:sz w:val="20"/>
      <w:szCs w:val="20"/>
    </w:rPr>
  </w:style>
  <w:style w:type="character" w:styleId="955">
    <w:name w:val="Текст примечания Знак"/>
    <w:next w:val="955"/>
    <w:link w:val="954"/>
    <w:uiPriority w:val="99"/>
    <w:semiHidden/>
    <w:rPr>
      <w:lang w:eastAsia="en-US"/>
    </w:rPr>
  </w:style>
  <w:style w:type="paragraph" w:styleId="956">
    <w:name w:val="Тема примечания"/>
    <w:basedOn w:val="954"/>
    <w:next w:val="954"/>
    <w:link w:val="957"/>
    <w:uiPriority w:val="99"/>
    <w:semiHidden/>
    <w:unhideWhenUsed/>
    <w:rPr>
      <w:b/>
      <w:bCs/>
    </w:rPr>
  </w:style>
  <w:style w:type="character" w:styleId="957">
    <w:name w:val="Тема примечания Знак"/>
    <w:next w:val="957"/>
    <w:link w:val="956"/>
    <w:uiPriority w:val="99"/>
    <w:semiHidden/>
    <w:rPr>
      <w:b/>
      <w:bCs/>
      <w:lang w:eastAsia="en-US"/>
    </w:rPr>
  </w:style>
  <w:style w:type="paragraph" w:styleId="958">
    <w:name w:val="ConsPlusTitle"/>
    <w:next w:val="958"/>
    <w:link w:val="904"/>
    <w:pPr>
      <w:spacing w:before="20"/>
    </w:pPr>
    <w:rPr>
      <w:rFonts w:ascii="Times New Roman" w:hAnsi="Times New Roman" w:eastAsia="Times New Roman"/>
      <w:b/>
      <w:bCs/>
      <w:sz w:val="28"/>
      <w:szCs w:val="28"/>
      <w:lang w:val="ru-RU" w:eastAsia="en-US" w:bidi="ar-SA"/>
    </w:rPr>
  </w:style>
  <w:style w:type="character" w:styleId="959">
    <w:name w:val="Без интервала Знак"/>
    <w:next w:val="959"/>
    <w:link w:val="949"/>
    <w:uiPriority w:val="1"/>
    <w:rPr>
      <w:sz w:val="22"/>
      <w:szCs w:val="22"/>
      <w:lang w:eastAsia="en-US"/>
    </w:rPr>
  </w:style>
  <w:style w:type="character" w:styleId="960">
    <w:name w:val="ConsPlusNormal Знак"/>
    <w:next w:val="960"/>
    <w:link w:val="912"/>
    <w:rPr>
      <w:rFonts w:ascii="Arial" w:hAnsi="Arial" w:eastAsia="Times New Roman" w:cs="Arial"/>
    </w:rPr>
  </w:style>
  <w:style w:type="paragraph" w:styleId="961">
    <w:name w:val=" Знак Знак Знак Знак"/>
    <w:basedOn w:val="904"/>
    <w:next w:val="961"/>
    <w:link w:val="904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962">
    <w:name w:val="Текст концевой сноски"/>
    <w:basedOn w:val="904"/>
    <w:next w:val="962"/>
    <w:link w:val="963"/>
    <w:uiPriority w:val="99"/>
    <w:semiHidden/>
    <w:unhideWhenUsed/>
    <w:rPr>
      <w:sz w:val="20"/>
      <w:szCs w:val="20"/>
    </w:rPr>
  </w:style>
  <w:style w:type="character" w:styleId="963">
    <w:name w:val="Текст концевой сноски Знак"/>
    <w:next w:val="963"/>
    <w:link w:val="962"/>
    <w:uiPriority w:val="99"/>
    <w:semiHidden/>
    <w:rPr>
      <w:lang w:eastAsia="en-US"/>
    </w:rPr>
  </w:style>
  <w:style w:type="character" w:styleId="964">
    <w:name w:val="Знак концевой сноски"/>
    <w:next w:val="964"/>
    <w:link w:val="904"/>
    <w:uiPriority w:val="99"/>
    <w:semiHidden/>
    <w:unhideWhenUsed/>
    <w:rPr>
      <w:vertAlign w:val="superscript"/>
    </w:rPr>
  </w:style>
  <w:style w:type="character" w:styleId="965">
    <w:name w:val="Выделение"/>
    <w:next w:val="965"/>
    <w:link w:val="904"/>
    <w:uiPriority w:val="20"/>
    <w:qFormat/>
    <w:rPr>
      <w:i/>
      <w:iCs/>
    </w:rPr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  <w:style w:type="paragraph" w:styleId="969" w:customStyle="1">
    <w:name w:val="Прижатый влево"/>
    <w:basedOn w:val="83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г.Мегион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Фрезе Валерия Павловна</dc:creator>
  <cp:lastModifiedBy>SyafukovaEM</cp:lastModifiedBy>
  <cp:revision>774</cp:revision>
  <dcterms:created xsi:type="dcterms:W3CDTF">2016-02-12T04:47:00Z</dcterms:created>
  <dcterms:modified xsi:type="dcterms:W3CDTF">2026-03-26T07:21:18Z</dcterms:modified>
  <cp:version>1048576</cp:version>
</cp:coreProperties>
</file>