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D6" w:rsidRPr="005467E5" w:rsidRDefault="005467E5" w:rsidP="00CA3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CA3E6C" w:rsidRPr="005467E5">
        <w:rPr>
          <w:rFonts w:ascii="Times New Roman" w:hAnsi="Times New Roman"/>
          <w:sz w:val="24"/>
          <w:szCs w:val="24"/>
        </w:rPr>
        <w:t xml:space="preserve"> </w:t>
      </w:r>
    </w:p>
    <w:p w:rsidR="00CA3E6C" w:rsidRPr="005467E5" w:rsidRDefault="00CA3E6C" w:rsidP="00CA3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7E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B2ED6" w:rsidRPr="005467E5" w:rsidRDefault="006B2ED6" w:rsidP="006B2ED6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5467E5">
        <w:rPr>
          <w:rFonts w:ascii="Times New Roman" w:eastAsia="Batang" w:hAnsi="Times New Roman"/>
          <w:sz w:val="24"/>
          <w:szCs w:val="24"/>
          <w:lang w:eastAsia="ko-KR"/>
        </w:rPr>
        <w:t>«Развитие жилищно-коммунального комплекса и повышение энергетической эффективности в городском округе город Мегион на 2019 – 2025 годы»</w:t>
      </w:r>
    </w:p>
    <w:p w:rsidR="006B2ED6" w:rsidRPr="005467E5" w:rsidRDefault="006B2ED6" w:rsidP="00CA3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7229"/>
      </w:tblGrid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«Развитие жилищно-коммунального комплекса и повышение энергетической эффективности в городском округе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 xml:space="preserve"> на 2019 – 2025 годы»</w:t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горда от 27.12.2018 №2910</w:t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города</w:t>
            </w:r>
            <w:bookmarkStart w:id="0" w:name="_GoBack"/>
            <w:bookmarkEnd w:id="0"/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«Капитальное строительство»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Департамент экономического развития и инвестиций администрации города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Муниципальные бюджетные учреждения </w:t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Создание условий для комфортного проживания граждан;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населению.</w:t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1.Улучшение санитарного состояния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2.Установление единого порядка содержания объектов внешнего благоустройства на территории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3.Модернизация систем коммунальной инфраструктуры на основе использования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 xml:space="preserve"> и экологически чистых технологий.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4.Строительство объектов коммунального комплекса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5.Субсидии организациям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6.Энергосбережение в бюджетной сфере.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7.Энергосбережение в жилищной сфере.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8.Выполнение капитального ремонта с внедрением современных строительных материалов.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9.Повышение эффективности управления и содержания общего имущества многоквартирных домов. </w:t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>Подпрограммы и основные 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Подпрограмма 1 «Содержание объектов внешнего благоустройства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«Обеспечение стабильной благополучной эпизоотической обстановки в городском округе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 xml:space="preserve"> и защита населения от болезней, общих для человека и животных»;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Основное мероприятие: «Обеспечение единого порядка содержания объектов внешнего благоустройства (в том числе с применением инициативного бюджетирования)»;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Основное мероприятие: «Строительство городского кладбища».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Подпрограмма 2 «Модернизация и реформирование жилищно-коммунального комплекса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Основное мероприятие: Реконструкция, расширение, модернизация, строительство и капитальный ремонт объектов коммунального комплекса;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Основное мероприятие: Субсидии на возмещение недополученных доходов организациям, осуществляющим вывоз жидких бытовых отходов;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Основное мероприятие: 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ab/>
              <w:t xml:space="preserve">«Энергосбережение и повышение энергетической эффективности и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энергобезопасности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городской округ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Основное мероприятие: Энергосбережение в бюджетной сфере.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Подпрограмма 4 «Капитальный ремонт, реконструкция и ремонт муниципального жилищного фонда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Основное мероприятие: Капитальный ремонт, реконструкция и ремонт муниципального жилого фонда.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Подпрограмма 5 «Содействие проведению капитального ремонта многоквартирных домов на территории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Муниципальная поддержка проведения капитального ремонта общего имущества в многоквартирных домах, расположенных на территории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«Экология»</w:t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1.Ежегодное количество отловленных безнадзорных и бродячих животных – 70 шт.;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lastRenderedPageBreak/>
              <w:t>2.Площадь, на которых проведены мероприятия по дератизации и дезинсекции – 176,2 га;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3.Ежегодное количество снесенного непригодного для проживания жилья – 105 шт.;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4.Площадь обслуживаемых магистральных и луговых </w:t>
            </w:r>
            <w:proofErr w:type="gramStart"/>
            <w:r w:rsidRPr="001B43B4">
              <w:rPr>
                <w:rFonts w:ascii="Times New Roman" w:hAnsi="Times New Roman"/>
                <w:sz w:val="24"/>
                <w:szCs w:val="24"/>
              </w:rPr>
              <w:t>газонов  -</w:t>
            </w:r>
            <w:proofErr w:type="gramEnd"/>
            <w:r w:rsidRPr="001B43B4">
              <w:rPr>
                <w:rFonts w:ascii="Times New Roman" w:hAnsi="Times New Roman"/>
                <w:sz w:val="24"/>
                <w:szCs w:val="24"/>
              </w:rPr>
              <w:t xml:space="preserve"> 212,6 тыс.м²;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5.Количество обслуживаемых детских игровых площадок – 63 шт.;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6. Объем потребления электроэнергии на уличное освещение – 2 465,4 </w:t>
            </w:r>
            <w:proofErr w:type="spellStart"/>
            <w:proofErr w:type="gramStart"/>
            <w:r w:rsidRPr="001B43B4">
              <w:rPr>
                <w:rFonts w:ascii="Times New Roman" w:hAnsi="Times New Roman"/>
                <w:sz w:val="24"/>
                <w:szCs w:val="24"/>
              </w:rPr>
              <w:t>т.кВт</w:t>
            </w:r>
            <w:proofErr w:type="spellEnd"/>
            <w:proofErr w:type="gramEnd"/>
            <w:r w:rsidRPr="001B43B4">
              <w:rPr>
                <w:rFonts w:ascii="Times New Roman" w:hAnsi="Times New Roman"/>
                <w:sz w:val="24"/>
                <w:szCs w:val="24"/>
              </w:rPr>
              <w:t>/ч;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7.Протяженность обслуживаемых сетей уличного освещения -                     61 км;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8.Количество обслуживаемых кладбищ – 3 шт.;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9.Общая площадь территории вновь построенного кладбища – 0 м²;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10.Проведенные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 xml:space="preserve"> мероприятия - 650 </w:t>
            </w:r>
            <w:proofErr w:type="spellStart"/>
            <w:proofErr w:type="gramStart"/>
            <w:r w:rsidRPr="001B43B4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1B43B4">
              <w:rPr>
                <w:rFonts w:ascii="Times New Roman" w:hAnsi="Times New Roman"/>
                <w:sz w:val="24"/>
                <w:szCs w:val="24"/>
              </w:rPr>
              <w:t>час;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11.Количество объектов, подготовленных к новогодним мероприятиям – 3 шт.;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12.Количество площадей и скверов, на которых выполняются работы по содержанию и </w:t>
            </w:r>
            <w:proofErr w:type="gramStart"/>
            <w:r w:rsidRPr="001B43B4">
              <w:rPr>
                <w:rFonts w:ascii="Times New Roman" w:hAnsi="Times New Roman"/>
                <w:sz w:val="24"/>
                <w:szCs w:val="24"/>
              </w:rPr>
              <w:t>ремонту  –</w:t>
            </w:r>
            <w:proofErr w:type="gramEnd"/>
            <w:r w:rsidRPr="001B43B4">
              <w:rPr>
                <w:rFonts w:ascii="Times New Roman" w:hAnsi="Times New Roman"/>
                <w:sz w:val="24"/>
                <w:szCs w:val="24"/>
              </w:rPr>
              <w:t xml:space="preserve"> 3 шт.;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13.Участие населения в реализации проектов в рамках инициативного бюджетирования – 1 050 чел.;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14.Протяженность замененных ветхих сетей теплоснабжения, водоснабжения и водоотведения – 5,45 км;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15.Количество обслуживаемых пожарных гидрантов - 157 шт.;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16.Протяженность построенных сетей газоснабжения для газификации объектов социального назначения городского округа -  1 025 м;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17.Объем вывезенных жидких бытовых отходов – 83 452 м³;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18.Ежегодное обеспечение сжиженным газом населения в границах городского округа город </w:t>
            </w:r>
            <w:proofErr w:type="spellStart"/>
            <w:r w:rsidRPr="001B43B4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B43B4">
              <w:rPr>
                <w:rFonts w:ascii="Times New Roman" w:hAnsi="Times New Roman"/>
                <w:sz w:val="24"/>
                <w:szCs w:val="24"/>
              </w:rPr>
              <w:t xml:space="preserve"> - 7 т/год;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19.Количество установленных приборов учета энергоресурсов – 147 шт.;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20.Доля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– 99,9%;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21.Доля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– 65%;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22.Доля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 – 78%;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23.Доля объема горячей воды, расчеты за которую осуществляются с использованием приборов учета, в общем объеме горячей воды, </w:t>
            </w: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потребляемой (используемой) на территории муниципального образования – 75%;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24.Доля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– 100%;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25.Удельный расход электрической энергии на снабжение органов местного самоуправления и муниципальных учреждений (в расчете на 1 кв. метр общей площади) –51,11 Квт/час на м2;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26.Удельный расход тепловой энергии на снабжение органов местного самоуправления и муниципальных учреждений (в расчете на 1 кв. метр общей площади) – 0,167 Гкал/м2;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27.Удельный расход холодной воды на снабжение органов местного самоуправления и муниципальных учреждений (в расчете на 1 человека) – 1,73 м3 </w:t>
            </w:r>
            <w:proofErr w:type="gramStart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  1</w:t>
            </w:r>
            <w:proofErr w:type="gramEnd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чел.;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28.Удельный расход горячей воды на снабжение органов местного самоуправления и муниципальных учреждений (в расчете на 1 человека) – 0,20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м3 </w:t>
            </w:r>
            <w:proofErr w:type="gramStart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  1</w:t>
            </w:r>
            <w:proofErr w:type="gramEnd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чел.;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29.Удельный расход природного газа на снабжение органов местного самоуправления и муниципальных учреждений (в расчете на 1 человека) – 0 м3 </w:t>
            </w:r>
            <w:proofErr w:type="gramStart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  1</w:t>
            </w:r>
            <w:proofErr w:type="gramEnd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чел.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30.Доля светодиодных источников света в общем количестве источников </w:t>
            </w:r>
            <w:proofErr w:type="gramStart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света  в</w:t>
            </w:r>
            <w:proofErr w:type="gramEnd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зданиях (помещениях), где размещаются органы местного самоуправления и муниципальные учреждения – 95%;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31.Удельный расход тепловой энергии в многоквартирных домах (в расчете на 1 кв. метр общей площади) – 0,20 Гкал/м2;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32.Удельный расход холодной воды в многоквартирных домах (в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расчете на 1 жителя) – 32,60 м3 </w:t>
            </w:r>
            <w:proofErr w:type="gramStart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  1</w:t>
            </w:r>
            <w:proofErr w:type="gramEnd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чел.;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33.Удельный расход горячей воды в многоквартирных домах (в расчете на 1 жителя) – 15,85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м3 </w:t>
            </w:r>
            <w:proofErr w:type="gramStart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  1</w:t>
            </w:r>
            <w:proofErr w:type="gramEnd"/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чел.;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34.Удельный расход электрической энергии в многоквартирных домах (в расчете на 1 кв. метр общей площади) – 40,87 Квт/час на м2;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35.Удельный расход природного газа в многоквартирных домах с индивидуальными системами газового отопления (в расчете на 1 кв. метр общей площади) – 173 м3/м2;</w:t>
            </w:r>
          </w:p>
          <w:p w:rsidR="001B43B4" w:rsidRPr="001B43B4" w:rsidRDefault="001B43B4" w:rsidP="001B43B4">
            <w:pPr>
              <w:spacing w:after="0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B43B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36.Площадь муниципального жилищного фонда, в котором проведен капитальный ремонт или реконструкция – 1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> 274 м²;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37.Доля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 - 100 %.</w:t>
            </w:r>
            <w:r w:rsidRPr="001B43B4">
              <w:rPr>
                <w:rFonts w:ascii="Times New Roman" w:hAnsi="Times New Roman"/>
                <w:sz w:val="24"/>
                <w:szCs w:val="24"/>
              </w:rPr>
              <w:tab/>
            </w:r>
            <w:r w:rsidRPr="001B43B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На 2019-2025 годы.</w:t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муниципальной программы на 2019-2025 годы составит: 409 903,2 тыс. рублей, в том числе: 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2019 год – 81 619,8 тыс. рублей;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 xml:space="preserve">2020 год – 48 999,3 тыс. рублей; 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2021 год – 55 856,9 тыс. рублей;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2022 год – 55 856,8 тыс. рублей;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2023 год – 55 856,8 тыс. рублей;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2024 год – 55 856,8 тыс. рублей;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3B4">
              <w:rPr>
                <w:rFonts w:ascii="Times New Roman" w:hAnsi="Times New Roman"/>
                <w:sz w:val="24"/>
                <w:szCs w:val="24"/>
              </w:rPr>
              <w:t>2025 год – 55 856,8 тыс. рублей.</w:t>
            </w:r>
          </w:p>
        </w:tc>
      </w:tr>
      <w:tr w:rsidR="001B43B4" w:rsidRPr="001B43B4" w:rsidTr="00363A7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4" w:rsidRPr="001B43B4" w:rsidRDefault="001B43B4" w:rsidP="001B4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B4">
              <w:rPr>
                <w:rFonts w:ascii="Times New Roman" w:hAnsi="Times New Roman" w:cs="Times New Roman"/>
                <w:sz w:val="24"/>
                <w:szCs w:val="24"/>
              </w:rPr>
              <w:t>Общий объём финансового обеспечения портфеля проекта на 2019-2024 годы составит 0 руб.</w:t>
            </w:r>
          </w:p>
          <w:p w:rsidR="001B43B4" w:rsidRPr="001B43B4" w:rsidRDefault="001B43B4" w:rsidP="001B43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E6C" w:rsidRPr="001B43B4" w:rsidRDefault="00CA3E6C" w:rsidP="001B4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3E6C" w:rsidRPr="001B43B4" w:rsidSect="00133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C"/>
    <w:rsid w:val="00004970"/>
    <w:rsid w:val="00133528"/>
    <w:rsid w:val="001B43B4"/>
    <w:rsid w:val="004024F5"/>
    <w:rsid w:val="005467E5"/>
    <w:rsid w:val="005D0E61"/>
    <w:rsid w:val="00663138"/>
    <w:rsid w:val="006B2ED6"/>
    <w:rsid w:val="006B78F1"/>
    <w:rsid w:val="007E10D8"/>
    <w:rsid w:val="00994DD3"/>
    <w:rsid w:val="00CA3E6C"/>
    <w:rsid w:val="00D44847"/>
    <w:rsid w:val="00E934DC"/>
    <w:rsid w:val="00E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43C1-CEFB-47A1-B3DC-3CEC8CF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E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E6C"/>
    <w:rPr>
      <w:color w:val="800080"/>
      <w:u w:val="single"/>
    </w:rPr>
  </w:style>
  <w:style w:type="paragraph" w:customStyle="1" w:styleId="msonormal0">
    <w:name w:val="msonormal"/>
    <w:basedOn w:val="a"/>
    <w:rsid w:val="00CA3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A3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A3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A3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A3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A3E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A3E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A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A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A3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A3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A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A3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A3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A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A3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A3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A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A3E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A3E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A3E6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A3E6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A3E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A3E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A3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A3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A3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A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Трофимова Наталья Сергеевна</cp:lastModifiedBy>
  <cp:revision>11</cp:revision>
  <dcterms:created xsi:type="dcterms:W3CDTF">2018-11-09T13:28:00Z</dcterms:created>
  <dcterms:modified xsi:type="dcterms:W3CDTF">2019-11-05T10:50:00Z</dcterms:modified>
</cp:coreProperties>
</file>