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8A" w:rsidRDefault="005D0F8A">
      <w:pPr>
        <w:widowControl w:val="0"/>
        <w:jc w:val="center"/>
      </w:pPr>
      <w:bookmarkStart w:id="0" w:name="_GoBack"/>
      <w:bookmarkEnd w:id="0"/>
    </w:p>
    <w:p w:rsidR="005D0F8A" w:rsidRDefault="005D0F8A">
      <w:pPr>
        <w:widowControl w:val="0"/>
        <w:jc w:val="center"/>
      </w:pPr>
    </w:p>
    <w:p w:rsidR="005D0F8A" w:rsidRDefault="002602E5">
      <w:pPr>
        <w:widowControl w:val="0"/>
        <w:jc w:val="center"/>
      </w:pPr>
      <w:r>
        <w:t>Паспорт</w:t>
      </w:r>
    </w:p>
    <w:p w:rsidR="005D0F8A" w:rsidRDefault="002602E5">
      <w:pPr>
        <w:widowControl w:val="0"/>
        <w:jc w:val="center"/>
      </w:pPr>
      <w:r>
        <w:t>муниципальной программы</w:t>
      </w:r>
    </w:p>
    <w:p w:rsidR="005D0F8A" w:rsidRDefault="002602E5">
      <w:pPr>
        <w:jc w:val="center"/>
        <w:rPr>
          <w:bCs/>
        </w:rPr>
      </w:pPr>
      <w:r>
        <w:rPr>
          <w:bCs/>
        </w:rPr>
        <w:t>«Профилактика правонарушений в сфере общественного порядка, незаконного оборота</w:t>
      </w:r>
    </w:p>
    <w:p w:rsidR="005D0F8A" w:rsidRDefault="002602E5">
      <w:pPr>
        <w:jc w:val="center"/>
        <w:rPr>
          <w:bCs/>
        </w:rPr>
      </w:pPr>
      <w:r>
        <w:rPr>
          <w:bCs/>
        </w:rPr>
        <w:t>и злоупотребления наркотиками в городе Мегионе»</w:t>
      </w:r>
    </w:p>
    <w:p w:rsidR="005D0F8A" w:rsidRDefault="005D0F8A">
      <w:pPr>
        <w:jc w:val="center"/>
        <w:rPr>
          <w:bCs/>
        </w:rPr>
      </w:pPr>
    </w:p>
    <w:p w:rsidR="005D0F8A" w:rsidRDefault="002602E5">
      <w:pPr>
        <w:widowControl w:val="0"/>
        <w:jc w:val="center"/>
      </w:pPr>
      <w:r>
        <w:t xml:space="preserve">1.Основные положения </w:t>
      </w:r>
    </w:p>
    <w:p w:rsidR="005D0F8A" w:rsidRDefault="005D0F8A">
      <w:pPr>
        <w:widowControl w:val="0"/>
      </w:pPr>
    </w:p>
    <w:tbl>
      <w:tblPr>
        <w:tblW w:w="1013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761"/>
        <w:gridCol w:w="6378"/>
      </w:tblGrid>
      <w:tr w:rsidR="005D0F8A">
        <w:trPr>
          <w:trHeight w:val="242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widowControl w:val="0"/>
              <w:contextualSpacing/>
            </w:pPr>
            <w:r>
              <w:t xml:space="preserve">Куратор муниципальной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  <w:contextualSpacing/>
            </w:pPr>
            <w:r>
              <w:t>Первый заместитель главы города Мегиона</w:t>
            </w:r>
          </w:p>
        </w:tc>
      </w:tr>
      <w:tr w:rsidR="005D0F8A">
        <w:trPr>
          <w:trHeight w:val="55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widowControl w:val="0"/>
              <w:contextualSpacing/>
            </w:pPr>
            <w: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  <w:contextualSpacing/>
            </w:pPr>
            <w:r>
              <w:t xml:space="preserve">Управление общественной безопасности администрации города </w:t>
            </w:r>
          </w:p>
        </w:tc>
      </w:tr>
      <w:tr w:rsidR="005D0F8A">
        <w:trPr>
          <w:trHeight w:val="3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widowControl w:val="0"/>
              <w:contextualSpacing/>
            </w:pPr>
            <w:r>
              <w:t xml:space="preserve">Период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  <w:jc w:val="center"/>
            </w:pPr>
            <w:r>
              <w:t>2025 – 2030 годы</w:t>
            </w:r>
            <w:r>
              <w:rPr>
                <w:lang w:val="en-US"/>
              </w:rPr>
              <w:t xml:space="preserve"> </w:t>
            </w:r>
          </w:p>
        </w:tc>
      </w:tr>
      <w:tr w:rsidR="005D0F8A">
        <w:trPr>
          <w:trHeight w:val="225"/>
        </w:trPr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  <w:contextualSpacing/>
              <w:rPr>
                <w:lang w:val="en-US"/>
              </w:rPr>
            </w:pPr>
            <w: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</w:pPr>
            <w:r>
              <w:rPr>
                <w:color w:val="000000"/>
              </w:rPr>
              <w:t>Обеспечение общественного порядка, профилактика правонарушений, снижение уровня преступности</w:t>
            </w:r>
          </w:p>
        </w:tc>
      </w:tr>
      <w:tr w:rsidR="005D0F8A">
        <w:trPr>
          <w:trHeight w:val="195"/>
        </w:trPr>
        <w:tc>
          <w:tcPr>
            <w:tcW w:w="3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F8A" w:rsidRDefault="005D0F8A"/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</w:pPr>
            <w:r>
              <w:rPr>
                <w:color w:val="000000"/>
              </w:rPr>
              <w:t>Организационное, нормативное правовое и ресурсное обеспечение антинаркотической деятельности</w:t>
            </w:r>
          </w:p>
        </w:tc>
      </w:tr>
      <w:tr w:rsidR="005D0F8A">
        <w:trPr>
          <w:trHeight w:val="195"/>
        </w:trPr>
        <w:tc>
          <w:tcPr>
            <w:tcW w:w="3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/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</w:pPr>
            <w:r>
              <w:rPr>
                <w:color w:val="000000"/>
              </w:rPr>
              <w:t>Обеспечение прав граждан в отдельных сферах жизнедеятельности</w:t>
            </w:r>
          </w:p>
        </w:tc>
      </w:tr>
      <w:tr w:rsidR="005D0F8A">
        <w:trPr>
          <w:trHeight w:val="4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widowControl w:val="0"/>
              <w:contextualSpacing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  <w:jc w:val="center"/>
            </w:pPr>
            <w:r>
              <w:t>4 578,4 тыс. рублей</w:t>
            </w:r>
          </w:p>
        </w:tc>
      </w:tr>
      <w:tr w:rsidR="005D0F8A">
        <w:trPr>
          <w:trHeight w:val="4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widowControl w:val="0"/>
              <w:contextualSpacing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widowControl w:val="0"/>
            </w:pPr>
            <w:r>
              <w:t>Государственная программа Ханты-Мансийского автономного округа – Югры «Безопасность жизнедеятельности и профилактика правонарушений»</w:t>
            </w:r>
          </w:p>
        </w:tc>
      </w:tr>
    </w:tbl>
    <w:p w:rsidR="005D0F8A" w:rsidRDefault="005D0F8A"/>
    <w:p w:rsidR="005D0F8A" w:rsidRDefault="005D0F8A">
      <w:pPr>
        <w:tabs>
          <w:tab w:val="left" w:pos="3327"/>
        </w:tabs>
        <w:sectPr w:rsidR="005D0F8A">
          <w:headerReference w:type="default" r:id="rId8"/>
          <w:type w:val="continuous"/>
          <w:pgSz w:w="11905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5D0F8A" w:rsidRDefault="002602E5">
      <w:pPr>
        <w:jc w:val="center"/>
      </w:pPr>
      <w:r>
        <w:lastRenderedPageBreak/>
        <w:t>2.Показатели муниципальной программы</w:t>
      </w:r>
    </w:p>
    <w:p w:rsidR="005D0F8A" w:rsidRDefault="005D0F8A">
      <w:pPr>
        <w:jc w:val="center"/>
      </w:pPr>
    </w:p>
    <w:tbl>
      <w:tblPr>
        <w:tblStyle w:val="aff0"/>
        <w:tblW w:w="152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992"/>
        <w:gridCol w:w="992"/>
        <w:gridCol w:w="709"/>
        <w:gridCol w:w="709"/>
        <w:gridCol w:w="709"/>
        <w:gridCol w:w="856"/>
        <w:gridCol w:w="851"/>
        <w:gridCol w:w="848"/>
        <w:gridCol w:w="992"/>
        <w:gridCol w:w="2626"/>
        <w:gridCol w:w="1843"/>
      </w:tblGrid>
      <w:tr w:rsidR="005D0F8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D0F8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D0F8A">
        <w:trPr>
          <w:trHeight w:val="276"/>
        </w:trPr>
        <w:tc>
          <w:tcPr>
            <w:tcW w:w="1524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программы: «Обеспечение общественного порядка, профилактика правонарушений, снижение уровня преступности»</w:t>
            </w: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преступности (число зарегистрированных преступлений на 100 тыс.)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  <w:bookmarkStart w:id="1" w:name="undefined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1 032,6</w:t>
            </w: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2625" w:type="dxa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общественной безопасности администрации города</w:t>
            </w: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преступности на улицах и в общественных местах на 100 тыс.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2625" w:type="dxa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ХМАО – Югры от 19.11.2014 №95-оз «О регулировании отдельных вопросов участия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 в охране общественного порядка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Ханты-Мансийском автономном округе – Югре», Постановление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города от 08.07.2021 №1554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создании условий для деятельности народных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дружин на территории города Мегиона»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общественной безопасности администрации города</w:t>
            </w:r>
          </w:p>
        </w:tc>
      </w:tr>
      <w:tr w:rsidR="005D0F8A">
        <w:trPr>
          <w:trHeight w:val="276"/>
        </w:trPr>
        <w:tc>
          <w:tcPr>
            <w:tcW w:w="1524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программы: «Организационное, нормативное правовое и ресурсное обеспечение антинаркотической деятельности»</w:t>
            </w: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распространенность наркомании на 100 тыс.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 Президента Российской Федерации от 23.11.2020 №733 «Об утверждении Стратегии государственной антинаркотической политики Российской Федерации на период до 2030 года»,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08.01.1998 №3-ФЗ «О наркотических средствах и психотропных веществах» (с изменениями и дополнениями),</w:t>
            </w:r>
          </w:p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Государственного антинаркотического комитета от 25.06.2021 №48 пункт 4.3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общественной безопасности администрации города</w:t>
            </w: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оценка наркоситуации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нейтральная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общественной безопасности администрации города</w:t>
            </w:r>
          </w:p>
        </w:tc>
      </w:tr>
      <w:tr w:rsidR="005D0F8A">
        <w:tc>
          <w:tcPr>
            <w:tcW w:w="15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«Обеспечение прав граждан в отдельных сферах жизнедеятельности»</w:t>
            </w:r>
          </w:p>
        </w:tc>
      </w:tr>
      <w:tr w:rsidR="005D0F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потребительских споров, разрешенных в досудебном порядке, в общем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количестве споров с участием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07.02.1992 №2300-1 «О защите прав потребителей»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общественной безопасности администрации города</w:t>
            </w:r>
          </w:p>
        </w:tc>
      </w:tr>
    </w:tbl>
    <w:p w:rsidR="005D0F8A" w:rsidRDefault="005D0F8A"/>
    <w:p w:rsidR="005D0F8A" w:rsidRDefault="005D0F8A"/>
    <w:p w:rsidR="005D0F8A" w:rsidRDefault="002602E5">
      <w:pPr>
        <w:jc w:val="center"/>
      </w:pPr>
      <w:r>
        <w:t>3.План достижения показателей муниципальной программы на 2025 год</w:t>
      </w:r>
    </w:p>
    <w:p w:rsidR="005D0F8A" w:rsidRDefault="005D0F8A">
      <w:pPr>
        <w:jc w:val="center"/>
      </w:pPr>
    </w:p>
    <w:tbl>
      <w:tblPr>
        <w:tblStyle w:val="aff0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2902"/>
        <w:gridCol w:w="1331"/>
        <w:gridCol w:w="1293"/>
        <w:gridCol w:w="2030"/>
        <w:gridCol w:w="2034"/>
        <w:gridCol w:w="2026"/>
        <w:gridCol w:w="1393"/>
        <w:gridCol w:w="1556"/>
      </w:tblGrid>
      <w:tr w:rsidR="005D0F8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конец 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D0F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5D0F8A">
            <w:pPr>
              <w:rPr>
                <w:rFonts w:ascii="Times New Roman" w:hAnsi="Times New Roman" w:cs="Times New Roman"/>
              </w:rPr>
            </w:pP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общественного порядка, профилактика правонарушений, снижение уровня преступности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преступности (число зарегистрированных преступлений на 100 тыс.)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1045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преступности на улицах и в общественных местах на 100 тыс. населения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Организационное, нормативное правовое и ресурсное обеспечение антинаркотической деятельности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распространенность наркомании на 100 тыс. населения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оценка наркоситуации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напряженная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прав граждан в отдельных сферах жизнедеятельности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F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потребительских споров, разрешенных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досудебном порядке, в общем количестве споров с участием потребителей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:rsidR="005D0F8A" w:rsidRDefault="005D0F8A"/>
    <w:p w:rsidR="005D0F8A" w:rsidRDefault="002602E5">
      <w:pPr>
        <w:jc w:val="center"/>
      </w:pPr>
      <w:r>
        <w:t>4.Структура муниципальной программы</w:t>
      </w:r>
    </w:p>
    <w:tbl>
      <w:tblPr>
        <w:tblStyle w:val="aff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6665"/>
        <w:gridCol w:w="3650"/>
        <w:gridCol w:w="38"/>
      </w:tblGrid>
      <w:tr w:rsidR="005D0F8A">
        <w:trPr>
          <w:gridAfter w:val="1"/>
          <w:wAfter w:w="3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общественного порядка, в том числе с участием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 управление общественной безопасности администрации города</w:t>
            </w: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реализации: 2025 – 2030 годы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общего количества правонарушений путем поддержки участия граждан в охране общественного порядка. Методы достижения эффекта: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стимулирование граждан, участвующих в охране общественного порядка, пресечении преступлений и иных правонарушений.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страхование народных дружинников на период их участия в мероприятиях по охране общественного порядка.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на звание лучшего народного дружинника.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ГТО среди народных дружинников.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«Уровень преступности (число зарегистрированных преступлений на 100 тыс.)» (далее – П1). Показатель 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отдела Министерства внутренних дел по городу Мегиону и Управления  экономической политики администрации города.</w:t>
            </w:r>
          </w:p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«Уровень преступности на улицах и в </w:t>
            </w:r>
            <w:r>
              <w:rPr>
                <w:rFonts w:ascii="Times New Roman" w:hAnsi="Times New Roman" w:cs="Times New Roman"/>
              </w:rPr>
              <w:lastRenderedPageBreak/>
              <w:t>общественных местах на 100 тыс. населения, (ед.)» (далее – П2). Показатель рассчитывается как отношение количества зарегистрированных преступлений, совершенных в общественных местах и на улицах на 100 тысяч человек населения. Показатель формируется на основании ведомственных статистических данных отдела Министерства внутренних дел по городу Мегиону и Управления  экономической политики администрации города.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профилактику правонарушений, в том числе профилактику правонарушений среди несовершеннолетних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 управление общественной безопасности администрации города, департамент образования администрации города и подведомственные ему учреждения, управление общественных связей администрации города, муниципальное казенное учреждение «Управление капитального строительства и жилищно-коммунального хозяйства»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реализации: 2025 – 2030 годы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информирование граждан.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иных мероприятий, направленных на профилактику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минимизацию преступлений и правонарушений.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Снижение общего количества правонарушений за счет повышения информированности населения, в том числе о способах и методах мошенничеств. Методы достижения эффекта: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Изготовление и распространение видеороликов, динамических заставок, и пр. профилактической направленности, 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Изготовление и распространение наглядной информационной продукции (буклеты, памятки, афиши и пр.),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Размещение информационных материалов профилактической направленности в СМИ и в информационно-коммуникационной сети «Интернет»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правонарушений, совершаемых в том числе несовершеннолетними. Методы достижения эффекта: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правовых лекций, бесед, встреч с участием специалистов правоохранительных органов, проведение тематических занятий и уроков права для школьников.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Предотвращение фактов пропаганды и распространения криминальной идеологии среди несовершеннолетних. 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Оказание психологической помощи учащимся, имеющим проблемы в поведении и обучении.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индивидуально-профилактической работы с несовершеннолетними, оказавшимся в социально опасном положении и членами их семей.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Создание условий для выявления и устранения причин, способствующих безнадзорности и правонарушений несовершеннолетних, в том числе путем проведения спортивных, культурных, образовательных мероприятий;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работы экстренных психологических служб.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Изготовление и установка в местах массового пребывания людей информационных стендов.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Реализация иных мероприятий, направленных на профилактику правонарушений.</w:t>
            </w:r>
          </w:p>
          <w:p w:rsidR="005D0F8A" w:rsidRDefault="00260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мероприятий, направленных на минимизацию преступлений и правонарушений.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П1, П2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«Реализация профилактической антинаркотической направленности»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общественной безопасности администрации города, департамент образования администрации города и подведомственные ему учреждения, управление общественных связей администрации города, управление культуры администрации города и подведомственные ему учреждения, управление физической культуры и спорта администрации города и подведомственные ему учреждения, 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молодёжной политики администрации города города и подведомственные ему учреждения</w:t>
            </w:r>
          </w:p>
        </w:tc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Срок реализации: 2025 – 2030 годы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профилактического комплекса мер в антинаркотической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Снижение общего уровня общей распространенности наркомании. Методы достижения эффекта: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 xml:space="preserve"> Организация и проведение мероприятий, направленных на формирование негативного отношения к незаконному обороту и потреблению наркотиков, а также на популяризацию здорового образа жизни, в том числе проведение профилактических акций («Мы выбираем будущее», «Не преступи черту», «Сообщи, где торгуют смертью» и др.).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 xml:space="preserve"> Реализация комплекса мер, направленных на раннее (своевременное) выявление немедицинского потребления наркотических средств и психотропных веществ.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Участие в профилактических мероприятиях, проводимых субъектами профилактики наркомании (в том числе Ханты-Мансийского автономного округа – Югры).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 xml:space="preserve"> Мероприятия правового просветительского характера для населения и его целевых групп (наркозависимые и их окружение, лица, состоящие на профилактических учетах, в том числе несовершеннолетние).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lastRenderedPageBreak/>
              <w:t xml:space="preserve"> Мероприятия, направленные на повышение уровня осведомленности граждан о рисках, связанных с незаконным потреблением наркотиков.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 3 «Общая распространенность наркомании на 100 тыс. населения» (далее – П1).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рассчитывается по следующей формуле: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П1 = (Кр* 100000)/Кж, где: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П1 – плановое значение показателя, тыс. человек;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 – количество состоящих на учете наркозависимых;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 – количество жителей города.</w:t>
            </w:r>
          </w:p>
          <w:p w:rsidR="005D0F8A" w:rsidRDefault="005D0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 4 «Общая оценка наркоситуации» (далее – П4). Показатель оценивается по результатам социологического исследования, проводимого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Департаментом внутренней политики Ханты-Мансийского автономного округа – Югры.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общественной безопасности администрации города, управление общественных связей администрации города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Срок реализации: 2025 – 2030 годы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профилактического комплекса мер в антинаркотической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Снижение общего уровня общей распространенности наркомани путем повышения информированности населения о вреде употребления наркотиков и ПАВ, пользе здорового образа жизни, а также ответственности за употребление и распространение наркотиков и ПАВ, в том числе: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Изготовление и распространение информационных материалов (видеороликов, видеосюжетов);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Изготовление и распространение наглядной информационной продукции (буклеты, памятки, баннеры и пр.) антинаркотической направленности. </w:t>
            </w:r>
          </w:p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Привлечение СМИ к освещению мероприятий антинаркотической направленности.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П3, П4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«Поддержка социально ориентированных некоммерческих организаций, осуществляющих свою деятельность в сфере профилактики наркомании»</w:t>
            </w:r>
          </w:p>
        </w:tc>
      </w:tr>
      <w:tr w:rsidR="005D0F8A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общественной безопасности администрации города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 2025 – 2030 годы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F8A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профилактического комплекса мер в антинаркотической деятельности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общего уровня общей распространенности наркомани путем привлечения социально ориентированных некоммерческих организаций, осуществляющих свою деятельность в сфере профилактики наркомании путем предоставления субсидий на конкурсной основе на реализацию мероприятий антинаркотической направленности и пропаганде здорового образа жизни.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П3, П4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«Правовое просвещение и информирование в сфере защиты прав потребителей»</w:t>
            </w: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 2025 – 2030 годы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F8A">
        <w:trPr>
          <w:gridAfter w:val="1"/>
          <w:wAfter w:w="38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обращений граждан в суд в случаях удовлетворения претензий в досудебном и внесудебном порядке. Методы достижения эффекта:</w:t>
            </w:r>
          </w:p>
          <w:p w:rsidR="005D0F8A" w:rsidRDefault="00260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Информирование жителей города Мегиона о правах потребителей и необходимых действиях по защите этих прав через средства массовой информации, социальные сети.</w:t>
            </w:r>
          </w:p>
          <w:p w:rsidR="005D0F8A" w:rsidRDefault="00260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Изготовление и распространение тематической социальной рекламы, социальных видеороликов и видеосюжетов в сфере защиты прав потребителей.</w:t>
            </w:r>
          </w:p>
          <w:p w:rsidR="005D0F8A" w:rsidRDefault="00260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Изготовление и распространение наглядной информационной продукции в сфере защиты прав потребителей (листовки, буклеты, афиши и пр.).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5 «Доля потребительских споров, разрешенных в досудебном порядке, в общем количестве споров с участием потребителей» Показатель отражает процентное соотношение потребительских споров, разрешенных в досудебном порядке, к общему количеству споров с участием потребителей.</w:t>
            </w:r>
          </w:p>
          <w:p w:rsidR="005D0F8A" w:rsidRDefault="002602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показателя рассчитывается исходя из отчетных документов управления экономической политики администрации города.</w:t>
            </w:r>
          </w:p>
        </w:tc>
      </w:tr>
    </w:tbl>
    <w:p w:rsidR="005D0F8A" w:rsidRDefault="005D0F8A"/>
    <w:p w:rsidR="005D0F8A" w:rsidRDefault="002602E5">
      <w:pPr>
        <w:jc w:val="center"/>
      </w:pPr>
      <w:r>
        <w:rPr>
          <w:lang w:val="en-US"/>
        </w:rPr>
        <w:t>5</w:t>
      </w:r>
      <w:r>
        <w:t>.Финансовое обеспечение муниципальной программы</w:t>
      </w:r>
    </w:p>
    <w:tbl>
      <w:tblPr>
        <w:tblStyle w:val="aff0"/>
        <w:tblW w:w="151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156"/>
        <w:gridCol w:w="1185"/>
        <w:gridCol w:w="1175"/>
        <w:gridCol w:w="1175"/>
        <w:gridCol w:w="1175"/>
        <w:gridCol w:w="1175"/>
        <w:gridCol w:w="1175"/>
        <w:gridCol w:w="947"/>
      </w:tblGrid>
      <w:tr w:rsidR="005D0F8A">
        <w:trPr>
          <w:gridAfter w:val="7"/>
          <w:wAfter w:w="8007" w:type="dxa"/>
          <w:trHeight w:val="357"/>
        </w:trPr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</w:tr>
      <w:tr w:rsidR="005D0F8A">
        <w:trPr>
          <w:trHeight w:val="348"/>
        </w:trPr>
        <w:tc>
          <w:tcPr>
            <w:tcW w:w="7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5D0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1 719,5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4 578,4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417,4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1 580,7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4 161,0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Объем налоговых расходов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Комплекс процессных мероприятий «Обеспечение общественного порядка, в том числе с участием граждан»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2 926,4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417,4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2 509,0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процессных мероприятий «Мероприятия, направленные на профилактику правонарушений, в том числе профилактику правонарушений среди несовершеннолетних»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«Реализация профилактической антинаркотической направленности»</w:t>
            </w:r>
            <w:r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«Проведение информационной антинаркотической политики, просветительских мероприятий»</w:t>
            </w:r>
            <w:r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«Поддержка социально ориентированных некоммерческих организаций, осуществляющих свою деятельность в сфере профилактики наркомании»</w:t>
            </w:r>
            <w:r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«Правовое просвещение и информирование в сфере защиты прав потребителей»</w:t>
            </w:r>
            <w:r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5D0F8A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8A" w:rsidRDefault="00260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50,0</w:t>
            </w:r>
          </w:p>
        </w:tc>
      </w:tr>
    </w:tbl>
    <w:p w:rsidR="005D0F8A" w:rsidRDefault="005D0F8A">
      <w:pPr>
        <w:jc w:val="center"/>
      </w:pPr>
    </w:p>
    <w:p w:rsidR="005D0F8A" w:rsidRDefault="005D0F8A">
      <w:pPr>
        <w:spacing w:line="259" w:lineRule="auto"/>
        <w:rPr>
          <w:rFonts w:eastAsia="Calibri"/>
        </w:rPr>
      </w:pPr>
    </w:p>
    <w:p w:rsidR="005D0F8A" w:rsidRDefault="005D0F8A"/>
    <w:p w:rsidR="005D0F8A" w:rsidRDefault="005D0F8A"/>
    <w:sectPr w:rsidR="005D0F8A">
      <w:headerReference w:type="default" r:id="rId9"/>
      <w:pgSz w:w="16838" w:h="11906" w:orient="landscape"/>
      <w:pgMar w:top="1606" w:right="953" w:bottom="851" w:left="992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E5" w:rsidRDefault="002602E5">
      <w:r>
        <w:separator/>
      </w:r>
    </w:p>
  </w:endnote>
  <w:endnote w:type="continuationSeparator" w:id="0">
    <w:p w:rsidR="002602E5" w:rsidRDefault="0026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E5" w:rsidRDefault="002602E5">
      <w:r>
        <w:separator/>
      </w:r>
    </w:p>
  </w:footnote>
  <w:footnote w:type="continuationSeparator" w:id="0">
    <w:p w:rsidR="002602E5" w:rsidRDefault="0026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74829"/>
      <w:docPartObj>
        <w:docPartGallery w:val="Page Numbers (Top of Page)"/>
        <w:docPartUnique/>
      </w:docPartObj>
    </w:sdtPr>
    <w:sdtEndPr/>
    <w:sdtContent>
      <w:p w:rsidR="005D0F8A" w:rsidRDefault="002602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514">
          <w:rPr>
            <w:noProof/>
          </w:rPr>
          <w:t>2</w:t>
        </w:r>
        <w:r>
          <w:fldChar w:fldCharType="end"/>
        </w:r>
      </w:p>
    </w:sdtContent>
  </w:sdt>
  <w:p w:rsidR="005D0F8A" w:rsidRDefault="005D0F8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8A" w:rsidRDefault="002602E5">
    <w:pPr>
      <w:pStyle w:val="af0"/>
      <w:tabs>
        <w:tab w:val="center" w:pos="7730"/>
        <w:tab w:val="left" w:pos="8505"/>
      </w:tabs>
      <w:jc w:val="left"/>
    </w:pPr>
    <w:r>
      <w:tab/>
    </w:r>
    <w:r>
      <w:tab/>
    </w:r>
    <w:sdt>
      <w:sdtPr>
        <w:id w:val="-110365115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1514">
          <w:rPr>
            <w:noProof/>
          </w:rPr>
          <w:t>11</w:t>
        </w:r>
        <w: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A56"/>
    <w:multiLevelType w:val="hybridMultilevel"/>
    <w:tmpl w:val="703E7998"/>
    <w:lvl w:ilvl="0" w:tplc="25D23EB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90D83CA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46ACB5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A4EB91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60AB84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A1A70B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763F7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D3E242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A60675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F123CDB"/>
    <w:multiLevelType w:val="hybridMultilevel"/>
    <w:tmpl w:val="DA18643E"/>
    <w:lvl w:ilvl="0" w:tplc="2A2C4D4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D99CCA0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44B8C01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7A8CE3E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D5500F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6A8013E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D2A2318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9998EA7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4296ECD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8A"/>
    <w:rsid w:val="002602E5"/>
    <w:rsid w:val="005D0F8A"/>
    <w:rsid w:val="00841514"/>
    <w:rsid w:val="00C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86E95-A818-4C01-A3E5-09952E45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d">
    <w:name w:val="Текст Знак"/>
    <w:link w:val="ae"/>
    <w:uiPriority w:val="99"/>
    <w:rPr>
      <w:rFonts w:ascii="Courier New" w:hAnsi="Courier New"/>
      <w:lang w:val="ru-RU" w:eastAsia="ru-RU"/>
    </w:rPr>
  </w:style>
  <w:style w:type="paragraph" w:styleId="ae">
    <w:name w:val="Plain Text"/>
    <w:basedOn w:val="a"/>
    <w:link w:val="ad"/>
    <w:uiPriority w:val="99"/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rPr>
      <w:rFonts w:ascii="Arial" w:hAnsi="Arial"/>
      <w:lang w:val="ru-RU" w:eastAsia="ar-SA" w:bidi="ar-SA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3">
    <w:name w:val="Текст1"/>
    <w:basedOn w:val="a"/>
    <w:uiPriority w:val="99"/>
    <w:pPr>
      <w:ind w:firstLine="567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Без интервала1"/>
    <w:uiPriority w:val="99"/>
    <w:rPr>
      <w:sz w:val="20"/>
      <w:szCs w:val="20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ar-SA"/>
    </w:rPr>
  </w:style>
  <w:style w:type="character" w:styleId="af">
    <w:name w:val="Hyperlink"/>
    <w:basedOn w:val="a0"/>
    <w:uiPriority w:val="99"/>
    <w:rPr>
      <w:rFonts w:cs="Times New Roman"/>
      <w:color w:val="0000FF"/>
      <w:u w:val="none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Arial" w:hAnsi="Arial" w:cs="Times New Roman"/>
      <w:lang w:val="ru-RU" w:eastAsia="ru-RU" w:bidi="ar-SA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Arial" w:hAnsi="Arial" w:cs="Times New Roman"/>
      <w:lang w:val="ru-RU" w:eastAsia="ru-RU" w:bidi="ar-SA"/>
    </w:rPr>
  </w:style>
  <w:style w:type="paragraph" w:styleId="af4">
    <w:name w:val="footnote text"/>
    <w:basedOn w:val="a"/>
    <w:link w:val="af5"/>
    <w:uiPriority w:val="99"/>
    <w:rPr>
      <w:rFonts w:ascii="Calibri" w:hAnsi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Pr>
      <w:rFonts w:ascii="Calibri" w:hAnsi="Calibri"/>
      <w:lang w:val="ru-RU" w:eastAsia="en-US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 w:cs="Times New Roman"/>
      <w:sz w:val="20"/>
      <w:lang w:eastAsia="ru-RU"/>
    </w:rPr>
  </w:style>
  <w:style w:type="character" w:styleId="af6">
    <w:name w:val="footnote reference"/>
    <w:basedOn w:val="a0"/>
    <w:rPr>
      <w:rFonts w:cs="Times New Roman"/>
      <w:vertAlign w:val="superscript"/>
    </w:rPr>
  </w:style>
  <w:style w:type="paragraph" w:customStyle="1" w:styleId="25">
    <w:name w:val="Без интервала2"/>
    <w:uiPriority w:val="99"/>
    <w:rPr>
      <w:sz w:val="20"/>
      <w:szCs w:val="20"/>
    </w:rPr>
  </w:style>
  <w:style w:type="paragraph" w:customStyle="1" w:styleId="26">
    <w:name w:val="заголовок 2"/>
    <w:basedOn w:val="a"/>
    <w:uiPriority w:val="99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a">
    <w:name w:val="caption"/>
    <w:basedOn w:val="a"/>
    <w:next w:val="a"/>
    <w:link w:val="a9"/>
    <w:uiPriority w:val="99"/>
    <w:qFormat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af7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rPr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e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6">
    <w:name w:val="xl11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8">
    <w:name w:val="xl11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f0">
    <w:name w:val="Table Grid"/>
    <w:basedOn w:val="a1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end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16">
    <w:name w:val="Сетка таблицы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ody Text Indent"/>
    <w:basedOn w:val="a"/>
    <w:link w:val="aff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f4">
    <w:name w:val="Основной текст с отступом Знак"/>
    <w:basedOn w:val="a0"/>
    <w:link w:val="aff3"/>
    <w:rPr>
      <w:rFonts w:ascii="Century Gothic" w:hAnsi="Century Gothic"/>
      <w:lang w:val="en-US" w:eastAsia="en-US"/>
    </w:rPr>
  </w:style>
  <w:style w:type="paragraph" w:styleId="aff5">
    <w:name w:val="No Spacing"/>
    <w:uiPriority w:val="1"/>
    <w:qFormat/>
    <w:rPr>
      <w:rFonts w:ascii="Calibri" w:eastAsia="Calibri" w:hAnsi="Calibri"/>
      <w:lang w:eastAsia="en-US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0">
    <w:name w:val="Заголовок 41"/>
    <w:basedOn w:val="a"/>
    <w:next w:val="a"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customStyle="1" w:styleId="17">
    <w:name w:val="Текст Знак1"/>
    <w:basedOn w:val="a0"/>
    <w:uiPriority w:val="99"/>
    <w:semiHidden/>
    <w:rPr>
      <w:rFonts w:ascii="Consolas" w:hAnsi="Consolas"/>
      <w:sz w:val="21"/>
      <w:szCs w:val="21"/>
    </w:rPr>
  </w:style>
  <w:style w:type="character" w:customStyle="1" w:styleId="311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Pr>
      <w:rFonts w:ascii="Cambria" w:eastAsia="Times New Roman" w:hAnsi="Cambria" w:cs="Times New Roman"/>
      <w:i/>
      <w:iCs/>
      <w:color w:val="365F91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table" w:customStyle="1" w:styleId="28">
    <w:name w:val="Сетка таблицы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</w:style>
  <w:style w:type="numbering" w:customStyle="1" w:styleId="210">
    <w:name w:val="Нет списка21"/>
    <w:next w:val="a2"/>
    <w:uiPriority w:val="99"/>
    <w:semiHidden/>
    <w:unhideWhenUsed/>
  </w:style>
  <w:style w:type="table" w:customStyle="1" w:styleId="111">
    <w:name w:val="Сетка таблицы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next w:val="aff6"/>
    <w:link w:val="aff7"/>
    <w:uiPriority w:val="99"/>
    <w:semiHidden/>
    <w:unhideWhenUsed/>
    <w:pPr>
      <w:spacing w:after="120" w:line="276" w:lineRule="auto"/>
    </w:pPr>
    <w:rPr>
      <w:sz w:val="22"/>
      <w:szCs w:val="22"/>
    </w:rPr>
  </w:style>
  <w:style w:type="character" w:customStyle="1" w:styleId="aff7">
    <w:name w:val="Основной текст Знак"/>
    <w:basedOn w:val="a0"/>
    <w:link w:val="18"/>
    <w:uiPriority w:val="99"/>
    <w:semiHidden/>
  </w:style>
  <w:style w:type="numbering" w:customStyle="1" w:styleId="312">
    <w:name w:val="Нет списка31"/>
    <w:next w:val="a2"/>
    <w:uiPriority w:val="99"/>
    <w:semiHidden/>
    <w:unhideWhenUsed/>
  </w:style>
  <w:style w:type="character" w:customStyle="1" w:styleId="112">
    <w:name w:val="Заголовок 1 Знак1"/>
    <w:basedOn w:val="a0"/>
    <w:uiPriority w:val="99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table" w:customStyle="1" w:styleId="211">
    <w:name w:val="Сетка таблицы2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19"/>
    <w:uiPriority w:val="99"/>
    <w:semiHidden/>
    <w:unhideWhenUsed/>
    <w:pPr>
      <w:spacing w:after="120"/>
    </w:pPr>
  </w:style>
  <w:style w:type="character" w:customStyle="1" w:styleId="19">
    <w:name w:val="Основной текст Знак1"/>
    <w:basedOn w:val="a0"/>
    <w:link w:val="aff6"/>
    <w:uiPriority w:val="99"/>
    <w:semiHidden/>
    <w:rPr>
      <w:sz w:val="24"/>
      <w:szCs w:val="24"/>
    </w:rPr>
  </w:style>
  <w:style w:type="numbering" w:customStyle="1" w:styleId="43">
    <w:name w:val="Нет списка4"/>
    <w:next w:val="a2"/>
    <w:uiPriority w:val="99"/>
    <w:semiHidden/>
    <w:unhideWhenUsed/>
  </w:style>
  <w:style w:type="table" w:customStyle="1" w:styleId="34">
    <w:name w:val="Сетка таблицы3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220">
    <w:name w:val="Нет списка22"/>
    <w:next w:val="a2"/>
    <w:uiPriority w:val="99"/>
    <w:semiHidden/>
    <w:unhideWhenUsed/>
  </w:style>
  <w:style w:type="table" w:customStyle="1" w:styleId="121">
    <w:name w:val="Сетка таблицы1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</w:style>
  <w:style w:type="table" w:customStyle="1" w:styleId="221">
    <w:name w:val="Сетка таблицы2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1550-877D-4547-A981-36DE1931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г.Радужного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KashinaNN</dc:creator>
  <cp:lastModifiedBy>Войцехович Таисия Станиславовна</cp:lastModifiedBy>
  <cp:revision>3</cp:revision>
  <dcterms:created xsi:type="dcterms:W3CDTF">2025-11-07T09:11:00Z</dcterms:created>
  <dcterms:modified xsi:type="dcterms:W3CDTF">2025-11-07T09:12:00Z</dcterms:modified>
</cp:coreProperties>
</file>