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spacing w:after="0" w:line="240" w:lineRule="auto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 xml:space="preserve">исполнении бюджета городского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квартал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Рассмотрев проект решения Думы города Мегион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«Об исполнении бюджета городского 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 квартал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</w:t>
      </w:r>
      <w:r>
        <w:rPr>
          <w:rFonts w:ascii="Times New Roman" w:hAnsi="Times New Roman"/>
          <w:sz w:val="24"/>
          <w:szCs w:val="24"/>
        </w:rPr>
        <w:t xml:space="preserve"> года»,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5 статьи 264.2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руководствуясь статьёй 19 устава города Мегион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, Дума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ринять отчёт об исполнении бюджета городского 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</w:t>
      </w:r>
      <w:r>
        <w:rPr>
          <w:rFonts w:ascii="Times New Roman" w:hAnsi="Times New Roman"/>
          <w:sz w:val="24"/>
          <w:szCs w:val="24"/>
        </w:rPr>
        <w:t xml:space="preserve"> квартал</w:t>
      </w:r>
      <w:r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года к сведению (прилагается).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города Мегиона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В.С.Заднепровская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«____»______________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Текст выноски"/>
    <w:basedOn w:val="616"/>
    <w:next w:val="620"/>
    <w:link w:val="6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1">
    <w:name w:val="Текст выноски Знак"/>
    <w:next w:val="621"/>
    <w:link w:val="620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10" w:default="1">
    <w:name w:val="Default Paragraph Font"/>
    <w:uiPriority w:val="1"/>
    <w:semiHidden/>
    <w:unhideWhenUsed/>
  </w:style>
  <w:style w:type="numbering" w:styleId="811" w:default="1">
    <w:name w:val="No List"/>
    <w:uiPriority w:val="99"/>
    <w:semiHidden/>
    <w:unhideWhenUsed/>
  </w:style>
  <w:style w:type="table" w:styleId="8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VoycehovichTS</cp:lastModifiedBy>
  <cp:revision>39</cp:revision>
  <dcterms:created xsi:type="dcterms:W3CDTF">2012-05-12T05:46:00Z</dcterms:created>
  <dcterms:modified xsi:type="dcterms:W3CDTF">2026-04-09T11:39:24Z</dcterms:modified>
  <cp:version>1048576</cp:version>
</cp:coreProperties>
</file>