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C6" w:rsidRPr="0030475E" w:rsidRDefault="0030475E" w:rsidP="004E1BC6">
      <w:pPr>
        <w:jc w:val="center"/>
      </w:pPr>
      <w:r w:rsidRPr="0030475E">
        <w:t>ПАСПОРТ</w:t>
      </w:r>
    </w:p>
    <w:p w:rsidR="004E1BC6" w:rsidRDefault="004E1BC6" w:rsidP="004E1BC6">
      <w:pPr>
        <w:jc w:val="center"/>
      </w:pPr>
      <w:r w:rsidRPr="0014568E">
        <w:t>муниципальной программы</w:t>
      </w:r>
    </w:p>
    <w:p w:rsidR="0030475E" w:rsidRPr="0014568E" w:rsidRDefault="0030475E" w:rsidP="0030475E">
      <w:pPr>
        <w:jc w:val="center"/>
      </w:pPr>
      <w:r w:rsidRPr="0014568E">
        <w:t>«Развитие транспортной системы город</w:t>
      </w:r>
      <w:r>
        <w:t>ского округа город Мегион в 2019</w:t>
      </w:r>
      <w:r w:rsidRPr="0014568E">
        <w:t xml:space="preserve"> – 202</w:t>
      </w:r>
      <w:r>
        <w:t>5</w:t>
      </w:r>
      <w:r w:rsidRPr="0014568E">
        <w:t xml:space="preserve"> годах»</w:t>
      </w:r>
    </w:p>
    <w:p w:rsidR="004E1BC6" w:rsidRPr="0014568E" w:rsidRDefault="004E1BC6" w:rsidP="004E1BC6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00"/>
      </w:tblGrid>
      <w:tr w:rsidR="004E1BC6" w:rsidRPr="0014568E" w:rsidTr="003227A3">
        <w:tc>
          <w:tcPr>
            <w:tcW w:w="2723" w:type="dxa"/>
          </w:tcPr>
          <w:p w:rsidR="004E1BC6" w:rsidRPr="0014568E" w:rsidRDefault="004E1BC6" w:rsidP="00322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5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E1BC6" w:rsidRPr="0014568E" w:rsidRDefault="004E1BC6" w:rsidP="003227A3">
            <w:r w:rsidRPr="0014568E">
              <w:t>муниципальной  программы</w:t>
            </w:r>
          </w:p>
        </w:tc>
        <w:tc>
          <w:tcPr>
            <w:tcW w:w="7200" w:type="dxa"/>
          </w:tcPr>
          <w:p w:rsidR="004E1BC6" w:rsidRPr="0014568E" w:rsidRDefault="004E1BC6" w:rsidP="0030475E">
            <w:pPr>
              <w:autoSpaceDE w:val="0"/>
              <w:autoSpaceDN w:val="0"/>
              <w:adjustRightInd w:val="0"/>
              <w:rPr>
                <w:i/>
              </w:rPr>
            </w:pPr>
            <w:r w:rsidRPr="0014568E">
              <w:t>Развитие транспортной системы город</w:t>
            </w:r>
            <w:r>
              <w:t>ского округа город Мегион в 2019</w:t>
            </w:r>
            <w:r w:rsidRPr="0014568E">
              <w:t xml:space="preserve"> – 202</w:t>
            </w:r>
            <w:r>
              <w:t>5</w:t>
            </w:r>
            <w:r w:rsidR="00034691">
              <w:t xml:space="preserve"> годах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14568E" w:rsidRDefault="004E1BC6" w:rsidP="003227A3">
            <w:r>
              <w:rPr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200" w:type="dxa"/>
          </w:tcPr>
          <w:p w:rsidR="004E1BC6" w:rsidRPr="0014568E" w:rsidRDefault="004562AD" w:rsidP="003F1A50">
            <w:pPr>
              <w:jc w:val="both"/>
              <w:rPr>
                <w:rFonts w:eastAsia="Times New Roman"/>
                <w:lang w:eastAsia="ru-RU"/>
              </w:rPr>
            </w:pPr>
            <w:r w:rsidRPr="00FD4F28">
              <w:t xml:space="preserve">Постановление администрации города </w:t>
            </w:r>
            <w:proofErr w:type="spellStart"/>
            <w:r w:rsidRPr="00FD4F28">
              <w:t>Мегиона</w:t>
            </w:r>
            <w:proofErr w:type="spellEnd"/>
            <w:r w:rsidRPr="00FD4F28">
              <w:t xml:space="preserve">                                    от _____.___________ 2018 № _____ «Об утверждении муниципальной программы «</w:t>
            </w:r>
            <w:r w:rsidRPr="0014568E">
              <w:t>Развитие транспортной системы город</w:t>
            </w:r>
            <w:r>
              <w:t xml:space="preserve">ского округа город </w:t>
            </w:r>
            <w:proofErr w:type="spellStart"/>
            <w:r>
              <w:t>Мегион</w:t>
            </w:r>
            <w:proofErr w:type="spellEnd"/>
            <w:r>
              <w:t xml:space="preserve"> в 2019</w:t>
            </w:r>
            <w:r w:rsidRPr="0014568E">
              <w:t xml:space="preserve"> – 202</w:t>
            </w:r>
            <w:r>
              <w:t>5</w:t>
            </w:r>
            <w:r w:rsidRPr="0014568E">
              <w:t xml:space="preserve"> годах»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14568E" w:rsidRDefault="004E1BC6" w:rsidP="003227A3">
            <w:r>
              <w:t xml:space="preserve">Координатор муниципальной </w:t>
            </w:r>
            <w:r w:rsidRPr="00847592">
              <w:t>программы</w:t>
            </w:r>
          </w:p>
        </w:tc>
        <w:tc>
          <w:tcPr>
            <w:tcW w:w="7200" w:type="dxa"/>
          </w:tcPr>
          <w:p w:rsidR="004E1BC6" w:rsidRPr="0014568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 w:rsidRPr="00847592">
              <w:t>Управление жилищно-коммунального хозяйства а</w:t>
            </w:r>
            <w:r>
              <w:t>дминистрации города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14568E" w:rsidRDefault="004E1BC6" w:rsidP="003227A3">
            <w:r w:rsidRPr="00847592">
              <w:t>Исполнители</w:t>
            </w:r>
            <w:r>
              <w:t xml:space="preserve"> муниципальной </w:t>
            </w:r>
            <w:r w:rsidRPr="00847592">
              <w:t xml:space="preserve"> программы</w:t>
            </w:r>
          </w:p>
        </w:tc>
        <w:tc>
          <w:tcPr>
            <w:tcW w:w="7200" w:type="dxa"/>
          </w:tcPr>
          <w:p w:rsidR="004E1BC6" w:rsidRDefault="004E1BC6" w:rsidP="003227A3">
            <w:pPr>
              <w:jc w:val="both"/>
            </w:pPr>
            <w:r w:rsidRPr="0014568E">
              <w:t>Управление жилищно-коммунального хозяйства администрации города</w:t>
            </w:r>
            <w:r>
              <w:t>;</w:t>
            </w:r>
          </w:p>
          <w:p w:rsidR="004E1BC6" w:rsidRPr="00A9550A" w:rsidRDefault="004E1BC6" w:rsidP="003227A3">
            <w:pPr>
              <w:jc w:val="both"/>
            </w:pPr>
            <w:r w:rsidRPr="0014568E">
              <w:t>Муниципальное казенное учрежде</w:t>
            </w:r>
            <w:r>
              <w:t>ние «Капитальное строительство».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14568E" w:rsidRDefault="004E1BC6" w:rsidP="003227A3">
            <w:r>
              <w:t>Ц</w:t>
            </w:r>
            <w:r w:rsidRPr="0014568E">
              <w:t xml:space="preserve">ели </w:t>
            </w:r>
            <w:r>
              <w:t>муниципальной</w:t>
            </w:r>
            <w:r w:rsidRPr="0014568E">
              <w:t xml:space="preserve"> программы</w:t>
            </w:r>
          </w:p>
        </w:tc>
        <w:tc>
          <w:tcPr>
            <w:tcW w:w="7200" w:type="dxa"/>
          </w:tcPr>
          <w:p w:rsidR="004E1BC6" w:rsidRPr="00A9550A" w:rsidRDefault="004E1BC6" w:rsidP="003227A3">
            <w:pPr>
              <w:jc w:val="both"/>
            </w:pPr>
            <w:r w:rsidRPr="0014568E"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округа город Мегион.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14568E" w:rsidRDefault="004E1BC6" w:rsidP="003227A3">
            <w:r>
              <w:t>З</w:t>
            </w:r>
            <w:r w:rsidRPr="0014568E">
              <w:t>адачи</w:t>
            </w:r>
            <w:r>
              <w:t xml:space="preserve"> муниципальной</w:t>
            </w:r>
            <w:r w:rsidRPr="0014568E">
              <w:t xml:space="preserve"> программы</w:t>
            </w:r>
          </w:p>
        </w:tc>
        <w:tc>
          <w:tcPr>
            <w:tcW w:w="7200" w:type="dxa"/>
          </w:tcPr>
          <w:p w:rsidR="004E1BC6" w:rsidRPr="00A9550A" w:rsidRDefault="004E1BC6" w:rsidP="003227A3">
            <w:pPr>
              <w:jc w:val="both"/>
            </w:pPr>
            <w:r>
              <w:rPr>
                <w:rFonts w:eastAsia="Times New Roman"/>
                <w:lang w:eastAsia="ru-RU"/>
              </w:rPr>
              <w:t>1.</w:t>
            </w:r>
            <w:r w:rsidRPr="0014568E">
              <w:rPr>
                <w:rFonts w:eastAsia="Times New Roman"/>
                <w:lang w:eastAsia="ru-RU"/>
              </w:rPr>
              <w:t>Реконструкция (строительство), капитальный ремонт и ремонт автомобильных дорог общег</w:t>
            </w:r>
            <w:r>
              <w:rPr>
                <w:rFonts w:eastAsia="Times New Roman"/>
                <w:lang w:eastAsia="ru-RU"/>
              </w:rPr>
              <w:t>о пользования местного значения;</w:t>
            </w:r>
          </w:p>
          <w:p w:rsidR="004E1BC6" w:rsidRPr="0014568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14568E">
              <w:rPr>
                <w:rFonts w:eastAsia="Times New Roman"/>
                <w:lang w:eastAsia="ru-RU"/>
              </w:rPr>
              <w:t xml:space="preserve">Создание условий для предоставления транспортных услуг по перевозке пассажиров на маршрутной сети и организация транспортного </w:t>
            </w:r>
            <w:r>
              <w:rPr>
                <w:rFonts w:eastAsia="Times New Roman"/>
                <w:lang w:eastAsia="ru-RU"/>
              </w:rPr>
              <w:t>обслуживания;</w:t>
            </w:r>
          </w:p>
          <w:p w:rsidR="004E1BC6" w:rsidRPr="0014568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14568E">
              <w:rPr>
                <w:rFonts w:eastAsia="Times New Roman"/>
                <w:lang w:eastAsia="ru-RU"/>
              </w:rPr>
              <w:t>Содержание и текущий ремонт автомобильных дорог, проездов и элементов обустройства улично-дорожной сети городского округа город Мегион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4E1BC6" w:rsidRPr="0014568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  <w:r w:rsidRPr="0014568E">
              <w:rPr>
                <w:rFonts w:eastAsia="Times New Roman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14568E" w:rsidRDefault="004E1BC6" w:rsidP="003227A3">
            <w:r w:rsidRPr="005B73F4">
              <w:t>Подпрограммы и основные мероприятия</w:t>
            </w:r>
          </w:p>
        </w:tc>
        <w:tc>
          <w:tcPr>
            <w:tcW w:w="7200" w:type="dxa"/>
          </w:tcPr>
          <w:p w:rsidR="004E1BC6" w:rsidRPr="0014568E" w:rsidRDefault="004E1BC6" w:rsidP="003227A3">
            <w:pPr>
              <w:jc w:val="both"/>
            </w:pPr>
            <w:r>
              <w:t>П</w:t>
            </w:r>
            <w:r w:rsidRPr="0014568E">
              <w:t xml:space="preserve">одпрограмма 1 </w:t>
            </w:r>
            <w:r>
              <w:t>«Развитие транспортной системы»</w:t>
            </w:r>
          </w:p>
          <w:p w:rsidR="004E1BC6" w:rsidRPr="0014568E" w:rsidRDefault="004E1BC6" w:rsidP="003227A3">
            <w:pPr>
              <w:jc w:val="both"/>
            </w:pPr>
            <w:r w:rsidRPr="0014568E">
              <w:t>основное мероприятие: «Строительство (реконструкция), капитальный ремонт и ремонт автомобильных дорог общего</w:t>
            </w:r>
            <w:r>
              <w:t xml:space="preserve"> пользования местного значения»</w:t>
            </w:r>
          </w:p>
          <w:p w:rsidR="004E1BC6" w:rsidRPr="0014568E" w:rsidRDefault="004E1BC6" w:rsidP="003227A3">
            <w:pPr>
              <w:jc w:val="both"/>
            </w:pPr>
            <w:r w:rsidRPr="0014568E">
              <w:t>основное мероприятие: «Обеспечение доступности и повышение качества транспортных услуг автомобильным транспортом»;</w:t>
            </w:r>
          </w:p>
          <w:p w:rsidR="004E1BC6" w:rsidRPr="0014568E" w:rsidRDefault="004E1BC6" w:rsidP="003227A3">
            <w:pPr>
              <w:jc w:val="both"/>
            </w:pPr>
            <w:r>
              <w:t>П</w:t>
            </w:r>
            <w:r w:rsidRPr="0014568E">
              <w:t xml:space="preserve">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</w:t>
            </w:r>
            <w:r>
              <w:t>городского округа город Мегион»</w:t>
            </w:r>
          </w:p>
          <w:p w:rsidR="004E1BC6" w:rsidRPr="0014568E" w:rsidRDefault="004E1BC6" w:rsidP="003227A3">
            <w:pPr>
              <w:jc w:val="both"/>
            </w:pPr>
            <w:r w:rsidRPr="0014568E">
              <w:t>основное мероприятие: «Обеспечение функционирования сети автомобильных дорог общего пользования городского округа»;</w:t>
            </w:r>
          </w:p>
          <w:p w:rsidR="004E1BC6" w:rsidRPr="0014568E" w:rsidRDefault="004E1BC6" w:rsidP="003227A3">
            <w:pPr>
              <w:jc w:val="both"/>
            </w:pPr>
            <w:r>
              <w:t>П</w:t>
            </w:r>
            <w:r w:rsidR="0030475E">
              <w:t xml:space="preserve">одпрограмма 3 </w:t>
            </w:r>
            <w:r w:rsidRPr="0014568E">
              <w:t>«</w:t>
            </w:r>
            <w:r w:rsidRPr="006054FF">
              <w:t>Формирование законопослушного поведения участников дорожного движения, повышение безопасности дорожного движения в городском округе город Мегион</w:t>
            </w:r>
            <w:r w:rsidRPr="0014568E">
              <w:t>»</w:t>
            </w:r>
          </w:p>
          <w:p w:rsidR="004E1BC6" w:rsidRPr="0014568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 w:rsidRPr="0014568E">
              <w:lastRenderedPageBreak/>
              <w:t>основное мероприятие: «Совершенствование условий движения и организации дорожного движения на улично-дорожной сети города».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14568E" w:rsidRDefault="004E1BC6" w:rsidP="003227A3">
            <w:r w:rsidRPr="00422E55"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7200" w:type="dxa"/>
          </w:tcPr>
          <w:p w:rsidR="004E1BC6" w:rsidRPr="0014568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0248EE" w:rsidRDefault="004E1BC6" w:rsidP="003227A3">
            <w:r w:rsidRPr="000248EE">
              <w:t>Целевые показатели муниципальной программы</w:t>
            </w:r>
          </w:p>
        </w:tc>
        <w:tc>
          <w:tcPr>
            <w:tcW w:w="7200" w:type="dxa"/>
          </w:tcPr>
          <w:p w:rsidR="004E1BC6" w:rsidRPr="000248E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 w:rsidRPr="000248EE">
              <w:rPr>
                <w:rFonts w:eastAsia="Times New Roman"/>
                <w:lang w:eastAsia="ru-RU"/>
              </w:rPr>
              <w:t>1.Объем ввода в эксплуатацию после строительства и реконструкции автомобильных дорог общего пользования местного значения - 2 %;</w:t>
            </w:r>
          </w:p>
          <w:p w:rsidR="004E1BC6" w:rsidRPr="000248E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 w:rsidRPr="000248EE">
              <w:rPr>
                <w:rFonts w:eastAsia="Times New Roman"/>
                <w:lang w:eastAsia="ru-RU"/>
              </w:rPr>
              <w:t>2.Доля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- 77,43 %;</w:t>
            </w:r>
          </w:p>
          <w:p w:rsidR="004E1BC6" w:rsidRPr="000248EE" w:rsidRDefault="004E1BC6" w:rsidP="003227A3">
            <w:pPr>
              <w:jc w:val="both"/>
            </w:pPr>
            <w:r w:rsidRPr="000248EE">
              <w:rPr>
                <w:rFonts w:eastAsia="Times New Roman"/>
                <w:lang w:eastAsia="ru-RU"/>
              </w:rPr>
              <w:t>3.Объем пассажирских перевозок автомобильным транспортом – 238,5 тыс. чел.;</w:t>
            </w:r>
            <w:r w:rsidRPr="000248EE">
              <w:t xml:space="preserve"> </w:t>
            </w:r>
          </w:p>
          <w:p w:rsidR="004E1BC6" w:rsidRPr="000248E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 w:rsidRPr="000248EE">
              <w:t>4.</w:t>
            </w:r>
            <w:r w:rsidRPr="000248EE">
              <w:rPr>
                <w:rFonts w:eastAsia="Times New Roman"/>
                <w:lang w:eastAsia="ru-RU"/>
              </w:rPr>
              <w:t>Протяженность сети автомобильных дорог общего пользования местного значения - 83 300 км;</w:t>
            </w:r>
          </w:p>
          <w:p w:rsidR="004E1BC6" w:rsidRPr="0014568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 w:rsidRPr="000248EE">
              <w:rPr>
                <w:rFonts w:eastAsia="Times New Roman"/>
                <w:lang w:eastAsia="ru-RU"/>
              </w:rPr>
              <w:t>5.Доля от общей сети автомобильных дорог общего пользования местного значения с твердым покрытием, обслуживающих движение в режиме перегрузки - 4,5%.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166BC5" w:rsidRDefault="004E1BC6" w:rsidP="003227A3">
            <w:pPr>
              <w:rPr>
                <w:highlight w:val="yellow"/>
              </w:rPr>
            </w:pPr>
            <w:r w:rsidRPr="0014568E">
              <w:t xml:space="preserve">Сроки реализации </w:t>
            </w:r>
            <w:r>
              <w:t xml:space="preserve">муниципальной </w:t>
            </w:r>
            <w:r w:rsidRPr="0014568E">
              <w:t>программы</w:t>
            </w:r>
          </w:p>
        </w:tc>
        <w:tc>
          <w:tcPr>
            <w:tcW w:w="7200" w:type="dxa"/>
          </w:tcPr>
          <w:p w:rsidR="004E1BC6" w:rsidRPr="0014568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2019-2025 годы</w:t>
            </w:r>
          </w:p>
        </w:tc>
      </w:tr>
      <w:tr w:rsidR="004E1BC6" w:rsidRPr="0014568E" w:rsidTr="003227A3">
        <w:tc>
          <w:tcPr>
            <w:tcW w:w="2723" w:type="dxa"/>
          </w:tcPr>
          <w:p w:rsidR="004E1BC6" w:rsidRPr="000248EE" w:rsidRDefault="004E1BC6" w:rsidP="003227A3">
            <w:r w:rsidRPr="000248EE">
              <w:t>Параметры финансового обеспечения муниципальной программы</w:t>
            </w:r>
          </w:p>
        </w:tc>
        <w:tc>
          <w:tcPr>
            <w:tcW w:w="7200" w:type="dxa"/>
          </w:tcPr>
          <w:p w:rsidR="007356DB" w:rsidRDefault="007356DB" w:rsidP="007356DB">
            <w:r w:rsidRPr="00A979D4">
              <w:t>Объ</w:t>
            </w:r>
            <w:r>
              <w:t>е</w:t>
            </w:r>
            <w:r w:rsidRPr="00A979D4">
              <w:t xml:space="preserve">м </w:t>
            </w:r>
            <w:r>
              <w:t>финансового обеспечения программы</w:t>
            </w:r>
            <w:r w:rsidRPr="00A979D4">
              <w:t xml:space="preserve"> </w:t>
            </w:r>
            <w:r>
              <w:t xml:space="preserve">составляет 560 763,5 </w:t>
            </w:r>
            <w:r w:rsidRPr="00A979D4">
              <w:t>тыс.</w:t>
            </w:r>
            <w:r>
              <w:t xml:space="preserve"> </w:t>
            </w:r>
            <w:r w:rsidRPr="00A979D4">
              <w:t>руб</w:t>
            </w:r>
            <w:r w:rsidR="00627251">
              <w:t>лей</w:t>
            </w:r>
            <w:r w:rsidRPr="00A979D4">
              <w:t>:</w:t>
            </w:r>
          </w:p>
          <w:p w:rsidR="007356DB" w:rsidRDefault="007356DB" w:rsidP="007356DB">
            <w:pPr>
              <w:ind w:firstLine="709"/>
            </w:pPr>
            <w:r>
              <w:t xml:space="preserve">бюджет автономного округа – 77 863,6 </w:t>
            </w:r>
            <w:proofErr w:type="spellStart"/>
            <w:r>
              <w:t>тыс.руб</w:t>
            </w:r>
            <w:proofErr w:type="spellEnd"/>
            <w:r>
              <w:t>.;</w:t>
            </w:r>
          </w:p>
          <w:p w:rsidR="007356DB" w:rsidRPr="00A979D4" w:rsidRDefault="007356DB" w:rsidP="007356DB">
            <w:pPr>
              <w:ind w:firstLine="709"/>
            </w:pPr>
            <w:r>
              <w:t xml:space="preserve">местный бюджет –  482 899,9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7356DB" w:rsidRPr="00A979D4" w:rsidRDefault="007356DB" w:rsidP="007356DB">
            <w:r w:rsidRPr="00A979D4">
              <w:t>201</w:t>
            </w:r>
            <w:r>
              <w:t>9</w:t>
            </w:r>
            <w:r w:rsidRPr="00A979D4">
              <w:t xml:space="preserve"> – </w:t>
            </w:r>
            <w:r>
              <w:t>153 167,8</w:t>
            </w:r>
            <w:r w:rsidRPr="00A979D4">
              <w:t xml:space="preserve"> тыс. руб.:</w:t>
            </w:r>
          </w:p>
          <w:p w:rsidR="007356DB" w:rsidRPr="00A979D4" w:rsidRDefault="007356DB" w:rsidP="007356DB">
            <w:pPr>
              <w:ind w:firstLine="708"/>
            </w:pPr>
            <w:r w:rsidRPr="00376371">
              <w:t xml:space="preserve">бюджет автономного округа </w:t>
            </w:r>
            <w:r w:rsidRPr="00A979D4">
              <w:t xml:space="preserve">– </w:t>
            </w:r>
            <w:r>
              <w:t>38 921,3</w:t>
            </w:r>
            <w:r w:rsidRPr="00A979D4">
              <w:t xml:space="preserve"> </w:t>
            </w:r>
            <w:proofErr w:type="spellStart"/>
            <w:r w:rsidRPr="00A979D4">
              <w:t>тыс.руб</w:t>
            </w:r>
            <w:proofErr w:type="spellEnd"/>
            <w:r w:rsidRPr="00A979D4">
              <w:t>.;</w:t>
            </w:r>
          </w:p>
          <w:p w:rsidR="007356DB" w:rsidRPr="00A979D4" w:rsidRDefault="007356DB" w:rsidP="007356DB">
            <w:pPr>
              <w:ind w:firstLine="708"/>
            </w:pPr>
            <w:r w:rsidRPr="00A979D4">
              <w:t xml:space="preserve">местный бюджет – </w:t>
            </w:r>
            <w:r>
              <w:t>114 246,5</w:t>
            </w:r>
            <w:r w:rsidR="00793CA7">
              <w:t xml:space="preserve"> </w:t>
            </w:r>
            <w:proofErr w:type="spellStart"/>
            <w:r w:rsidR="00793CA7">
              <w:t>тыс.руб</w:t>
            </w:r>
            <w:proofErr w:type="spellEnd"/>
            <w:r w:rsidR="00793CA7">
              <w:t>.</w:t>
            </w:r>
          </w:p>
          <w:p w:rsidR="007356DB" w:rsidRPr="00A979D4" w:rsidRDefault="007356DB" w:rsidP="007356DB">
            <w:r>
              <w:t>2020</w:t>
            </w:r>
            <w:r w:rsidRPr="00A979D4">
              <w:t xml:space="preserve"> – </w:t>
            </w:r>
            <w:r>
              <w:t>149 491,9</w:t>
            </w:r>
            <w:r w:rsidRPr="00A979D4">
              <w:t xml:space="preserve"> </w:t>
            </w:r>
            <w:proofErr w:type="spellStart"/>
            <w:r w:rsidRPr="00A979D4">
              <w:t>тыс.руб</w:t>
            </w:r>
            <w:proofErr w:type="spellEnd"/>
            <w:r w:rsidRPr="00A979D4">
              <w:t xml:space="preserve">., в </w:t>
            </w:r>
            <w:proofErr w:type="spellStart"/>
            <w:r w:rsidRPr="00A979D4">
              <w:t>т.ч</w:t>
            </w:r>
            <w:proofErr w:type="spellEnd"/>
            <w:r w:rsidRPr="00A979D4">
              <w:t>.</w:t>
            </w:r>
          </w:p>
          <w:p w:rsidR="007356DB" w:rsidRPr="00A979D4" w:rsidRDefault="007356DB" w:rsidP="007356DB">
            <w:pPr>
              <w:ind w:firstLine="708"/>
            </w:pPr>
            <w:r w:rsidRPr="00376371">
              <w:t xml:space="preserve">бюджет автономного округа </w:t>
            </w:r>
            <w:r w:rsidRPr="00A979D4">
              <w:t xml:space="preserve">– </w:t>
            </w:r>
            <w:r>
              <w:t>38 942,3</w:t>
            </w:r>
            <w:r w:rsidRPr="00D02F75">
              <w:t xml:space="preserve"> </w:t>
            </w:r>
            <w:proofErr w:type="spellStart"/>
            <w:r w:rsidRPr="00A979D4">
              <w:t>тыс.руб</w:t>
            </w:r>
            <w:proofErr w:type="spellEnd"/>
            <w:r w:rsidRPr="00A979D4">
              <w:t>.;</w:t>
            </w:r>
          </w:p>
          <w:p w:rsidR="007356DB" w:rsidRPr="00A979D4" w:rsidRDefault="007356DB" w:rsidP="007356DB">
            <w:pPr>
              <w:ind w:firstLine="708"/>
            </w:pPr>
            <w:r w:rsidRPr="00A979D4">
              <w:t xml:space="preserve">местный бюджет – </w:t>
            </w:r>
            <w:r>
              <w:t>110 549,6</w:t>
            </w:r>
            <w:r w:rsidR="00793CA7">
              <w:t xml:space="preserve"> </w:t>
            </w:r>
            <w:proofErr w:type="spellStart"/>
            <w:r w:rsidR="00793CA7">
              <w:t>тыс.руб</w:t>
            </w:r>
            <w:proofErr w:type="spellEnd"/>
            <w:r w:rsidR="00793CA7">
              <w:t>.</w:t>
            </w:r>
            <w:bookmarkStart w:id="0" w:name="_GoBack"/>
            <w:bookmarkEnd w:id="0"/>
          </w:p>
          <w:p w:rsidR="007356DB" w:rsidRPr="00A979D4" w:rsidRDefault="007356DB" w:rsidP="007356DB">
            <w:r>
              <w:t>2021</w:t>
            </w:r>
            <w:r w:rsidRPr="00A979D4">
              <w:t xml:space="preserve"> – </w:t>
            </w:r>
            <w:r>
              <w:t xml:space="preserve">51 620,6 </w:t>
            </w:r>
            <w:proofErr w:type="spellStart"/>
            <w:r>
              <w:t>тыс.руб</w:t>
            </w:r>
            <w:proofErr w:type="spellEnd"/>
            <w:r>
              <w:t>.-</w:t>
            </w:r>
            <w:r w:rsidRPr="00A979D4">
              <w:t xml:space="preserve"> местный бюджет;</w:t>
            </w:r>
          </w:p>
          <w:p w:rsidR="007356DB" w:rsidRPr="00A979D4" w:rsidRDefault="007356DB" w:rsidP="007356DB">
            <w:pPr>
              <w:tabs>
                <w:tab w:val="left" w:pos="726"/>
              </w:tabs>
            </w:pPr>
            <w:r>
              <w:t>2022</w:t>
            </w:r>
            <w:r w:rsidRPr="00A979D4">
              <w:t xml:space="preserve"> – </w:t>
            </w:r>
            <w:r>
              <w:t xml:space="preserve">51 620,8 </w:t>
            </w:r>
            <w:proofErr w:type="spellStart"/>
            <w:r>
              <w:t>тыс.</w:t>
            </w:r>
            <w:r w:rsidRPr="00A979D4">
              <w:t>руб</w:t>
            </w:r>
            <w:proofErr w:type="spellEnd"/>
            <w:r w:rsidRPr="00A979D4">
              <w:t>.</w:t>
            </w:r>
            <w:r>
              <w:t>-м</w:t>
            </w:r>
            <w:r w:rsidRPr="00A979D4">
              <w:t>естный бюджет;</w:t>
            </w:r>
          </w:p>
          <w:p w:rsidR="007356DB" w:rsidRDefault="007356DB" w:rsidP="007356DB">
            <w:r w:rsidRPr="00A979D4">
              <w:t>20</w:t>
            </w:r>
            <w:r>
              <w:t>23</w:t>
            </w:r>
            <w:r w:rsidRPr="00A979D4">
              <w:t xml:space="preserve"> – </w:t>
            </w:r>
            <w:r>
              <w:t xml:space="preserve">51 620,8 </w:t>
            </w:r>
            <w:proofErr w:type="spellStart"/>
            <w:r>
              <w:t>тыс.</w:t>
            </w:r>
            <w:r w:rsidRPr="00A979D4">
              <w:t>руб</w:t>
            </w:r>
            <w:proofErr w:type="spellEnd"/>
            <w:r w:rsidRPr="00A979D4">
              <w:t>.</w:t>
            </w:r>
            <w:r>
              <w:t>-м</w:t>
            </w:r>
            <w:r w:rsidRPr="00A979D4">
              <w:t>естный бюджет;</w:t>
            </w:r>
          </w:p>
          <w:p w:rsidR="007356DB" w:rsidRDefault="007356DB" w:rsidP="007356DB">
            <w:r>
              <w:t>2024</w:t>
            </w:r>
            <w:r w:rsidRPr="00A979D4">
              <w:t xml:space="preserve"> – </w:t>
            </w:r>
            <w:r>
              <w:t xml:space="preserve">51 620,8 </w:t>
            </w:r>
            <w:proofErr w:type="spellStart"/>
            <w:r>
              <w:t>тыс.</w:t>
            </w:r>
            <w:r w:rsidRPr="00A979D4">
              <w:t>руб</w:t>
            </w:r>
            <w:proofErr w:type="spellEnd"/>
            <w:r w:rsidRPr="00A979D4">
              <w:t>.</w:t>
            </w:r>
            <w:r>
              <w:t>-м</w:t>
            </w:r>
            <w:r w:rsidRPr="00A979D4">
              <w:t>естный бюджет;</w:t>
            </w:r>
          </w:p>
          <w:p w:rsidR="007356DB" w:rsidRDefault="007356DB" w:rsidP="007356DB">
            <w:pPr>
              <w:jc w:val="both"/>
            </w:pPr>
            <w:r>
              <w:t>2025</w:t>
            </w:r>
            <w:r w:rsidRPr="00A979D4">
              <w:t xml:space="preserve"> – </w:t>
            </w:r>
            <w:r>
              <w:t xml:space="preserve">51 620,8 </w:t>
            </w:r>
            <w:proofErr w:type="spellStart"/>
            <w:r>
              <w:t>тыс.</w:t>
            </w:r>
            <w:r w:rsidRPr="00A979D4">
              <w:t>руб</w:t>
            </w:r>
            <w:proofErr w:type="spellEnd"/>
            <w:r w:rsidRPr="00A979D4">
              <w:t>.</w:t>
            </w:r>
            <w:r>
              <w:t>-м</w:t>
            </w:r>
            <w:r w:rsidRPr="00A979D4">
              <w:t>естный бюджет</w:t>
            </w:r>
            <w:r>
              <w:t>.</w:t>
            </w:r>
          </w:p>
          <w:p w:rsidR="004E1BC6" w:rsidRPr="000248EE" w:rsidRDefault="004E1BC6" w:rsidP="003227A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4E1BC6" w:rsidRPr="0014568E" w:rsidTr="003227A3">
        <w:tc>
          <w:tcPr>
            <w:tcW w:w="2723" w:type="dxa"/>
          </w:tcPr>
          <w:p w:rsidR="004E1BC6" w:rsidRPr="0014568E" w:rsidRDefault="004E1BC6" w:rsidP="003227A3">
            <w:r w:rsidRPr="002F779E">
              <w:t xml:space="preserve">Параметры финансового обеспечения портфеля проектов, проекта, направленных в том числе на реализацию национальных проектов </w:t>
            </w:r>
            <w:r w:rsidRPr="002F779E">
              <w:lastRenderedPageBreak/>
              <w:t>(программы) Российской Федерации, реализуемых в составе муниципальной программы</w:t>
            </w:r>
          </w:p>
        </w:tc>
        <w:tc>
          <w:tcPr>
            <w:tcW w:w="7200" w:type="dxa"/>
          </w:tcPr>
          <w:p w:rsidR="004E1BC6" w:rsidRPr="0014568E" w:rsidRDefault="004E1BC6" w:rsidP="003227A3">
            <w:pPr>
              <w:ind w:firstLine="369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4E1BC6" w:rsidRDefault="004E1BC6" w:rsidP="004E1BC6">
      <w:pPr>
        <w:widowControl w:val="0"/>
        <w:autoSpaceDE w:val="0"/>
        <w:autoSpaceDN w:val="0"/>
        <w:adjustRightInd w:val="0"/>
        <w:outlineLvl w:val="0"/>
      </w:pPr>
    </w:p>
    <w:p w:rsidR="004E1BC6" w:rsidRDefault="004E1BC6" w:rsidP="004E1BC6">
      <w:pPr>
        <w:widowControl w:val="0"/>
        <w:autoSpaceDE w:val="0"/>
        <w:autoSpaceDN w:val="0"/>
        <w:adjustRightInd w:val="0"/>
        <w:outlineLvl w:val="0"/>
      </w:pPr>
    </w:p>
    <w:sectPr w:rsidR="004E1BC6" w:rsidSect="003047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78"/>
    <w:rsid w:val="00034691"/>
    <w:rsid w:val="0030475E"/>
    <w:rsid w:val="003F1A50"/>
    <w:rsid w:val="004562AD"/>
    <w:rsid w:val="004E1BC6"/>
    <w:rsid w:val="00627251"/>
    <w:rsid w:val="007356DB"/>
    <w:rsid w:val="00793CA7"/>
    <w:rsid w:val="00797A46"/>
    <w:rsid w:val="00862178"/>
    <w:rsid w:val="00D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541C"/>
  <w15:chartTrackingRefBased/>
  <w15:docId w15:val="{ED1578CC-BD91-4C78-A2EB-236F4B1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1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Пастух Лилия Вазимовна</cp:lastModifiedBy>
  <cp:revision>9</cp:revision>
  <dcterms:created xsi:type="dcterms:W3CDTF">2018-11-09T13:57:00Z</dcterms:created>
  <dcterms:modified xsi:type="dcterms:W3CDTF">2018-11-12T05:51:00Z</dcterms:modified>
</cp:coreProperties>
</file>