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1C" w:rsidRPr="00AC3F02" w:rsidRDefault="00113C1C" w:rsidP="00113C1C">
      <w:pPr>
        <w:pStyle w:val="a3"/>
        <w:jc w:val="center"/>
      </w:pPr>
      <w:r w:rsidRPr="00AC3F02">
        <w:t xml:space="preserve">ПАСПОРТ  </w:t>
      </w:r>
    </w:p>
    <w:p w:rsidR="00113C1C" w:rsidRDefault="00113C1C" w:rsidP="00113C1C">
      <w:pPr>
        <w:pStyle w:val="a3"/>
        <w:jc w:val="center"/>
      </w:pPr>
      <w:r w:rsidRPr="00AC3F02">
        <w:t>муниципальной программы</w:t>
      </w:r>
    </w:p>
    <w:p w:rsidR="00833B18" w:rsidRDefault="00113C1C" w:rsidP="00833B18">
      <w:pPr>
        <w:pStyle w:val="a3"/>
        <w:jc w:val="center"/>
      </w:pPr>
      <w:r w:rsidRPr="00AC3F02">
        <w:t>«Управлени</w:t>
      </w:r>
      <w:r>
        <w:t xml:space="preserve">е </w:t>
      </w:r>
      <w:r w:rsidRPr="00AC3F02">
        <w:t>муниципальным имуществом</w:t>
      </w:r>
      <w:r>
        <w:t xml:space="preserve"> </w:t>
      </w:r>
      <w:r w:rsidRPr="00AC3F02">
        <w:t>городского окру</w:t>
      </w:r>
      <w:r>
        <w:t xml:space="preserve">га город </w:t>
      </w:r>
      <w:proofErr w:type="spellStart"/>
      <w:r>
        <w:t>Мегион</w:t>
      </w:r>
      <w:proofErr w:type="spellEnd"/>
      <w:r>
        <w:t xml:space="preserve"> </w:t>
      </w:r>
      <w:r w:rsidRPr="00AC3F02">
        <w:t>на 201</w:t>
      </w:r>
      <w:r>
        <w:t>9</w:t>
      </w:r>
      <w:r w:rsidRPr="00AC3F02">
        <w:t xml:space="preserve"> - 202</w:t>
      </w:r>
      <w:r>
        <w:t>5</w:t>
      </w:r>
      <w:r w:rsidRPr="00AC3F02">
        <w:t xml:space="preserve"> годы»</w:t>
      </w:r>
    </w:p>
    <w:p w:rsidR="00833B18" w:rsidRPr="00833B18" w:rsidRDefault="00833B18" w:rsidP="00833B18">
      <w:pPr>
        <w:pStyle w:val="a3"/>
        <w:jc w:val="center"/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663"/>
      </w:tblGrid>
      <w:tr w:rsidR="00833B18" w:rsidRPr="00833B18" w:rsidTr="00946986">
        <w:tc>
          <w:tcPr>
            <w:tcW w:w="3119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Наименование муниципальной программы</w:t>
            </w:r>
          </w:p>
        </w:tc>
        <w:tc>
          <w:tcPr>
            <w:tcW w:w="6663" w:type="dxa"/>
          </w:tcPr>
          <w:p w:rsidR="00833B18" w:rsidRPr="00833B18" w:rsidRDefault="00833B18" w:rsidP="00833B18">
            <w:pPr>
              <w:pStyle w:val="a3"/>
              <w:ind w:left="34"/>
              <w:jc w:val="both"/>
            </w:pPr>
            <w:r w:rsidRPr="00833B18">
              <w:t xml:space="preserve">Управление муниципальным имуществом городского округа город </w:t>
            </w:r>
            <w:proofErr w:type="spellStart"/>
            <w:r w:rsidRPr="00833B18">
              <w:t>Мегион</w:t>
            </w:r>
            <w:proofErr w:type="spellEnd"/>
            <w:r w:rsidRPr="00833B18">
              <w:t xml:space="preserve"> на 2019 - 2025 годы (далее Программа)</w:t>
            </w:r>
          </w:p>
        </w:tc>
      </w:tr>
      <w:tr w:rsidR="00833B18" w:rsidRPr="00833B18" w:rsidTr="00946986">
        <w:tc>
          <w:tcPr>
            <w:tcW w:w="3119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Дата утверждения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муниципальной программы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(наименование и номер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соответствующего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нормативного правового акта)</w:t>
            </w:r>
          </w:p>
        </w:tc>
        <w:tc>
          <w:tcPr>
            <w:tcW w:w="6663" w:type="dxa"/>
          </w:tcPr>
          <w:p w:rsidR="00833B18" w:rsidRPr="00833B18" w:rsidRDefault="00300DE9" w:rsidP="00300DE9">
            <w:pPr>
              <w:spacing w:after="0"/>
              <w:ind w:left="34"/>
              <w:jc w:val="both"/>
            </w:pPr>
            <w:r w:rsidRPr="000A0FAD">
              <w:t xml:space="preserve">Постановление администрации города </w:t>
            </w:r>
            <w:proofErr w:type="spellStart"/>
            <w:r w:rsidRPr="000A0FAD">
              <w:t>Мегиона</w:t>
            </w:r>
            <w:proofErr w:type="spellEnd"/>
            <w:r w:rsidRPr="000A0FAD">
              <w:t xml:space="preserve">        </w:t>
            </w:r>
            <w:r>
              <w:t xml:space="preserve">                            от </w:t>
            </w:r>
            <w:r>
              <w:t>20</w:t>
            </w:r>
            <w:r w:rsidRPr="0081331E">
              <w:t>.12.2018</w:t>
            </w:r>
            <w:r>
              <w:t xml:space="preserve"> </w:t>
            </w:r>
            <w:r>
              <w:t>№27</w:t>
            </w:r>
            <w:r>
              <w:t>70</w:t>
            </w:r>
            <w:r>
              <w:t xml:space="preserve"> </w:t>
            </w:r>
            <w:r w:rsidRPr="000A0FAD">
              <w:t xml:space="preserve"> «Об утверждении муниципальной программы «</w:t>
            </w:r>
            <w:r w:rsidRPr="00AC3F02">
              <w:t>Управлени</w:t>
            </w:r>
            <w:r>
              <w:t xml:space="preserve">е </w:t>
            </w:r>
            <w:r w:rsidRPr="00AC3F02">
              <w:t>муниципальным имуществом</w:t>
            </w:r>
            <w:r>
              <w:t xml:space="preserve"> </w:t>
            </w:r>
            <w:r w:rsidRPr="00AC3F02">
              <w:t>городского окру</w:t>
            </w:r>
            <w:r>
              <w:t xml:space="preserve">га город </w:t>
            </w:r>
            <w:proofErr w:type="spellStart"/>
            <w:r>
              <w:t>Мегион</w:t>
            </w:r>
            <w:proofErr w:type="spellEnd"/>
            <w:r>
              <w:t xml:space="preserve"> </w:t>
            </w:r>
            <w:r w:rsidRPr="00AC3F02">
              <w:t>на 201</w:t>
            </w:r>
            <w:r>
              <w:t>9</w:t>
            </w:r>
            <w:r w:rsidRPr="00AC3F02">
              <w:t xml:space="preserve"> - 202</w:t>
            </w:r>
            <w:r>
              <w:t>5</w:t>
            </w:r>
            <w:r w:rsidRPr="00AC3F02">
              <w:t xml:space="preserve"> годы</w:t>
            </w:r>
            <w:r w:rsidRPr="000A0FAD">
              <w:t>»</w:t>
            </w:r>
          </w:p>
        </w:tc>
      </w:tr>
      <w:tr w:rsidR="00833B18" w:rsidRPr="00833B18" w:rsidTr="00946986">
        <w:tc>
          <w:tcPr>
            <w:tcW w:w="3119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Координатор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муниципальной программы</w:t>
            </w:r>
          </w:p>
        </w:tc>
        <w:tc>
          <w:tcPr>
            <w:tcW w:w="6663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 xml:space="preserve">Департамент муниципальной собственности администрации города  </w:t>
            </w:r>
          </w:p>
        </w:tc>
      </w:tr>
      <w:tr w:rsidR="00833B18" w:rsidRPr="00833B18" w:rsidTr="00946986">
        <w:tc>
          <w:tcPr>
            <w:tcW w:w="3119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Исполнители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муниципальной программы</w:t>
            </w:r>
          </w:p>
        </w:tc>
        <w:tc>
          <w:tcPr>
            <w:tcW w:w="6663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Департамент муниципальной собственности администрации города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Муниципальное казенное учреждение «Капитальное строительство»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Муниципальное казенное учреждение «Служба обеспечения»</w:t>
            </w:r>
          </w:p>
          <w:p w:rsidR="00833B18" w:rsidRPr="00833B18" w:rsidRDefault="00833B18" w:rsidP="00833B18">
            <w:pPr>
              <w:spacing w:after="0"/>
            </w:pPr>
            <w:r w:rsidRPr="00833B18">
              <w:t xml:space="preserve">Администрация города </w:t>
            </w:r>
            <w:bookmarkStart w:id="0" w:name="_GoBack"/>
            <w:bookmarkEnd w:id="0"/>
          </w:p>
        </w:tc>
      </w:tr>
      <w:tr w:rsidR="00833B18" w:rsidRPr="00833B18" w:rsidTr="00946986">
        <w:tc>
          <w:tcPr>
            <w:tcW w:w="3119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 xml:space="preserve">Цели муниципальной программы </w:t>
            </w:r>
          </w:p>
        </w:tc>
        <w:tc>
          <w:tcPr>
            <w:tcW w:w="6663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 xml:space="preserve">Осуществление эффективного управления муниципальной собственностью городского округа город </w:t>
            </w:r>
            <w:proofErr w:type="spellStart"/>
            <w:r w:rsidRPr="00833B18">
              <w:t>Мегион</w:t>
            </w:r>
            <w:proofErr w:type="spellEnd"/>
            <w:r w:rsidRPr="00833B18">
              <w:t>.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 xml:space="preserve">Защита имущественных интересов городского округа город </w:t>
            </w:r>
            <w:proofErr w:type="spellStart"/>
            <w:r w:rsidRPr="00833B18">
              <w:t>Мегион</w:t>
            </w:r>
            <w:proofErr w:type="spellEnd"/>
            <w:r w:rsidRPr="00833B18">
              <w:t xml:space="preserve">. </w:t>
            </w:r>
          </w:p>
        </w:tc>
      </w:tr>
      <w:tr w:rsidR="00833B18" w:rsidRPr="00833B18" w:rsidTr="00946986">
        <w:tc>
          <w:tcPr>
            <w:tcW w:w="3119" w:type="dxa"/>
          </w:tcPr>
          <w:p w:rsidR="00833B18" w:rsidRPr="00833B18" w:rsidRDefault="00833B18" w:rsidP="00833B18">
            <w:pPr>
              <w:spacing w:after="0"/>
            </w:pPr>
            <w:r w:rsidRPr="00833B18">
              <w:t>Задачи муниципальной программы</w:t>
            </w:r>
          </w:p>
        </w:tc>
        <w:tc>
          <w:tcPr>
            <w:tcW w:w="6663" w:type="dxa"/>
          </w:tcPr>
          <w:p w:rsidR="00833B18" w:rsidRPr="00833B18" w:rsidRDefault="00833B18" w:rsidP="00833B18">
            <w:pPr>
              <w:pStyle w:val="a7"/>
              <w:ind w:left="34"/>
              <w:jc w:val="left"/>
              <w:rPr>
                <w:rFonts w:ascii="Times New Roman" w:hAnsi="Times New Roman" w:cs="Times New Roman"/>
              </w:rPr>
            </w:pPr>
            <w:r w:rsidRPr="00833B18">
              <w:rPr>
                <w:rFonts w:ascii="Times New Roman" w:hAnsi="Times New Roman" w:cs="Times New Roman"/>
              </w:rPr>
              <w:t>Задача 1. Организационно-техническое и финансовое обеспечение Департамента муниципальной собственности администрации города.</w:t>
            </w:r>
          </w:p>
          <w:p w:rsidR="00833B18" w:rsidRPr="00833B18" w:rsidRDefault="00833B18" w:rsidP="00833B18">
            <w:pPr>
              <w:pStyle w:val="a7"/>
              <w:ind w:left="34"/>
              <w:jc w:val="left"/>
              <w:rPr>
                <w:rFonts w:ascii="Times New Roman" w:hAnsi="Times New Roman" w:cs="Times New Roman"/>
              </w:rPr>
            </w:pPr>
            <w:r w:rsidRPr="00833B18">
              <w:rPr>
                <w:rFonts w:ascii="Times New Roman" w:hAnsi="Times New Roman" w:cs="Times New Roman"/>
              </w:rPr>
              <w:t xml:space="preserve">Задача 2. Содержание объектов муниципальной собственности городского округа город </w:t>
            </w:r>
            <w:proofErr w:type="spellStart"/>
            <w:r w:rsidRPr="00833B18">
              <w:rPr>
                <w:rFonts w:ascii="Times New Roman" w:hAnsi="Times New Roman" w:cs="Times New Roman"/>
              </w:rPr>
              <w:t>Мегион</w:t>
            </w:r>
            <w:proofErr w:type="spellEnd"/>
            <w:r w:rsidRPr="00833B18">
              <w:rPr>
                <w:rFonts w:ascii="Times New Roman" w:hAnsi="Times New Roman" w:cs="Times New Roman"/>
              </w:rPr>
              <w:t>.</w:t>
            </w:r>
          </w:p>
          <w:p w:rsidR="00833B18" w:rsidRPr="00833B18" w:rsidRDefault="00833B18" w:rsidP="00833B18">
            <w:pPr>
              <w:spacing w:after="0"/>
            </w:pPr>
            <w:r w:rsidRPr="00833B18">
              <w:t>Задача 3. Капитальный ремонт, реконструкция и ремонт муниципального имущества.</w:t>
            </w:r>
          </w:p>
        </w:tc>
      </w:tr>
      <w:tr w:rsidR="00833B18" w:rsidRPr="00833B18" w:rsidTr="00946986">
        <w:tc>
          <w:tcPr>
            <w:tcW w:w="3119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Подпрограммы или основные мероприятия</w:t>
            </w:r>
          </w:p>
        </w:tc>
        <w:tc>
          <w:tcPr>
            <w:tcW w:w="6663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1.Обеспечение деятельности Департаментом муниципальной собственности администрации города.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2.Обеспечение выполнение полномочий и функций Департамента муниципальной собственности администрации города в установленных сферах деятельности.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3.Капитальный ремонт, реконструкция и ремонт муниципального имущества.</w:t>
            </w:r>
          </w:p>
        </w:tc>
      </w:tr>
      <w:tr w:rsidR="00833B18" w:rsidRPr="00833B18" w:rsidTr="00946986">
        <w:tc>
          <w:tcPr>
            <w:tcW w:w="3119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Наименование портфеля проектов, проекта,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направленных в том числе на реализацию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национальных проектов (программ)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Российской Федерации</w:t>
            </w:r>
          </w:p>
        </w:tc>
        <w:tc>
          <w:tcPr>
            <w:tcW w:w="6663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1.Получение разрешения на строительство и территориальное планирование.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2.Постановка на кадастровый учет земельных участков и объектов недвижимого имущества.</w:t>
            </w:r>
          </w:p>
          <w:p w:rsidR="00833B18" w:rsidRPr="00833B18" w:rsidRDefault="00833B18" w:rsidP="00833B18">
            <w:pPr>
              <w:spacing w:after="0"/>
              <w:ind w:left="34"/>
            </w:pPr>
          </w:p>
        </w:tc>
      </w:tr>
      <w:tr w:rsidR="00833B18" w:rsidRPr="00833B18" w:rsidTr="00946986">
        <w:tc>
          <w:tcPr>
            <w:tcW w:w="3119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Целевые показатели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муниципальной программы</w:t>
            </w:r>
          </w:p>
        </w:tc>
        <w:tc>
          <w:tcPr>
            <w:tcW w:w="6663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1.Обеспечение организационно-технического и финансового обеспечение Департамента муниципальной собственности администрации города (%) – 100.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lastRenderedPageBreak/>
              <w:t xml:space="preserve">2. Право муниципальной собственности зарегистрированного в Едином государственном реестре прав на недвижимое имущество и сделок с ним 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(объекты) – 925.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 xml:space="preserve">3.Количество поставленных на государственный кадастровый учет земельных участков 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(объекты) – 140.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 xml:space="preserve">4.Обеспечение проведения ремонта в отношении муниципального имущества 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(%) – 100.</w:t>
            </w:r>
          </w:p>
        </w:tc>
      </w:tr>
      <w:tr w:rsidR="00833B18" w:rsidRPr="00833B18" w:rsidTr="00946986">
        <w:tc>
          <w:tcPr>
            <w:tcW w:w="3119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lastRenderedPageBreak/>
              <w:t>Сроки реализации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муниципальной программы</w:t>
            </w:r>
          </w:p>
        </w:tc>
        <w:tc>
          <w:tcPr>
            <w:tcW w:w="6663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 xml:space="preserve">Срок реализация программы 2019 -2025 годы. </w:t>
            </w:r>
          </w:p>
        </w:tc>
      </w:tr>
      <w:tr w:rsidR="00833B18" w:rsidRPr="00833B18" w:rsidTr="00946986">
        <w:tc>
          <w:tcPr>
            <w:tcW w:w="3119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Параметры финансового обеспечения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муниципальной программы</w:t>
            </w:r>
          </w:p>
        </w:tc>
        <w:tc>
          <w:tcPr>
            <w:tcW w:w="6663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Общий объем финансирования муниципальной программы на 2019 – 2025 годы составит 368 325,4 тыс. рублей, в том числе: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программные мероприятия 56 338,9 тыс. руб. (местный бюджет), из них: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2019 год – 15 713,9 тыс. руб. (местный бюджет)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 xml:space="preserve">2020 год – 6 187,5 тыс. руб. (местный бюджет) 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2021 год – 6 887,5 тыс. руб. (местный бюджет)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2022 год – 6 887,5 тыс. руб. (местный бюджет)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2023 год – 6 887,5 тыс. руб. (местный бюджет)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2024 год – 6 887,5 тыс. руб. (местный бюджет)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2025 год – 6 887,5 тыс. руб. (местный бюджет),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финансовое обеспечение содержание департамента муниципальной собственности администрации города, в сумме 311 986,5 тыс. руб. (местный бюджет), из них: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2019 – 44 569,5 тыс. руб.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2020 – 44 569,5 тыс. руб.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2021 – 44 569,5 тыс. руб.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2022 – 44 569,5 тыс. руб.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2023 – 44 569,5 тыс. руб.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2024 – 44 569,5 тыс. руб.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 xml:space="preserve">2025 – 44 569,5 </w:t>
            </w:r>
            <w:proofErr w:type="spellStart"/>
            <w:r w:rsidRPr="00833B18">
              <w:t>тыс.руб</w:t>
            </w:r>
            <w:proofErr w:type="spellEnd"/>
            <w:r w:rsidRPr="00833B18">
              <w:t>.</w:t>
            </w:r>
          </w:p>
        </w:tc>
      </w:tr>
      <w:tr w:rsidR="00833B18" w:rsidRPr="00833B18" w:rsidTr="00946986">
        <w:tc>
          <w:tcPr>
            <w:tcW w:w="3119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Параметры финансового обеспечения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портфеля проектов, проекта, направленных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в том числе на реализацию национальных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проектов (программ) Российской Федерации,</w:t>
            </w:r>
          </w:p>
          <w:p w:rsidR="00833B18" w:rsidRPr="00833B18" w:rsidRDefault="00833B18" w:rsidP="00833B18">
            <w:pPr>
              <w:spacing w:after="0"/>
              <w:ind w:left="34"/>
            </w:pPr>
            <w:r w:rsidRPr="00833B18">
              <w:t>реализуемых в составе муниципальной программы</w:t>
            </w:r>
          </w:p>
        </w:tc>
        <w:tc>
          <w:tcPr>
            <w:tcW w:w="6663" w:type="dxa"/>
          </w:tcPr>
          <w:p w:rsidR="00833B18" w:rsidRPr="00833B18" w:rsidRDefault="00833B18" w:rsidP="00833B18">
            <w:pPr>
              <w:spacing w:after="0"/>
              <w:ind w:left="34"/>
            </w:pPr>
            <w:r w:rsidRPr="00833B18">
              <w:t>Общий объем финансового обеспечения портфеля проектов на 2019 – 2025 годы составит 0,0 тыс. рублей.</w:t>
            </w:r>
          </w:p>
        </w:tc>
      </w:tr>
    </w:tbl>
    <w:p w:rsidR="00C06F58" w:rsidRPr="00833B18" w:rsidRDefault="00833B18" w:rsidP="00833B18">
      <w:pPr>
        <w:spacing w:after="0"/>
      </w:pPr>
      <w:r w:rsidRPr="00833B18">
        <w:t xml:space="preserve">                                                                                            </w:t>
      </w:r>
    </w:p>
    <w:sectPr w:rsidR="00C06F58" w:rsidRPr="00833B18" w:rsidSect="009E1373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425" w:rsidRDefault="009E1373">
      <w:pPr>
        <w:spacing w:after="0" w:line="240" w:lineRule="auto"/>
      </w:pPr>
      <w:r>
        <w:separator/>
      </w:r>
    </w:p>
  </w:endnote>
  <w:endnote w:type="continuationSeparator" w:id="0">
    <w:p w:rsidR="000E2425" w:rsidRDefault="009E1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425" w:rsidRDefault="009E1373">
      <w:pPr>
        <w:spacing w:after="0" w:line="240" w:lineRule="auto"/>
      </w:pPr>
      <w:r>
        <w:separator/>
      </w:r>
    </w:p>
  </w:footnote>
  <w:footnote w:type="continuationSeparator" w:id="0">
    <w:p w:rsidR="000E2425" w:rsidRDefault="009E1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F89" w:rsidRDefault="00300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8D2"/>
    <w:rsid w:val="000E2425"/>
    <w:rsid w:val="00113C1C"/>
    <w:rsid w:val="00173374"/>
    <w:rsid w:val="00300DE9"/>
    <w:rsid w:val="003578D2"/>
    <w:rsid w:val="0057630D"/>
    <w:rsid w:val="005B6F3B"/>
    <w:rsid w:val="00631CFE"/>
    <w:rsid w:val="00685D68"/>
    <w:rsid w:val="006A5385"/>
    <w:rsid w:val="006F4420"/>
    <w:rsid w:val="00833B18"/>
    <w:rsid w:val="009E1373"/>
    <w:rsid w:val="00B519E2"/>
    <w:rsid w:val="00B71A78"/>
    <w:rsid w:val="00B82956"/>
    <w:rsid w:val="00C06F58"/>
    <w:rsid w:val="00C40CC1"/>
    <w:rsid w:val="00C5661B"/>
    <w:rsid w:val="00DC32D9"/>
    <w:rsid w:val="00E21A1A"/>
    <w:rsid w:val="00E3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F002D"/>
  <w15:chartTrackingRefBased/>
  <w15:docId w15:val="{FEA8257A-06C9-48C2-87B8-EC449ACB0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58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6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6F5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E1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1373"/>
    <w:rPr>
      <w:rFonts w:ascii="Segoe UI" w:hAnsi="Segoe UI" w:cs="Segoe UI"/>
      <w:sz w:val="18"/>
      <w:szCs w:val="18"/>
    </w:rPr>
  </w:style>
  <w:style w:type="paragraph" w:customStyle="1" w:styleId="a7">
    <w:name w:val="Нормальный (таблица)"/>
    <w:basedOn w:val="a"/>
    <w:next w:val="a"/>
    <w:uiPriority w:val="99"/>
    <w:rsid w:val="00113C1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lang w:eastAsia="ru-RU"/>
    </w:rPr>
  </w:style>
  <w:style w:type="character" w:styleId="a8">
    <w:name w:val="page number"/>
    <w:basedOn w:val="a0"/>
    <w:uiPriority w:val="99"/>
    <w:rsid w:val="00113C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Трофимова Наталья Сергеевна</cp:lastModifiedBy>
  <cp:revision>20</cp:revision>
  <cp:lastPrinted>2019-11-13T06:34:00Z</cp:lastPrinted>
  <dcterms:created xsi:type="dcterms:W3CDTF">2018-11-09T12:02:00Z</dcterms:created>
  <dcterms:modified xsi:type="dcterms:W3CDTF">2019-11-13T06:36:00Z</dcterms:modified>
</cp:coreProperties>
</file>