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Информирование налогоплательщиков – собственников недвижимого имущества о необходимости уточнения технических характеристик объектов недвижимости, сведений об их правообладателях по Предварительному перечню.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8"/>
        <w:ind w:firstLine="709"/>
        <w:jc w:val="both"/>
        <w:spacing w:before="0" w:beforeAutospacing="0" w:after="0" w:afterAutospacing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Департамент финансов Ханты-Мансийского автономного округа – Югры (далее </w:t>
      </w:r>
      <w:r>
        <w:rPr>
          <w:sz w:val="28"/>
          <w:szCs w:val="28"/>
        </w:rPr>
        <w:t xml:space="preserve">–</w:t>
      </w:r>
      <w:r>
        <w:rPr>
          <w:rFonts w:eastAsia="Calibri"/>
          <w:sz w:val="28"/>
          <w:szCs w:val="28"/>
        </w:rPr>
        <w:t xml:space="preserve"> Депфин Югры, уполномоченный орган) информирует об объектах, которыми с 1 января 2026 г</w:t>
      </w:r>
      <w:r>
        <w:rPr>
          <w:rFonts w:eastAsia="Calibri"/>
          <w:sz w:val="28"/>
          <w:szCs w:val="28"/>
        </w:rPr>
        <w:t xml:space="preserve">ода будет дополнен перечень объектов недвижимого имущества, в отношении которых налоговая база определяется как кадастровая стоимость (далее – Перечень), в соответствии с пунктами 7, 10 статьи 378.2 Налогового кодекса Российской Федерации (далее – Кодекс).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48"/>
        <w:ind w:firstLine="709"/>
        <w:jc w:val="both"/>
        <w:spacing w:before="0" w:beforeAutospacing="0" w:after="0" w:afterAutospacing="0"/>
        <w:rPr>
          <w:bCs/>
          <w:sz w:val="28"/>
          <w:szCs w:val="28"/>
        </w:rPr>
      </w:pPr>
      <w:r>
        <w:rPr>
          <w:sz w:val="28"/>
          <w:szCs w:val="28"/>
        </w:rPr>
        <w:t xml:space="preserve">Ранее сформированный Перечень на 2025 год дополняется объектами недвижимости </w:t>
      </w:r>
      <w:r>
        <w:rPr>
          <w:bCs/>
          <w:sz w:val="28"/>
          <w:szCs w:val="28"/>
        </w:rPr>
        <w:t xml:space="preserve">коммерческого назначения (далее – предварительный перечень), поименованными в подпунктах 1 и 2 пункта 1</w:t>
        <w:br w:type="textWrapping" w:clear="all"/>
        <w:t xml:space="preserve">статьи 378.2 Кодекса, как факт</w:t>
      </w:r>
      <w:r>
        <w:rPr>
          <w:bCs/>
          <w:sz w:val="28"/>
          <w:szCs w:val="28"/>
        </w:rPr>
        <w:t xml:space="preserve">ически используемыми организациями и физическими лицами (индивидуальными предпринимателями и гражданами) для размещения офисов, торговых объектов, объектов общественного питания и бытового обслуживания, так и предназначенными для использования в указанных </w:t>
      </w:r>
      <w:r>
        <w:rPr>
          <w:sz w:val="28"/>
          <w:szCs w:val="28"/>
        </w:rPr>
        <w:t xml:space="preserve">целях.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4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Предварительный перечень в течение сентября-ноября 2025 года может быть изменен в связи с дополнением новыми объектами и (или) исключением отдельных объектов по обращениям муниципальных образований или собственников объектов.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Собственникам объектов недвижимости рекомендуется урегулировать с уполномоченным органом вопросы по включению либо не включению объектов в предварительный перечень до наступления налогового периода 2026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Окончательный Перечень на 2026 год, включающий объекты из Перечня на 2025 год и предварительного перечня, согласно пунктам 1, 5 статьи 5 Кодекса, </w:t>
      </w:r>
      <w:r>
        <w:rPr>
          <w:sz w:val="28"/>
          <w:szCs w:val="28"/>
          <w:highlight w:val="none"/>
        </w:rPr>
        <w:t xml:space="preserve">будет утвержден приказом Депфина Югры до 1 декабря 2025 года </w:t>
      </w:r>
      <w:r>
        <w:rPr>
          <w:sz w:val="28"/>
          <w:szCs w:val="28"/>
        </w:rPr>
        <w:t xml:space="preserve">и размещен на официальном сайте </w:t>
      </w:r>
      <w:r>
        <w:fldChar w:fldCharType="begin"/>
      </w:r>
      <w:r>
        <w:instrText xml:space="preserve"> HYPERLINK "http://yandex.ru/clck/jsredir?bu=uniq1517489891048290855&amp;from=yandex.ru%3Bsearch%2F%3Bweb%3B%3B&amp;text=&amp;etext=1684.E2QGyLJy045mXhNhXAchpw-JfGGO1mM2bYl</w:instrText>
      </w:r>
      <w:r>
        <w:instrText xml:space="preserve">bEL_puBGSZmhWWobQYGWAGNenOPTZtkaluYQmEYYiynv67jyMkLL_GawcIiwCRr7PCyUKpqJjpGkOXpM9Bc6CmVc0f0hA.78db4ff40d9d79f5b3c06eb397960e72f5fb6cd0&amp;uuid=&amp;state=PEtFfuTeVD4jaxywoSUvtB2i7c0_vxGdKJBUN48dhRaQEew_4vPgtaHQTbCUXI3yXF7gMIt8Es9RFLtOmtvshg,,&amp;&amp;cst=AiuY0DBWFJ4BWM_</w:instrText>
      </w:r>
      <w:r>
        <w:instrText xml:space="preserve">uhLTTxK6KUL3uT</w:instrText>
      </w:r>
      <w:r>
        <w:instrText xml:space="preserve">uZv6uuL5q-hVEAipg65I4uwb209RIPJoPb_9jgZ0OryOv94AdFV4SUzhD5RuXaeFLpRMfci4y6UxVDO8pNhIMfAetJRmWpmsQ_dGo9ndUmZMuRx2ue12rKlJuxLt1w3Eb8UBfVPyEjGcfY4WvZKKenx6r9Rx860ZFXkXiZ7NJ9-vxk0xE-aMdHyAKfuuUoUbwvkGm6UkLUffVVBofAu3e04Tg,,&amp;data=UlNrNmk5WktYejY4cHFySjRXSWhXQ2l</w:instrText>
      </w:r>
      <w:r>
        <w:instrText xml:space="preserve">kcGhXMHZHUERwT3pROXVsOHVPWHhJN3dGWTRqUGNGcjhtbEE1d2FvUGN4N3J4WGZCN3ExeHZMOEVITGFiVDFfemJOZTZmZXBaM2Y5X1BVbmlmcncs&amp;sign=e14da893942f7ae83ffa347dfbb530e7&amp;keyno=0&amp;b64e=2&amp;ref=orjY4mGPRjk5boDnW0uvlrrd71vZw9kpjly_ySFdX80,&amp;l10n=ru&amp;cts=1517490690387&amp;mc=3.75" \o "h</w:instrText>
      </w:r>
      <w:r>
        <w:instrText xml:space="preserve">ttp://yandex.ru/clck/jsredir?bu=uniq1517489891048290855&amp;from=yandex.ru%3Bsearch%2F%3Bweb%3B%3B&amp;text=&amp;etext=1684.E2QGyLJy045mXhNhXAchpw-JfGGO1mM2bYlbEL_puBGSZmhWWobQYGWAGNenOPTZtkaluYQmEYYiynv67jyMkLL_GawcIiwCRr7PCyUKpqJjpGkOXpM9Bc6CmVc0f0hA.78db4ff40d9d7" </w:instrText>
      </w:r>
      <w:r>
        <w:fldChar w:fldCharType="separate"/>
      </w:r>
      <w:r>
        <w:rPr>
          <w:rStyle w:val="849"/>
          <w:rFonts w:eastAsia="Calibri"/>
          <w:color w:val="0000ff"/>
          <w:sz w:val="28"/>
          <w:szCs w:val="28"/>
          <w:u w:val="single"/>
        </w:rPr>
        <w:t xml:space="preserve">d</w:t>
      </w:r>
      <w:r>
        <w:rPr>
          <w:rStyle w:val="849"/>
          <w:color w:val="0000ff"/>
          <w:sz w:val="28"/>
          <w:szCs w:val="28"/>
          <w:u w:val="single"/>
        </w:rPr>
        <w:t xml:space="preserve">epfin.admhmao.ru</w:t>
      </w:r>
      <w:r>
        <w:fldChar w:fldCharType="end"/>
      </w:r>
      <w:r>
        <w:rPr>
          <w:sz w:val="28"/>
          <w:szCs w:val="28"/>
        </w:rPr>
        <w:t xml:space="preserve"> в разделе «Налоговая политика» по ссылке: «Нормативные правовые акты в сфере налогообложения» / «Приказы Департамента финансов Ханты-Мансийского автономного округа – Югры».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Регламент прове</w:t>
      </w:r>
      <w:r>
        <w:rPr>
          <w:sz w:val="28"/>
          <w:szCs w:val="28"/>
        </w:rPr>
        <w:t xml:space="preserve">дения обследований и Процедура расчета площадей для определения вида фактического использования объектов недвижимости в целях налогообложения, утверждены Приказом Департамента финансов Ханты-Мансийского автономного округа – Югры от </w:t>
      </w:r>
      <w:r>
        <w:rPr>
          <w:sz w:val="28"/>
          <w:szCs w:val="28"/>
          <w:highlight w:val="none"/>
        </w:rPr>
        <w:t xml:space="preserve">23 августа 2024 года № 2</w:t>
      </w:r>
      <w:r>
        <w:rPr>
          <w:sz w:val="28"/>
          <w:szCs w:val="28"/>
          <w:highlight w:val="none"/>
        </w:rPr>
        <w:t xml:space="preserve">0-ОД-101 «О мерах по реализации постановления Правительства Ханты-Мансийского автономного округа – Югры от 17 марта 2017 года № 90-п «О порядке определения вида фактического использования зданий (строений, сооружений)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и помещений для целей налогообложения»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Информацию по вопросам включения объектов недвижимости в перечень на налоговый период 2026 года можно получить по телефонам: 8(3467) 360-300 (доб. 4239 или 4244) (отдел налоговой политики Управления доходов и налоговой политики Депфина Югры).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6"/>
    <w:next w:val="836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6"/>
    <w:next w:val="836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6"/>
    <w:next w:val="836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6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6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paragraph" w:styleId="690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next w:val="836"/>
    <w:link w:val="836"/>
    <w:qFormat/>
    <w:rPr>
      <w:lang w:val="ru-RU" w:eastAsia="ru-RU" w:bidi="ar-SA"/>
    </w:rPr>
  </w:style>
  <w:style w:type="paragraph" w:styleId="837">
    <w:name w:val="Заголовок 1"/>
    <w:basedOn w:val="836"/>
    <w:next w:val="836"/>
    <w:link w:val="836"/>
    <w:qFormat/>
    <w:pPr>
      <w:keepNext/>
      <w:outlineLvl w:val="0"/>
    </w:pPr>
    <w:rPr>
      <w:b/>
      <w:sz w:val="28"/>
    </w:rPr>
  </w:style>
  <w:style w:type="paragraph" w:styleId="838">
    <w:name w:val="Заголовок 3"/>
    <w:basedOn w:val="836"/>
    <w:next w:val="836"/>
    <w:link w:val="842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character" w:styleId="839">
    <w:name w:val="Основной шрифт абзаца"/>
    <w:next w:val="839"/>
    <w:link w:val="836"/>
    <w:semiHidden/>
  </w:style>
  <w:style w:type="table" w:styleId="840">
    <w:name w:val="Обычная таблица"/>
    <w:next w:val="840"/>
    <w:link w:val="836"/>
    <w:semiHidden/>
    <w:tblPr/>
  </w:style>
  <w:style w:type="numbering" w:styleId="841">
    <w:name w:val="Нет списка"/>
    <w:next w:val="841"/>
    <w:link w:val="836"/>
    <w:semiHidden/>
  </w:style>
  <w:style w:type="character" w:styleId="842">
    <w:name w:val="Заголовок 3 Знак"/>
    <w:next w:val="842"/>
    <w:link w:val="838"/>
    <w:uiPriority w:val="9"/>
    <w:semiHidden/>
    <w:rPr>
      <w:rFonts w:ascii="Cambria" w:hAnsi="Cambria" w:eastAsia="Times New Roman" w:cs="Times New Roman"/>
      <w:b/>
      <w:bCs/>
      <w:sz w:val="26"/>
      <w:szCs w:val="26"/>
    </w:rPr>
  </w:style>
  <w:style w:type="character" w:styleId="843">
    <w:name w:val="Гиперссылка"/>
    <w:next w:val="843"/>
    <w:link w:val="836"/>
    <w:uiPriority w:val="99"/>
    <w:unhideWhenUsed/>
    <w:rPr>
      <w:color w:val="0000ff"/>
      <w:u w:val="single"/>
    </w:rPr>
  </w:style>
  <w:style w:type="paragraph" w:styleId="844">
    <w:name w:val="Текст выноски"/>
    <w:basedOn w:val="836"/>
    <w:next w:val="844"/>
    <w:link w:val="845"/>
    <w:uiPriority w:val="99"/>
    <w:semiHidden/>
    <w:unhideWhenUsed/>
    <w:rPr>
      <w:rFonts w:ascii="Tahoma" w:hAnsi="Tahoma" w:cs="Tahoma"/>
      <w:sz w:val="16"/>
      <w:szCs w:val="16"/>
    </w:rPr>
  </w:style>
  <w:style w:type="character" w:styleId="845">
    <w:name w:val="Текст выноски Знак"/>
    <w:next w:val="845"/>
    <w:link w:val="844"/>
    <w:uiPriority w:val="99"/>
    <w:semiHidden/>
    <w:rPr>
      <w:rFonts w:ascii="Tahoma" w:hAnsi="Tahoma" w:cs="Tahoma"/>
      <w:sz w:val="16"/>
      <w:szCs w:val="16"/>
    </w:rPr>
  </w:style>
  <w:style w:type="character" w:styleId="846">
    <w:name w:val="Основной текст_"/>
    <w:next w:val="846"/>
    <w:link w:val="847"/>
    <w:rPr>
      <w:sz w:val="25"/>
      <w:szCs w:val="25"/>
      <w:shd w:val="clear" w:color="auto" w:fill="ffffff"/>
    </w:rPr>
  </w:style>
  <w:style w:type="paragraph" w:styleId="847">
    <w:name w:val="Основной текст1"/>
    <w:basedOn w:val="836"/>
    <w:next w:val="847"/>
    <w:link w:val="846"/>
    <w:pPr>
      <w:jc w:val="right"/>
      <w:spacing w:line="307" w:lineRule="exact"/>
      <w:shd w:val="clear" w:color="auto" w:fill="ffffff"/>
      <w:widowControl w:val="off"/>
    </w:pPr>
    <w:rPr>
      <w:sz w:val="25"/>
      <w:szCs w:val="25"/>
    </w:rPr>
  </w:style>
  <w:style w:type="paragraph" w:styleId="848">
    <w:name w:val="Обычный (веб)"/>
    <w:basedOn w:val="836"/>
    <w:next w:val="848"/>
    <w:link w:val="836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849">
    <w:name w:val="hmao_department_email"/>
    <w:next w:val="849"/>
    <w:link w:val="836"/>
  </w:style>
  <w:style w:type="character" w:styleId="850" w:default="1">
    <w:name w:val="Default Paragraph Font"/>
    <w:uiPriority w:val="1"/>
    <w:semiHidden/>
    <w:unhideWhenUsed/>
  </w:style>
  <w:style w:type="numbering" w:styleId="851" w:default="1">
    <w:name w:val="No List"/>
    <w:uiPriority w:val="99"/>
    <w:semiHidden/>
    <w:unhideWhenUsed/>
  </w:style>
  <w:style w:type="table" w:styleId="8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</dc:creator>
  <cp:revision>22</cp:revision>
  <dcterms:created xsi:type="dcterms:W3CDTF">2017-09-12T04:14:00Z</dcterms:created>
  <dcterms:modified xsi:type="dcterms:W3CDTF">2025-09-08T04:59:48Z</dcterms:modified>
  <cp:version>1048576</cp:version>
</cp:coreProperties>
</file>