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9885" cy="437515"/>
                <wp:effectExtent l="0" t="0" r="0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9884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55pt;height:34.4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00ff"/>
          <w:sz w:val="28"/>
          <w:szCs w:val="28"/>
        </w:rPr>
      </w:r>
    </w:p>
    <w:p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ХАНТЫ – МАНСИЙСКИЙ АВТОНОМНЫЙ ОКРУГ - ЮГРА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</w:p>
    <w:p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ТЮМЕНСКАЯ ОБЛАСТЬ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</w:p>
    <w:p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ПРЕДСТАВИТЕЛЬНЫЙ ОРГАН МУНИЦИПАЛЬНОГО ОБРАЗОВАНИЯ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</w:p>
    <w:p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ДУМА ГОРОДА МЕГИОНА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keepNext/>
        <w:spacing w:before="240" w:after="60"/>
        <w:rPr>
          <w:rFonts w:ascii="Times New Roman" w:hAnsi="Times New Roman" w:cs="Times New Roman"/>
          <w:bCs/>
          <w:iCs/>
          <w:color w:val="ff0000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____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_______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2025 года </w:t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                             № _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___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 w:cs="Times New Roman"/>
          <w:color w:val="0000ff"/>
          <w:sz w:val="24"/>
          <w:szCs w:val="24"/>
        </w:rPr>
      </w:r>
    </w:p>
    <w:p>
      <w:pPr>
        <w:ind w:left="0" w:right="5952"/>
        <w:jc w:val="both"/>
        <w:keepNext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ind w:left="0" w:right="5952"/>
        <w:jc w:val="both"/>
        <w:keepNext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О внесении изменений в решение Думы города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от 09.12.2024 №427 «О бюджете городского округа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(с изменениями)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ind w:left="0" w:right="5952"/>
        <w:jc w:val="both"/>
        <w:keepNext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ab/>
        <w:t xml:space="preserve">Рассмотрев проект решения Думы города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«О внесении изменений в решение Думы города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от 09.12.2024 №427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«О бюджете городского округа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(с изменениями), в соответствии с Бюджетным кодексом Российской Федерации, руководствуясь статьями 19, 49, 52 устава города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, Дума города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left="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 Внести в решение Думы города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от 09.12.2024 №427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«О бюджете городского округа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(с изменениями) следующие изменения: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1) в пункте 1: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а) подпункт 1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«1) прогнозируемый общий объем доходов бюджета городского округа в сумме                 8 298 907,4 тыс. рублей согласно приложению 1 к настоящему решению;»;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подпункт 2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«2) общий объем расходов бюджета городского округа в сумме 8 652 653,1 тыс. рублей;»;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в) подпункт 3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«3) дефицит бюджета городского округа в сумме 353 745,7 тыс. рублей;»;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2) в пункте 2: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а) подпункт 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«1)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прогнозируемый общий объем доходов бюджета городского округа на 2026 год в сумме 6 104 235,1 тыс. рублей и на 2027 год в сумме 5 866 485,7 тыс. рублей согласно приложению 2 к настоящему решению;»;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) подпункт 2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«2) общий объем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расходов бюджета городского округа на 2026 год в сумме 6 297 015,2 тыс. рублей и на 2027 год в сумме 6 060 624,7 тыс. рублей, в том числе, условно утвержденные расходы на 2026 год в сумме 71 167,0 тыс. рублей и на 2027 год в сумме 139 325,0 тыс. рублей;»;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иложение 3 «Распределение бюджетных ассигнований по разделам, подразделам, целевым 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</w:t>
      </w:r>
      <w:r>
        <w:rPr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Ханты-Мансийского автономного округа – Югры на 2025 год» изложить в редакции сог</w:t>
      </w:r>
      <w:r>
        <w:rPr>
          <w:rFonts w:ascii="Times New Roman" w:hAnsi="Times New Roman" w:eastAsia="Calibri" w:cs="Times New Roman"/>
          <w:sz w:val="24"/>
          <w:szCs w:val="24"/>
        </w:rPr>
        <w:t xml:space="preserve">ласно приложению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настоящему решению;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4)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приложение 4 «Распределение бюджетных ассигнований по разделам, подразделам, целевым 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Мегион</w:t>
      </w:r>
      <w:r>
        <w:rPr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Ханты-Мансийского автономного округа – Югры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а плановый период 2026 и 2027 годов» изложить в редакции согласно приложению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4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5) приложение 5 «Распределение бюджетных ассигнований по целев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ым 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2025 год» изложить в редакции согласно приложению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6) приложение 6 «Распределение бюджетных ассигнований по целевым 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плановый период 2026 и 2027 годов» изложить в редакции согласно приложению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7) приложение 7 «Распределение бюджетных ассигнований по разделам, подразделам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2025 год» изложить в редакции согласно приложению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8) приложение 8 «Распределение бюджетных ассигнований по разделам, подразделам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плановый период 2026 и 2027 годов» изложить в редакции согласно приложению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8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9) приложение 9 «Ведомственная структура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2025 год» изложить в редакции согласно приложению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10) приложение 10 «Ведомственная структура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плановый период 2026 и 2027 годов» изложить в редакции согласно приложению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10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7) приложение 11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«Источники внутреннего финансирования дефицита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2025 год» изложить в редакции согласно приложению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11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приложение 12 «Источники внутреннего финансирования дефицита бюджета городского округа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Мегион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– Югры на плановый период 2026 и 2027 годов» изложить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редакции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согласно приложению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решению;</w:t>
      </w:r>
      <w:r/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приложение 13 «Программа муниципальных внутренних заимствований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2025 год» изложить в редакции согласно приложению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13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приложение 14 «Программа муниципальных внутренних заимствований городского округа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Мегион</w:t>
      </w:r>
      <w:r>
        <w:rPr>
          <w:rFonts w:ascii="Calibri" w:hAnsi="Calibri" w:eastAsia="Calibri" w:cs="Calibri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Ханты-Мансийского автономного округа – Югры на плановый период 2026 и 2027 годов» изложить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редакции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согласно приложению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14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решению;</w:t>
      </w:r>
      <w:r/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в пункте 13 цифры «10 533,9» заменить цифрами «2</w:t>
      </w:r>
      <w:r>
        <w:rPr>
          <w:rFonts w:ascii="Times New Roman" w:hAnsi="Times New Roman" w:eastAsia="Calibri" w:cs="Times New Roman"/>
          <w:sz w:val="24"/>
          <w:szCs w:val="24"/>
        </w:rPr>
        <w:t xml:space="preserve">8 382</w:t>
      </w:r>
      <w:r>
        <w:rPr>
          <w:rFonts w:ascii="Times New Roman" w:hAnsi="Times New Roman" w:eastAsia="Calibri" w:cs="Times New Roman"/>
          <w:sz w:val="24"/>
          <w:szCs w:val="24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sz w:val="24"/>
          <w:szCs w:val="24"/>
        </w:rPr>
        <w:t xml:space="preserve">»;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пункт 15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«Утвердить объем межбюджетных трансфертов, получаемых из других бюджетов бюджетной системы Российской Федерации: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на 2025 год в сумме 5 902 477,1 тыс. рублей;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2) на 2026 год в сумме 4 016 700,0 тыс. рублей;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3) на 2027 год в сумме 3 781 886,2 тыс. рублей.»;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в пункте 18: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в подпункте 2 </w:t>
      </w:r>
      <w:r>
        <w:rPr>
          <w:rFonts w:ascii="Times New Roman" w:hAnsi="Times New Roman" w:eastAsia="Calibri" w:cs="Times New Roman"/>
          <w:sz w:val="24"/>
          <w:szCs w:val="24"/>
        </w:rPr>
        <w:t xml:space="preserve">цифры «4 950,0» заменить цифрами «0,0»;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в подпункте 3 цифры «6 589,5» заменить цифрами «0,0», цифры «2 796,3» заменить цифрами «46 373,7».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Настоящее решение вступает в силу после его 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tbl>
      <w:tblPr>
        <w:tblStyle w:val="877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Председатель Думы города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«____»________2025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ind w:left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Глава города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          ___________________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А.В.Петриченко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«____»________2025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/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7" w:bottom="851" w:left="1701" w:header="567" w:footer="56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94373315"/>
      <w:docPartObj>
        <w:docPartGallery w:val="Page Numbers (Top of Page)"/>
        <w:docPartUnique w:val="true"/>
      </w:docPartObj>
      <w:rPr/>
    </w:sdtPr>
    <w:sdtContent>
      <w:p>
        <w:pPr>
          <w:pStyle w:val="86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23"/>
    <w:link w:val="875"/>
    <w:uiPriority w:val="99"/>
  </w:style>
  <w:style w:type="paragraph" w:styleId="674" w:default="1">
    <w:name w:val="Normal"/>
    <w:pPr>
      <w:ind w:left="-108"/>
      <w:jc w:val="center"/>
      <w:spacing w:after="0" w:line="240" w:lineRule="auto"/>
    </w:pPr>
  </w:style>
  <w:style w:type="paragraph" w:styleId="675">
    <w:name w:val="Heading 1"/>
    <w:basedOn w:val="674"/>
    <w:next w:val="674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next w:val="674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basedOn w:val="684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84"/>
    <w:uiPriority w:val="9"/>
    <w:rPr>
      <w:rFonts w:ascii="Arial" w:hAnsi="Arial" w:eastAsia="Arial" w:cs="Arial"/>
      <w:sz w:val="34"/>
    </w:rPr>
  </w:style>
  <w:style w:type="character" w:styleId="689" w:customStyle="1">
    <w:name w:val="Heading 3 Char"/>
    <w:basedOn w:val="684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84"/>
    <w:uiPriority w:val="10"/>
    <w:rPr>
      <w:sz w:val="48"/>
      <w:szCs w:val="48"/>
    </w:rPr>
  </w:style>
  <w:style w:type="character" w:styleId="697" w:customStyle="1">
    <w:name w:val="Subtitle Char"/>
    <w:basedOn w:val="684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character" w:styleId="700" w:customStyle="1">
    <w:name w:val="Footnote Text Char"/>
    <w:uiPriority w:val="99"/>
    <w:rPr>
      <w:sz w:val="18"/>
    </w:rPr>
  </w:style>
  <w:style w:type="character" w:styleId="701" w:customStyle="1">
    <w:name w:val="Endnote Text Char"/>
    <w:uiPriority w:val="99"/>
    <w:rPr>
      <w:sz w:val="20"/>
    </w:rPr>
  </w:style>
  <w:style w:type="character" w:styleId="702" w:customStyle="1">
    <w:name w:val="Заголовок 1 Знак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basedOn w:val="684"/>
    <w:link w:val="676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74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after="0" w:line="240" w:lineRule="auto"/>
    </w:pPr>
  </w:style>
  <w:style w:type="paragraph" w:styleId="713">
    <w:name w:val="Title"/>
    <w:basedOn w:val="674"/>
    <w:next w:val="674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 w:customStyle="1">
    <w:name w:val="Заголовок Знак"/>
    <w:basedOn w:val="684"/>
    <w:link w:val="713"/>
    <w:uiPriority w:val="10"/>
    <w:rPr>
      <w:sz w:val="48"/>
      <w:szCs w:val="48"/>
    </w:rPr>
  </w:style>
  <w:style w:type="paragraph" w:styleId="715">
    <w:name w:val="Subtitle"/>
    <w:basedOn w:val="674"/>
    <w:next w:val="674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 w:customStyle="1">
    <w:name w:val="Подзаголовок Знак"/>
    <w:basedOn w:val="684"/>
    <w:link w:val="715"/>
    <w:uiPriority w:val="11"/>
    <w:rPr>
      <w:sz w:val="24"/>
      <w:szCs w:val="24"/>
    </w:rPr>
  </w:style>
  <w:style w:type="paragraph" w:styleId="717">
    <w:name w:val="Quote"/>
    <w:basedOn w:val="674"/>
    <w:next w:val="674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74"/>
    <w:next w:val="674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character" w:styleId="721" w:customStyle="1">
    <w:name w:val="Header Char"/>
    <w:basedOn w:val="684"/>
    <w:uiPriority w:val="99"/>
  </w:style>
  <w:style w:type="character" w:styleId="722" w:customStyle="1">
    <w:name w:val="Footer Char"/>
    <w:basedOn w:val="684"/>
    <w:uiPriority w:val="99"/>
  </w:style>
  <w:style w:type="paragraph" w:styleId="723">
    <w:name w:val="Caption"/>
    <w:basedOn w:val="674"/>
    <w:next w:val="674"/>
    <w:link w:val="72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4" w:customStyle="1">
    <w:name w:val="Название объекта Знак"/>
    <w:link w:val="723"/>
    <w:uiPriority w:val="99"/>
  </w:style>
  <w:style w:type="table" w:styleId="725">
    <w:name w:val="Table Grid"/>
    <w:basedOn w:val="6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563c1" w:themeColor="hyperlink"/>
      <w:u w:val="single"/>
    </w:rPr>
  </w:style>
  <w:style w:type="paragraph" w:styleId="852">
    <w:name w:val="footnote text"/>
    <w:basedOn w:val="674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84"/>
    <w:uiPriority w:val="99"/>
    <w:unhideWhenUsed/>
    <w:rPr>
      <w:vertAlign w:val="superscript"/>
    </w:rPr>
  </w:style>
  <w:style w:type="paragraph" w:styleId="855">
    <w:name w:val="endnote text"/>
    <w:basedOn w:val="674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84"/>
    <w:uiPriority w:val="99"/>
    <w:semiHidden/>
    <w:unhideWhenUsed/>
    <w:rPr>
      <w:vertAlign w:val="superscript"/>
    </w:rPr>
  </w:style>
  <w:style w:type="paragraph" w:styleId="858">
    <w:name w:val="toc 1"/>
    <w:basedOn w:val="674"/>
    <w:next w:val="674"/>
    <w:uiPriority w:val="39"/>
    <w:unhideWhenUsed/>
    <w:pPr>
      <w:ind w:left="0"/>
      <w:spacing w:after="57"/>
    </w:pPr>
  </w:style>
  <w:style w:type="paragraph" w:styleId="859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60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61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62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63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64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65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66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74"/>
    <w:next w:val="674"/>
    <w:uiPriority w:val="99"/>
    <w:unhideWhenUsed/>
  </w:style>
  <w:style w:type="paragraph" w:styleId="869">
    <w:name w:val="Header"/>
    <w:basedOn w:val="674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684"/>
    <w:link w:val="869"/>
    <w:uiPriority w:val="99"/>
  </w:style>
  <w:style w:type="paragraph" w:styleId="871">
    <w:name w:val="Balloon Text"/>
    <w:basedOn w:val="674"/>
    <w:link w:val="87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684"/>
    <w:link w:val="871"/>
    <w:uiPriority w:val="99"/>
    <w:semiHidden/>
    <w:rPr>
      <w:rFonts w:ascii="Segoe UI" w:hAnsi="Segoe UI" w:cs="Segoe UI"/>
      <w:sz w:val="18"/>
      <w:szCs w:val="18"/>
    </w:rPr>
  </w:style>
  <w:style w:type="character" w:styleId="873">
    <w:name w:val="Emphasis"/>
    <w:basedOn w:val="684"/>
    <w:uiPriority w:val="20"/>
    <w:qFormat/>
    <w:rPr>
      <w:i/>
      <w:iCs/>
    </w:rPr>
  </w:style>
  <w:style w:type="paragraph" w:styleId="874">
    <w:name w:val="Normal (Web)"/>
    <w:basedOn w:val="674"/>
    <w:uiPriority w:val="99"/>
    <w:semiHidden/>
    <w:unhideWhenUsed/>
    <w:pPr>
      <w:ind w:left="0"/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Footer"/>
    <w:basedOn w:val="674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684"/>
    <w:link w:val="875"/>
    <w:uiPriority w:val="99"/>
  </w:style>
  <w:style w:type="table" w:styleId="877" w:customStyle="1">
    <w:name w:val="Сетка таблицы1"/>
    <w:basedOn w:val="685"/>
    <w:next w:val="7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C076-76EA-4FC8-97EA-C97FC989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Хвостенко Александра Вячеславовна</dc:creator>
  <cp:keywords/>
  <dc:description/>
  <cp:revision>452</cp:revision>
  <dcterms:created xsi:type="dcterms:W3CDTF">2018-12-11T12:04:00Z</dcterms:created>
  <dcterms:modified xsi:type="dcterms:W3CDTF">2025-09-18T04:46:03Z</dcterms:modified>
</cp:coreProperties>
</file>