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E9A" w:rsidRDefault="00062E9A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62E9A" w:rsidRDefault="00062E9A">
      <w:pPr>
        <w:pStyle w:val="ConsPlusNormal"/>
        <w:outlineLvl w:val="0"/>
      </w:pPr>
    </w:p>
    <w:p w:rsidR="00062E9A" w:rsidRDefault="00062E9A">
      <w:pPr>
        <w:pStyle w:val="ConsPlusTitle"/>
        <w:jc w:val="center"/>
        <w:outlineLvl w:val="0"/>
      </w:pPr>
      <w:r>
        <w:t>ДУМА ГОРОДА МЕГИОНА</w:t>
      </w:r>
    </w:p>
    <w:p w:rsidR="00062E9A" w:rsidRDefault="00062E9A">
      <w:pPr>
        <w:pStyle w:val="ConsPlusTitle"/>
        <w:jc w:val="center"/>
      </w:pPr>
    </w:p>
    <w:p w:rsidR="00062E9A" w:rsidRDefault="00062E9A">
      <w:pPr>
        <w:pStyle w:val="ConsPlusTitle"/>
        <w:jc w:val="center"/>
      </w:pPr>
      <w:bookmarkStart w:id="0" w:name="_GoBack"/>
      <w:r>
        <w:t>РЕШЕНИЕ</w:t>
      </w:r>
    </w:p>
    <w:p w:rsidR="00062E9A" w:rsidRDefault="00062E9A">
      <w:pPr>
        <w:pStyle w:val="ConsPlusTitle"/>
        <w:jc w:val="center"/>
      </w:pPr>
      <w:r>
        <w:t>от 15 декабря 2023 г. N 347</w:t>
      </w:r>
      <w:bookmarkEnd w:id="0"/>
    </w:p>
    <w:p w:rsidR="00062E9A" w:rsidRDefault="00062E9A">
      <w:pPr>
        <w:pStyle w:val="ConsPlusTitle"/>
        <w:jc w:val="center"/>
      </w:pPr>
    </w:p>
    <w:p w:rsidR="00062E9A" w:rsidRDefault="00062E9A">
      <w:pPr>
        <w:pStyle w:val="ConsPlusTitle"/>
        <w:jc w:val="center"/>
      </w:pPr>
      <w:r>
        <w:t>О БЮДЖЕТЕ ГОРОДСКОГО ОКРУГА МЕГИОН ХАНТЫ-МАНСИЙСКОГО</w:t>
      </w:r>
    </w:p>
    <w:p w:rsidR="00062E9A" w:rsidRDefault="00062E9A">
      <w:pPr>
        <w:pStyle w:val="ConsPlusTitle"/>
        <w:jc w:val="center"/>
      </w:pPr>
      <w:r>
        <w:t>АВТОНОМНОГО ОКРУГА - ЮГРЫ НА 2024 ГОД И ПЛАНОВЫЙ ПЕРИОД 2025</w:t>
      </w:r>
    </w:p>
    <w:p w:rsidR="00062E9A" w:rsidRDefault="00062E9A">
      <w:pPr>
        <w:pStyle w:val="ConsPlusTitle"/>
        <w:jc w:val="center"/>
      </w:pPr>
      <w:r>
        <w:t>И 2026 ГОДОВ</w:t>
      </w:r>
    </w:p>
    <w:p w:rsidR="00062E9A" w:rsidRDefault="00062E9A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62E9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62E9A" w:rsidRDefault="00062E9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2E9A" w:rsidRDefault="00062E9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62E9A" w:rsidRDefault="00062E9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62E9A" w:rsidRDefault="00062E9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города Мегиона от 26.04.2024 </w:t>
            </w:r>
            <w:hyperlink r:id="rId5">
              <w:r>
                <w:rPr>
                  <w:color w:val="0000FF"/>
                </w:rPr>
                <w:t>N 380</w:t>
              </w:r>
            </w:hyperlink>
            <w:r>
              <w:rPr>
                <w:color w:val="392C69"/>
              </w:rPr>
              <w:t>,</w:t>
            </w:r>
          </w:p>
          <w:p w:rsidR="00062E9A" w:rsidRDefault="00062E9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19.07.2024 </w:t>
            </w:r>
            <w:hyperlink r:id="rId6">
              <w:r>
                <w:rPr>
                  <w:color w:val="0000FF"/>
                </w:rPr>
                <w:t>N 393</w:t>
              </w:r>
            </w:hyperlink>
            <w:r>
              <w:rPr>
                <w:color w:val="392C69"/>
              </w:rPr>
              <w:t xml:space="preserve">, от 25.10.2024 </w:t>
            </w:r>
            <w:hyperlink r:id="rId7">
              <w:r>
                <w:rPr>
                  <w:color w:val="0000FF"/>
                </w:rPr>
                <w:t>N 414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62E9A" w:rsidRDefault="00062E9A">
            <w:pPr>
              <w:pStyle w:val="ConsPlusNormal"/>
            </w:pPr>
          </w:p>
        </w:tc>
      </w:tr>
    </w:tbl>
    <w:p w:rsidR="00062E9A" w:rsidRDefault="00062E9A">
      <w:pPr>
        <w:pStyle w:val="ConsPlusNormal"/>
        <w:jc w:val="right"/>
      </w:pPr>
    </w:p>
    <w:p w:rsidR="00062E9A" w:rsidRDefault="00062E9A">
      <w:pPr>
        <w:pStyle w:val="ConsPlusNormal"/>
        <w:ind w:firstLine="540"/>
        <w:jc w:val="both"/>
      </w:pPr>
      <w:r>
        <w:t xml:space="preserve">Рассмотрев проект решения Думы города Мегиона "О бюджете городского округа Мегион Ханты-Мансийского автономного округа - Югры на 2024 год и плановый период 2025 и 2026 годов", в соответствии с Бюджетным </w:t>
      </w:r>
      <w:hyperlink r:id="rId8">
        <w:r>
          <w:rPr>
            <w:color w:val="0000FF"/>
          </w:rPr>
          <w:t>кодексом</w:t>
        </w:r>
      </w:hyperlink>
      <w:r>
        <w:t xml:space="preserve"> Российской Федерации, руководствуясь </w:t>
      </w:r>
      <w:hyperlink r:id="rId9">
        <w:r>
          <w:rPr>
            <w:color w:val="0000FF"/>
          </w:rPr>
          <w:t>статьями 19</w:t>
        </w:r>
      </w:hyperlink>
      <w:r>
        <w:t xml:space="preserve">, </w:t>
      </w:r>
      <w:hyperlink r:id="rId10">
        <w:r>
          <w:rPr>
            <w:color w:val="0000FF"/>
          </w:rPr>
          <w:t>49</w:t>
        </w:r>
      </w:hyperlink>
      <w:r>
        <w:t xml:space="preserve">, </w:t>
      </w:r>
      <w:hyperlink r:id="rId11">
        <w:r>
          <w:rPr>
            <w:color w:val="0000FF"/>
          </w:rPr>
          <w:t>52</w:t>
        </w:r>
      </w:hyperlink>
      <w:r>
        <w:t xml:space="preserve"> Устава города Мегиона, Дума города Мегиона решила: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городского округа Мегион Ханты-Мансийского автономного округа - Югры (далее также - городской округ) на 2024 год: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140">
        <w:r>
          <w:rPr>
            <w:color w:val="0000FF"/>
          </w:rPr>
          <w:t>объем</w:t>
        </w:r>
      </w:hyperlink>
      <w:r>
        <w:t xml:space="preserve"> доходов бюджета городского округа в сумме 6 388 025,2 тыс. рублей согласно приложению 1 к настоящему решению;</w:t>
      </w:r>
    </w:p>
    <w:p w:rsidR="00062E9A" w:rsidRDefault="00062E9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2">
        <w:r>
          <w:rPr>
            <w:color w:val="0000FF"/>
          </w:rPr>
          <w:t>решения</w:t>
        </w:r>
      </w:hyperlink>
      <w:r>
        <w:t xml:space="preserve"> Думы города Мегиона от 25.10.2024 N 414)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в сумме 6 682 741,4 тыс. рублей;</w:t>
      </w:r>
    </w:p>
    <w:p w:rsidR="00062E9A" w:rsidRDefault="00062E9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3">
        <w:r>
          <w:rPr>
            <w:color w:val="0000FF"/>
          </w:rPr>
          <w:t>решения</w:t>
        </w:r>
      </w:hyperlink>
      <w:r>
        <w:t xml:space="preserve"> Думы города Мегиона от 25.10.2024 N 414)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3) дефицит бюджета городского округа в сумме 294 716,2 тыс. рублей;</w:t>
      </w:r>
    </w:p>
    <w:p w:rsidR="00062E9A" w:rsidRDefault="00062E9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города Мегиона от 25.10.2024 N 414)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2025 года в сумме 503 100,2 тыс. рублей, в том числе, верхний предел долга по муниципальным гарантиям городского округа в сумме 0,00 тыс. рублей;</w:t>
      </w:r>
    </w:p>
    <w:p w:rsidR="00062E9A" w:rsidRDefault="00062E9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в сумме 900,0 тыс. рублей.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городского округа на плановый период 2025 и 2026 годов: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прогнозируемый общий объем </w:t>
      </w:r>
      <w:hyperlink w:anchor="P611">
        <w:r>
          <w:rPr>
            <w:color w:val="0000FF"/>
          </w:rPr>
          <w:t>доходов</w:t>
        </w:r>
      </w:hyperlink>
      <w:r>
        <w:t xml:space="preserve"> бюджета городского округа на 2025 год в сумме 5 247 989,0 тыс. рублей и на 2026 год в сумме 5 148 936,4 тыс. рублей согласно приложению 2 к настоящему решению;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на 2025 год в сумме 5 413 130,7 тыс. рублей и на 2026 год в сумме 5 317 736,2 тыс. рублей, в том числе, условно утвержденные расходы на 2025 год в сумме 60 856,0 тыс. рублей и на 2026 год в сумме 129 143,0 тыс. рублей;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lastRenderedPageBreak/>
        <w:t>3) дефицит бюджета городского округа на 2025 год в сумме 165 141,7 тыс. рублей и на 2026 год в сумме 168 799,8 тыс. рублей;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2026 года в сумме 668 241,9 тыс. рублей и на 1 января 2027 года в сумме 837 041,7 тыс. рублей, в том числе, предельный объем обязательств по муниципальным гарантиям городского округа на 1 января 2026 года в сумме 0,0 тыс. рублей и на 1 января 2027 года в сумме 0,0 тыс. рублей;</w:t>
      </w:r>
    </w:p>
    <w:p w:rsidR="00062E9A" w:rsidRDefault="00062E9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6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на 2025 год в сумме 700,0 тыс. рублей и на 2026 год в сумме 900,0 тыс. рублей.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3. В соответствии с </w:t>
      </w:r>
      <w:hyperlink r:id="rId17">
        <w:r>
          <w:rPr>
            <w:color w:val="0000FF"/>
          </w:rPr>
          <w:t>пунктом 2 статьи 184.1</w:t>
        </w:r>
      </w:hyperlink>
      <w:r>
        <w:t xml:space="preserve"> Бюджетного кодекса Российской Федерации и </w:t>
      </w:r>
      <w:hyperlink r:id="rId18">
        <w:r>
          <w:rPr>
            <w:color w:val="0000FF"/>
          </w:rPr>
          <w:t>пунктом 1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2024 год и на плановый период 2025 и 2026 годов" руководствоваться </w:t>
      </w:r>
      <w:hyperlink r:id="rId19">
        <w:r>
          <w:rPr>
            <w:color w:val="0000FF"/>
          </w:rPr>
          <w:t>нормативами</w:t>
        </w:r>
      </w:hyperlink>
      <w:r>
        <w:t xml:space="preserve"> распределения доходов между бюджетом Ханты-Мансийского автономного округа - Югры, бюджетом территориального фонда обязательного медицинского страхования Ханты-Мансийского автономного округа - Югры и бюджетами муниципальных образований Ханты-Мансийского автономного округа - Югры на 2024 год и на плановый период 2025 и 2026 годов согласно приложению 3 к вышеуказанному Закону.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4. В соответствии с </w:t>
      </w:r>
      <w:hyperlink r:id="rId20">
        <w:r>
          <w:rPr>
            <w:color w:val="0000FF"/>
          </w:rPr>
          <w:t>пунктом 2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2024 год и на плановый период 2025 и 2026 годов" руководствоваться дифференцированными нормативами отчислений в бюджет городского округа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 xml:space="preserve">) двигателей, производимых на территории Российской Федерации на 2024 год и на плановый период 2025 и 2026 годов согласно </w:t>
      </w:r>
      <w:hyperlink r:id="rId21">
        <w:r>
          <w:rPr>
            <w:color w:val="0000FF"/>
          </w:rPr>
          <w:t>приложениям 4</w:t>
        </w:r>
      </w:hyperlink>
      <w:r>
        <w:t xml:space="preserve"> и </w:t>
      </w:r>
      <w:hyperlink r:id="rId22">
        <w:r>
          <w:rPr>
            <w:color w:val="0000FF"/>
          </w:rPr>
          <w:t>5</w:t>
        </w:r>
      </w:hyperlink>
      <w:r>
        <w:t xml:space="preserve"> к вышеуказанному Закону.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5. Установить, что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- Югре и главными администраторами доходов бюджета городского округа, является департамент финансов администрации города Мегиона.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6. Открытие и ведение лицевых счетов муниципальных учреждений, предприятий, созданных на базе имущества, находящегося в муниципальной собственности городского округа, а также автономных некоммерческих организаций, осуществляется в департаменте финансов администрации города Мегиона в установленном им порядке.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7. Утвердить 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141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5043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lastRenderedPageBreak/>
        <w:t>8. Утвердить 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8065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13299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9. Утвердить распределение бюджетных ассигнований по разделам, подразделам классификации расходов бюджета городского округа Мегион Ханты-Мансийского автономного округа - Югры: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7185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17426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10. Утвердить ведомственную структуру расходов бюджета городского округа Мегион Ханты-Мансийского автономного округа - Югры, в том числе, в ее составе перечень главных распорядителей средств бюджета городского округа Мегион: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7709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1818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11. Утвердить источники внутреннего финансирования дефицита бюджета городского округа Мегион Ханты-Мансийского автономного округа - Югры: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24972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5031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12. Утвердить программу муниципальных внутренних заимствований городского округа Мегион Ханты-Мансийского автономного округа - Югры: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25096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5133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13. Утвердить общий объем бюджетных ассигнований на исполнение публичных нормативных обязательств городского округа Мегион Ханты-Мансийского автономного округа - Югры на 2024 год в сумме 17 151,0 тыс. рублей.</w:t>
      </w:r>
    </w:p>
    <w:p w:rsidR="00062E9A" w:rsidRDefault="00062E9A">
      <w:pPr>
        <w:pStyle w:val="ConsPlusNormal"/>
        <w:jc w:val="both"/>
      </w:pPr>
      <w:r>
        <w:t xml:space="preserve">(в ред. </w:t>
      </w:r>
      <w:hyperlink r:id="rId23">
        <w:r>
          <w:rPr>
            <w:color w:val="0000FF"/>
          </w:rPr>
          <w:t>решения</w:t>
        </w:r>
      </w:hyperlink>
      <w:r>
        <w:t xml:space="preserve"> Думы города Мегиона от 25.10.2024 N 414)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14. Утвердить объем бюджетных ассигнований дорожного фонда городского округа Мегион Ханты-Мансийского автономного округа - Югры: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1) на 2024 год в сумме 140 152,1 тыс. рублей;</w:t>
      </w:r>
    </w:p>
    <w:p w:rsidR="00062E9A" w:rsidRDefault="00062E9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4">
        <w:r>
          <w:rPr>
            <w:color w:val="0000FF"/>
          </w:rPr>
          <w:t>решения</w:t>
        </w:r>
      </w:hyperlink>
      <w:r>
        <w:t xml:space="preserve"> Думы города Мегиона от 19.07.2024 N 393)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lastRenderedPageBreak/>
        <w:t>2) на 2025 год в сумме 108 171,2 тыс. рублей;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3) на 2026 год в сумме 45 725,8 тыс. рублей.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15. Утвердить объем межбюджетных трансфертов, получаемых из других бюджетов бюджетной системы Российской Федерации: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1) на 2024 год в сумме 4 390 975,3 тыс. рублей;</w:t>
      </w:r>
    </w:p>
    <w:p w:rsidR="00062E9A" w:rsidRDefault="00062E9A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5">
        <w:r>
          <w:rPr>
            <w:color w:val="0000FF"/>
          </w:rPr>
          <w:t>решения</w:t>
        </w:r>
      </w:hyperlink>
      <w:r>
        <w:t xml:space="preserve"> Думы города Мегиона от 25.10.2024 N 414)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на 2025 год в сумме 3 488 174,0 тыс. рублей;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3) на 2026 год в сумме 3 333 514,0 тыс. рублей.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16. Утвердить в составе расходов бюджета городского округа резервный фонд администрации города Мегиона: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1) на 2024 год в сумме 1 500,0 тыс. рублей;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на 2025 год в сумме 1 500,0 тыс. рублей;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3) на 2026 год в сумме 1 500,0 тыс. рублей.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17.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- экологические платежи), зачисленные в 2024 году и плановом периоде 2025 - 2026 годов в бюджет городского округа, направляются на реализацию плана мероприятий, указанных в </w:t>
      </w:r>
      <w:hyperlink r:id="rId26">
        <w:r>
          <w:rPr>
            <w:color w:val="0000FF"/>
          </w:rPr>
          <w:t>пункте 1 статьи 16.6</w:t>
        </w:r>
      </w:hyperlink>
      <w:r>
        <w:t xml:space="preserve">, </w:t>
      </w:r>
      <w:hyperlink r:id="rId27">
        <w:r>
          <w:rPr>
            <w:color w:val="0000FF"/>
          </w:rPr>
          <w:t>пункте 1 статьи 75.1</w:t>
        </w:r>
      </w:hyperlink>
      <w:r>
        <w:t xml:space="preserve"> и </w:t>
      </w:r>
      <w:hyperlink r:id="rId28">
        <w:r>
          <w:rPr>
            <w:color w:val="0000FF"/>
          </w:rPr>
          <w:t>пункте 1 статьи 78.2</w:t>
        </w:r>
      </w:hyperlink>
      <w:r>
        <w:t xml:space="preserve"> Федерального закона от 10.01.2002 N 7-ФЗ "Об охране окружающей среды".</w:t>
      </w:r>
    </w:p>
    <w:p w:rsidR="00062E9A" w:rsidRDefault="00062E9A">
      <w:pPr>
        <w:pStyle w:val="ConsPlusNormal"/>
        <w:spacing w:before="240"/>
        <w:ind w:firstLine="540"/>
        <w:jc w:val="both"/>
      </w:pPr>
      <w:bookmarkStart w:id="1" w:name="P70"/>
      <w:bookmarkEnd w:id="1"/>
      <w:r>
        <w:t>18. Установить, что в бюджете городского округа на 2024 год и плановый период 2025 и 2026 годов зарезервированы бюджетные ассигнования на реализацию инициативных проектов, в целях финансового обеспечения соответствующих расходных обязательств муниципального образования на 2024 год в сумме 1 852,3 тыс. рублей.</w:t>
      </w:r>
    </w:p>
    <w:p w:rsidR="00062E9A" w:rsidRDefault="00062E9A">
      <w:pPr>
        <w:pStyle w:val="ConsPlusNormal"/>
        <w:jc w:val="both"/>
      </w:pPr>
      <w:r>
        <w:t xml:space="preserve">(в ред. решений Думы города Мегиона от 26.04.2024 </w:t>
      </w:r>
      <w:hyperlink r:id="rId29">
        <w:r>
          <w:rPr>
            <w:color w:val="0000FF"/>
          </w:rPr>
          <w:t>N 380</w:t>
        </w:r>
      </w:hyperlink>
      <w:r>
        <w:t xml:space="preserve">, от 25.10.2024 </w:t>
      </w:r>
      <w:hyperlink r:id="rId30">
        <w:r>
          <w:rPr>
            <w:color w:val="0000FF"/>
          </w:rPr>
          <w:t>N 414</w:t>
        </w:r>
      </w:hyperlink>
      <w:r>
        <w:t>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19. Предоставить право администрации города Мегиона привлекать кредиты от кредитных организаций, бюджетные кредиты из бюджета Ханты-Мансийского автономного округа - Югры для финансирования дефицита бюджета городского округа, в том числе на реализацию инфраструктурных проектов, проектов по реконструкции, модернизации, капитальному ремонту объектов жилищно-коммунального комплекса и капитальному ремонту автомобильных дорог общего пользования местного значения, для погашения действующих долговых обязательств бюджета городского округа.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20. Установить, что в соответствии со </w:t>
      </w:r>
      <w:hyperlink r:id="rId31">
        <w:r>
          <w:rPr>
            <w:color w:val="0000FF"/>
          </w:rPr>
          <w:t>статьями 78</w:t>
        </w:r>
      </w:hyperlink>
      <w:r>
        <w:t xml:space="preserve">, </w:t>
      </w:r>
      <w:hyperlink r:id="rId32">
        <w:r>
          <w:rPr>
            <w:color w:val="0000FF"/>
          </w:rPr>
          <w:t>78.4</w:t>
        </w:r>
      </w:hyperlink>
      <w:r>
        <w:t xml:space="preserve"> Бюджетного кодекса Российской Федерации в бюджете городского округа на 2024 год и плановый период 2025 и 2026 годов предусмотрены субсидии: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</w:t>
      </w:r>
      <w:r>
        <w:lastRenderedPageBreak/>
        <w:t xml:space="preserve">работ, услуг, в </w:t>
      </w:r>
      <w:hyperlink w:anchor="P25179">
        <w:r>
          <w:rPr>
            <w:color w:val="0000FF"/>
          </w:rPr>
          <w:t>случаях</w:t>
        </w:r>
      </w:hyperlink>
      <w:r>
        <w:t>, установленных приложением 15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Порядок предоставления субсидий, предусмотренных </w:t>
      </w:r>
      <w:hyperlink w:anchor="P25179">
        <w:r>
          <w:rPr>
            <w:color w:val="0000FF"/>
          </w:rPr>
          <w:t>приложением 15</w:t>
        </w:r>
      </w:hyperlink>
      <w:r>
        <w:t xml:space="preserve"> к настоящему решению, за исключением субсидий, предоставляемых за счет средств, поступивших из других бюджетов бюджетной системы Российской Федерации в соответствии с решениями органов государственной власти Российской Федерации и органов государственной власти Ханты-Мансийского автономного округа - Югры (с учетом обеспечения доли </w:t>
      </w:r>
      <w:proofErr w:type="spellStart"/>
      <w:r>
        <w:t>софинансирования</w:t>
      </w:r>
      <w:proofErr w:type="spellEnd"/>
      <w:r>
        <w:t xml:space="preserve"> расходов),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юридическим лицам (за исключением муниципальных учреждений), индивидуальным предпринимателям, физическим лицам в виде грантов, предоставляемых на конкурсной основе.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41">
        <w:r>
          <w:rPr>
            <w:color w:val="0000FF"/>
          </w:rPr>
          <w:t>приложений 3</w:t>
        </w:r>
      </w:hyperlink>
      <w:r>
        <w:t xml:space="preserve">, </w:t>
      </w:r>
      <w:hyperlink w:anchor="P8065">
        <w:r>
          <w:rPr>
            <w:color w:val="0000FF"/>
          </w:rPr>
          <w:t>5</w:t>
        </w:r>
      </w:hyperlink>
      <w:r>
        <w:t xml:space="preserve">, </w:t>
      </w:r>
      <w:hyperlink w:anchor="P17709">
        <w:r>
          <w:rPr>
            <w:color w:val="0000FF"/>
          </w:rPr>
          <w:t>9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21. Установить, что в соответствии со </w:t>
      </w:r>
      <w:hyperlink r:id="rId33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субсидии негосударственным социально ориентированным некоммерческим организациям (за исключением субсидий муниципальным учреждениям) предоставляются в целях финансового обеспечения (возмещения затрат) оказания общественно полезных услуг, в </w:t>
      </w:r>
      <w:hyperlink w:anchor="P25241">
        <w:r>
          <w:rPr>
            <w:color w:val="0000FF"/>
          </w:rPr>
          <w:t>случаях</w:t>
        </w:r>
      </w:hyperlink>
      <w:r>
        <w:t>, установленных приложением 16 к настоящему решению.</w:t>
      </w:r>
    </w:p>
    <w:p w:rsidR="00062E9A" w:rsidRDefault="00062E9A">
      <w:pPr>
        <w:pStyle w:val="ConsPlusNormal"/>
        <w:jc w:val="both"/>
      </w:pPr>
      <w:r>
        <w:t xml:space="preserve">(в ред. </w:t>
      </w:r>
      <w:hyperlink r:id="rId34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41">
        <w:r>
          <w:rPr>
            <w:color w:val="0000FF"/>
          </w:rPr>
          <w:t>приложений 3</w:t>
        </w:r>
      </w:hyperlink>
      <w:r>
        <w:t xml:space="preserve">, </w:t>
      </w:r>
      <w:hyperlink w:anchor="P8065">
        <w:r>
          <w:rPr>
            <w:color w:val="0000FF"/>
          </w:rPr>
          <w:t>5</w:t>
        </w:r>
      </w:hyperlink>
      <w:r>
        <w:t xml:space="preserve">, </w:t>
      </w:r>
      <w:hyperlink w:anchor="P17709">
        <w:r>
          <w:rPr>
            <w:color w:val="0000FF"/>
          </w:rPr>
          <w:t>9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22. Установить, что в соответствии со </w:t>
      </w:r>
      <w:hyperlink r:id="rId35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Федерации, Федеральным </w:t>
      </w:r>
      <w:hyperlink r:id="rId36">
        <w:r>
          <w:rPr>
            <w:color w:val="0000FF"/>
          </w:rPr>
          <w:t>законом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сфере", а также иным требованиям, установленным Правительством Российской Федерации в бюджете городского округа предусмотрена субсидия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в городе Мегионе.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610 "Субсидии бюджетным </w:t>
      </w:r>
      <w:r>
        <w:lastRenderedPageBreak/>
        <w:t xml:space="preserve">учреждениям", 620 "Субсидии автономным учреждениям" в составе </w:t>
      </w:r>
      <w:hyperlink w:anchor="P1141">
        <w:r>
          <w:rPr>
            <w:color w:val="0000FF"/>
          </w:rPr>
          <w:t>приложений 3</w:t>
        </w:r>
      </w:hyperlink>
      <w:r>
        <w:t xml:space="preserve">, </w:t>
      </w:r>
      <w:hyperlink w:anchor="P8065">
        <w:r>
          <w:rPr>
            <w:color w:val="0000FF"/>
          </w:rPr>
          <w:t>5</w:t>
        </w:r>
      </w:hyperlink>
      <w:r>
        <w:t xml:space="preserve">, </w:t>
      </w:r>
      <w:hyperlink w:anchor="P17709">
        <w:r>
          <w:rPr>
            <w:color w:val="0000FF"/>
          </w:rPr>
          <w:t>9</w:t>
        </w:r>
      </w:hyperlink>
      <w:r>
        <w:t xml:space="preserve"> к настоящему решению.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23. Установить, что в 2024 году департамент финансов администрации города Мегиона осуществляет казначейское сопровождение средств, указанных в настоящем пункте, предоставляемых из бюджета городского округа.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Казначейскому сопровождению подлежат: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1) авансовые платежи по муниципальным контрактам о поставке товаров, выполнении работ, оказании услуг, заключаемым на сумму более 50,0 млн. рублей, источником финансового обеспечения исполнения которых являются средства, предоставляемые из бюджета городского округа;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авансовые платежи по контрактам (договорам) о поставке товаров, выполнении работ, оказании услуг, заключаемым на сумму более 50,0 млн рублей бюджетными или автономными учреждениями городского округа, лицевые счета которым открыты в департаменте финансов администрации города Мегиона, в соответствии с законодательством Российской Федерации.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24. Органы местного самоуправления не вправе принимать решения, приводящие к увеличению в 2024 году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ими), а также работников муниципальных учреждений городского округа, 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 муниципальной собственности.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25. Установить приоритетные направления расходов средств местного бюджета городского округа в случае невыполнения доходной части бюджета и недостатка средств на счете бюджета городского округа в 2024 году: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1) оплата труда и начисления на выплаты по оплате труда; выплаты социального характера;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оплата коммунальных услуг, услуг по содержанию имущества;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3) публичные нормативные обязательства.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Финансирование иных расходов производится пропорционально поступающим в бюджет городского округа доходам.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26. Доходы, поступающие в 2024 году сверх сумм, утвержденных настоящим решением, в первоочередном порядке будут направлены на финансирование приоритетных направлений расходов, обеспечивающих повышение уровня и качества жизни населения города, доступности муниципальных услуг и функций.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27. Установить, что муниципальные правовые акты муниципального образования, влекущие дополнительные расходы за счет средств бюджета городского округа,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городского округа и (или) при сокращении расходов по конкретным статьям бюджета городского округа после внесения соответствующих изменений в настоящее решение.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lastRenderedPageBreak/>
        <w:t>28. Установить, что остатки средств местного бюджета городского округа на 01.01.2024 направляются в 2024 году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2023 финансовом году, в объеме, не превышающем сумму остатка не использованных бюджетных ассигнований 2023 года.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29. Руководитель финансового органа в соответствии с </w:t>
      </w:r>
      <w:hyperlink r:id="rId37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38">
        <w:r>
          <w:rPr>
            <w:color w:val="0000FF"/>
          </w:rPr>
          <w:t>пунктом 11 раздела 4</w:t>
        </w:r>
      </w:hyperlink>
      <w:r>
        <w:t xml:space="preserve"> Положения об отдельных вопросах организации и осуществления бюджетного процесса в городском округе Мегион Ханты-Мансийского автономного округа - Югры, утвержденного решением Думы города Мегиона от 30.11.2012 N 306 (с изменениями) вправе вносить в 2024 году изменения в показатели сводной бюджетной росписи бюджета городского округа 2024 - 2026 годов без внесения изменений в настоящее решение по следующим дополнительным основаниям: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 xml:space="preserve">1) перераспределение бюджетных ассигнований между главными распорядителями средств бюджета городского округа по соответствующим кодам классификации расходов бюджета в целях обеспечения условий (в том числе, обеспечение доли </w:t>
      </w:r>
      <w:proofErr w:type="spellStart"/>
      <w:r>
        <w:t>софинансирования</w:t>
      </w:r>
      <w:proofErr w:type="spellEnd"/>
      <w:r>
        <w:t>) предоставления межбюджетных трансфертов, имеющих целевое назначение;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городского округа по соответствующим кодам классификации расходов бюджета на проведение отдельных мероприятий в рамках муниципальных программ и непрограммных направлений деятельности города Мегиона;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главным распорядителям бюджетных средств на предоставление муниципальным бюджетным и автономным учреждениям городского округа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муниципальными программами, подпрограммами (мероприятиями) муниципальных программ городского округа, а также между их исполнителями на функционирование органов администрации города, связанное с созданием, ликвидацией и реорганизацией (передачей полномочий), изменением типа муниципальных учреждений;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5)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Ханты-Мансийского автономного округа - Югры, Контрольно-счетной палаты города Мегиона;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6) изменение бюджетной классификации расходов бюджета городского округа без изменения целевого направления средств;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7) уточнение разделов, подразделов, целевых статей и видов расходов главного распорядителя средств бюджета городского округа в случаях, необходимых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городского округа, в текущем финансовом году и в плановом периоде;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lastRenderedPageBreak/>
        <w:t xml:space="preserve">8) распределение бюджетных ассигнований, зарезервированных в составе утвержденных </w:t>
      </w:r>
      <w:hyperlink w:anchor="P70">
        <w:r>
          <w:rPr>
            <w:color w:val="0000FF"/>
          </w:rPr>
          <w:t>пунктом 18</w:t>
        </w:r>
      </w:hyperlink>
      <w:r>
        <w:t xml:space="preserve"> настоящего решения по муниципальным программам и непрограммным направлениям деятельности бюджета городского округа;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9)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10) инициативные платежи, зачисляемые в бюджет городского округа, фактически полученные при исполнении бюджета сверх утвержденных решением о бюджете доходов, направляются на увеличение расходов бюджета, соответствующих целям предоставления указанных средств.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30. Администрация города Мегиона вправе заключать соглашения о реструктуризации долговых обязательств (задолженности) юридических лиц перед бюджетом городского округа в соответствии с федеральным законодательством Российской Федерации, законодательством Ханты-Мансийского автономного округа - Югры и муниципальными правовыми актами городского округа.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31. Разрешить администрации города Мегиона осуществлять списание признанной безнадежной к взысканию задолженности перед бюджетом городского округа: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1) по средствам, выданным на возвратной основе, процентам за пользование ими, пеням и штрафам;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2) по иным обязательствам юридического лица, индивидуального предпринимателя без образования юридического лица и физического лица;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городского округа.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Списание задолженности осуществляется в соответствии с порядком, установленным муниципальным правовым актом администрации города Мегиона.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32. Установить, что заключение бюджетополучателями договоров, муниципальных контрактов, принятие иных бюджетных обязательств, исполнение которых осуществляется за счет средств бюджета городского округа, производится в пределах утвержденных лимитов бюджетных обязательств в соответствии с ведомственной структурой расходов, функциональной и экономической классификацией расходов бюджета городского округа.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Принятие бюджетополучателями бюджетных обязательств, сверх утвержденных решением Думы города Мегиона "О бюджете городского округа Мегион Ханты-Мансийского автономного округа - Югры на 2024 год и плановый период 2025 и 2026 годов" не допускается.</w:t>
      </w:r>
    </w:p>
    <w:p w:rsidR="00062E9A" w:rsidRDefault="00062E9A">
      <w:pPr>
        <w:pStyle w:val="ConsPlusNormal"/>
        <w:spacing w:before="240"/>
        <w:ind w:firstLine="540"/>
        <w:jc w:val="both"/>
      </w:pPr>
      <w:r>
        <w:t>33. Настоящее решение вступает в силу после его официального опубликования и применяется с 1 января 2024 года.</w:t>
      </w:r>
    </w:p>
    <w:p w:rsidR="00062E9A" w:rsidRDefault="00062E9A">
      <w:pPr>
        <w:pStyle w:val="ConsPlusNormal"/>
        <w:ind w:firstLine="540"/>
        <w:jc w:val="both"/>
      </w:pPr>
    </w:p>
    <w:p w:rsidR="00062E9A" w:rsidRDefault="00062E9A">
      <w:pPr>
        <w:pStyle w:val="ConsPlusNormal"/>
        <w:jc w:val="right"/>
      </w:pPr>
      <w:r>
        <w:t>Председатель Думы города Мегиона</w:t>
      </w:r>
    </w:p>
    <w:p w:rsidR="00062E9A" w:rsidRDefault="00062E9A">
      <w:pPr>
        <w:pStyle w:val="ConsPlusNormal"/>
        <w:jc w:val="right"/>
      </w:pPr>
      <w:r>
        <w:t>А.А.АЛТАПОВ</w:t>
      </w:r>
    </w:p>
    <w:p w:rsidR="00062E9A" w:rsidRDefault="00062E9A">
      <w:pPr>
        <w:pStyle w:val="ConsPlusNormal"/>
      </w:pPr>
      <w:r>
        <w:t>г. Мегион</w:t>
      </w:r>
    </w:p>
    <w:p w:rsidR="00062E9A" w:rsidRDefault="00062E9A">
      <w:pPr>
        <w:pStyle w:val="ConsPlusNormal"/>
        <w:spacing w:before="240"/>
      </w:pPr>
      <w:r>
        <w:t>15.12.2023</w:t>
      </w:r>
    </w:p>
    <w:p w:rsidR="00062E9A" w:rsidRDefault="00062E9A">
      <w:pPr>
        <w:pStyle w:val="ConsPlusNormal"/>
      </w:pPr>
    </w:p>
    <w:p w:rsidR="00062E9A" w:rsidRDefault="00062E9A">
      <w:pPr>
        <w:pStyle w:val="ConsPlusNormal"/>
        <w:jc w:val="right"/>
      </w:pPr>
      <w:r>
        <w:t>Исполняющий обязанности главы</w:t>
      </w:r>
    </w:p>
    <w:p w:rsidR="00062E9A" w:rsidRDefault="00062E9A">
      <w:pPr>
        <w:pStyle w:val="ConsPlusNormal"/>
        <w:jc w:val="right"/>
      </w:pPr>
      <w:r>
        <w:lastRenderedPageBreak/>
        <w:t>города Мегиона</w:t>
      </w:r>
    </w:p>
    <w:p w:rsidR="00062E9A" w:rsidRDefault="00062E9A">
      <w:pPr>
        <w:pStyle w:val="ConsPlusNormal"/>
        <w:jc w:val="right"/>
      </w:pPr>
      <w:r>
        <w:t>И.Г.АЛЧИНОВ</w:t>
      </w:r>
    </w:p>
    <w:p w:rsidR="00062E9A" w:rsidRDefault="00062E9A">
      <w:pPr>
        <w:pStyle w:val="ConsPlusNormal"/>
      </w:pPr>
      <w:r>
        <w:t>г. Мегион</w:t>
      </w:r>
    </w:p>
    <w:p w:rsidR="00062E9A" w:rsidRDefault="00062E9A">
      <w:pPr>
        <w:pStyle w:val="ConsPlusNormal"/>
        <w:spacing w:before="240"/>
      </w:pPr>
      <w:r>
        <w:t>15.12.2023</w:t>
      </w:r>
    </w:p>
    <w:p w:rsidR="00062E9A" w:rsidRDefault="00062E9A">
      <w:pPr>
        <w:pStyle w:val="ConsPlusNormal"/>
      </w:pPr>
    </w:p>
    <w:p w:rsidR="00062E9A" w:rsidRDefault="00062E9A">
      <w:pPr>
        <w:pStyle w:val="ConsPlusNormal"/>
      </w:pPr>
    </w:p>
    <w:p w:rsidR="00062E9A" w:rsidRDefault="00062E9A">
      <w:pPr>
        <w:pStyle w:val="ConsPlusNormal"/>
      </w:pPr>
    </w:p>
    <w:p w:rsidR="00062E9A" w:rsidRDefault="00062E9A">
      <w:pPr>
        <w:pStyle w:val="ConsPlusNormal"/>
      </w:pPr>
    </w:p>
    <w:p w:rsidR="00062E9A" w:rsidRDefault="00062E9A">
      <w:pPr>
        <w:pStyle w:val="ConsPlusNormal"/>
      </w:pPr>
    </w:p>
    <w:sectPr w:rsidR="00062E9A" w:rsidSect="00C00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A"/>
    <w:rsid w:val="00007339"/>
    <w:rsid w:val="00033649"/>
    <w:rsid w:val="00062E9A"/>
    <w:rsid w:val="001B20CD"/>
    <w:rsid w:val="002C6B8B"/>
    <w:rsid w:val="00412E62"/>
    <w:rsid w:val="006B18C2"/>
    <w:rsid w:val="006C6087"/>
    <w:rsid w:val="00827C04"/>
    <w:rsid w:val="00A66B00"/>
    <w:rsid w:val="00AD31A7"/>
    <w:rsid w:val="00C0051A"/>
    <w:rsid w:val="00C96C7A"/>
    <w:rsid w:val="00CB289F"/>
    <w:rsid w:val="00D22903"/>
    <w:rsid w:val="00D453E2"/>
    <w:rsid w:val="00DB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59EEA"/>
  <w15:chartTrackingRefBased/>
  <w15:docId w15:val="{ABEB2D3C-1B02-4217-802F-A89E47B0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B8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ConsPlusTitlePage">
    <w:name w:val="ConsPlusTitlePage"/>
    <w:rsid w:val="00062E9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062E9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062E9A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9774&amp;dst=91" TargetMode="External"/><Relationship Id="rId13" Type="http://schemas.openxmlformats.org/officeDocument/2006/relationships/hyperlink" Target="https://login.consultant.ru/link/?req=doc&amp;base=RLAW926&amp;n=310907&amp;dst=100009" TargetMode="External"/><Relationship Id="rId18" Type="http://schemas.openxmlformats.org/officeDocument/2006/relationships/hyperlink" Target="https://login.consultant.ru/link/?req=doc&amp;base=RLAW926&amp;n=309560&amp;dst=100021" TargetMode="External"/><Relationship Id="rId26" Type="http://schemas.openxmlformats.org/officeDocument/2006/relationships/hyperlink" Target="https://login.consultant.ru/link/?req=doc&amp;base=LAW&amp;n=471223&amp;dst=1084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09560&amp;dst=102588" TargetMode="External"/><Relationship Id="rId34" Type="http://schemas.openxmlformats.org/officeDocument/2006/relationships/hyperlink" Target="https://login.consultant.ru/link/?req=doc&amp;base=RLAW926&amp;n=301183&amp;dst=100032" TargetMode="External"/><Relationship Id="rId7" Type="http://schemas.openxmlformats.org/officeDocument/2006/relationships/hyperlink" Target="https://login.consultant.ru/link/?req=doc&amp;base=RLAW926&amp;n=310907&amp;dst=100005" TargetMode="External"/><Relationship Id="rId12" Type="http://schemas.openxmlformats.org/officeDocument/2006/relationships/hyperlink" Target="https://login.consultant.ru/link/?req=doc&amp;base=RLAW926&amp;n=310907&amp;dst=100007" TargetMode="External"/><Relationship Id="rId17" Type="http://schemas.openxmlformats.org/officeDocument/2006/relationships/hyperlink" Target="https://login.consultant.ru/link/?req=doc&amp;base=LAW&amp;n=469774&amp;dst=103292" TargetMode="External"/><Relationship Id="rId25" Type="http://schemas.openxmlformats.org/officeDocument/2006/relationships/hyperlink" Target="https://login.consultant.ru/link/?req=doc&amp;base=RLAW926&amp;n=310907&amp;dst=100024" TargetMode="External"/><Relationship Id="rId33" Type="http://schemas.openxmlformats.org/officeDocument/2006/relationships/hyperlink" Target="https://login.consultant.ru/link/?req=doc&amp;base=LAW&amp;n=469774&amp;dst=103431" TargetMode="External"/><Relationship Id="rId38" Type="http://schemas.openxmlformats.org/officeDocument/2006/relationships/hyperlink" Target="https://login.consultant.ru/link/?req=doc&amp;base=RLAW926&amp;n=248388&amp;dst=10026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01183&amp;dst=100015" TargetMode="External"/><Relationship Id="rId20" Type="http://schemas.openxmlformats.org/officeDocument/2006/relationships/hyperlink" Target="https://login.consultant.ru/link/?req=doc&amp;base=RLAW926&amp;n=309560&amp;dst=100022" TargetMode="External"/><Relationship Id="rId29" Type="http://schemas.openxmlformats.org/officeDocument/2006/relationships/hyperlink" Target="https://login.consultant.ru/link/?req=doc&amp;base=RLAW926&amp;n=301183&amp;dst=10003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5789&amp;dst=100005" TargetMode="External"/><Relationship Id="rId11" Type="http://schemas.openxmlformats.org/officeDocument/2006/relationships/hyperlink" Target="https://login.consultant.ru/link/?req=doc&amp;base=RLAW926&amp;n=295403&amp;dst=100593" TargetMode="External"/><Relationship Id="rId24" Type="http://schemas.openxmlformats.org/officeDocument/2006/relationships/hyperlink" Target="https://login.consultant.ru/link/?req=doc&amp;base=RLAW926&amp;n=305789&amp;dst=100021" TargetMode="External"/><Relationship Id="rId32" Type="http://schemas.openxmlformats.org/officeDocument/2006/relationships/hyperlink" Target="https://login.consultant.ru/link/?req=doc&amp;base=LAW&amp;n=469774&amp;dst=6236" TargetMode="External"/><Relationship Id="rId37" Type="http://schemas.openxmlformats.org/officeDocument/2006/relationships/hyperlink" Target="https://login.consultant.ru/link/?req=doc&amp;base=LAW&amp;n=469774&amp;dst=4329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01183&amp;dst=100005" TargetMode="External"/><Relationship Id="rId15" Type="http://schemas.openxmlformats.org/officeDocument/2006/relationships/hyperlink" Target="https://login.consultant.ru/link/?req=doc&amp;base=RLAW926&amp;n=301183&amp;dst=100013" TargetMode="External"/><Relationship Id="rId23" Type="http://schemas.openxmlformats.org/officeDocument/2006/relationships/hyperlink" Target="https://login.consultant.ru/link/?req=doc&amp;base=RLAW926&amp;n=310907&amp;dst=100023" TargetMode="External"/><Relationship Id="rId28" Type="http://schemas.openxmlformats.org/officeDocument/2006/relationships/hyperlink" Target="https://login.consultant.ru/link/?req=doc&amp;base=LAW&amp;n=471223&amp;dst=1087" TargetMode="External"/><Relationship Id="rId36" Type="http://schemas.openxmlformats.org/officeDocument/2006/relationships/hyperlink" Target="https://login.consultant.ru/link/?req=doc&amp;base=LAW&amp;n=479336" TargetMode="External"/><Relationship Id="rId10" Type="http://schemas.openxmlformats.org/officeDocument/2006/relationships/hyperlink" Target="https://login.consultant.ru/link/?req=doc&amp;base=RLAW926&amp;n=295403&amp;dst=100997" TargetMode="External"/><Relationship Id="rId19" Type="http://schemas.openxmlformats.org/officeDocument/2006/relationships/hyperlink" Target="https://login.consultant.ru/link/?req=doc&amp;base=RLAW926&amp;n=309560&amp;dst=102226" TargetMode="External"/><Relationship Id="rId31" Type="http://schemas.openxmlformats.org/officeDocument/2006/relationships/hyperlink" Target="https://login.consultant.ru/link/?req=doc&amp;base=LAW&amp;n=469774&amp;dst=10339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95403&amp;dst=100242" TargetMode="External"/><Relationship Id="rId14" Type="http://schemas.openxmlformats.org/officeDocument/2006/relationships/hyperlink" Target="https://login.consultant.ru/link/?req=doc&amp;base=RLAW926&amp;n=310907&amp;dst=100011" TargetMode="External"/><Relationship Id="rId22" Type="http://schemas.openxmlformats.org/officeDocument/2006/relationships/hyperlink" Target="https://login.consultant.ru/link/?req=doc&amp;base=RLAW926&amp;n=309560&amp;dst=102803" TargetMode="External"/><Relationship Id="rId27" Type="http://schemas.openxmlformats.org/officeDocument/2006/relationships/hyperlink" Target="https://login.consultant.ru/link/?req=doc&amp;base=LAW&amp;n=471223&amp;dst=1085" TargetMode="External"/><Relationship Id="rId30" Type="http://schemas.openxmlformats.org/officeDocument/2006/relationships/hyperlink" Target="https://login.consultant.ru/link/?req=doc&amp;base=RLAW926&amp;n=310907&amp;dst=100026" TargetMode="External"/><Relationship Id="rId35" Type="http://schemas.openxmlformats.org/officeDocument/2006/relationships/hyperlink" Target="https://login.consultant.ru/link/?req=doc&amp;base=LAW&amp;n=469774&amp;dst=62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3839</Words>
  <Characters>21887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2024-11-02T07:04:00Z</dcterms:created>
  <dcterms:modified xsi:type="dcterms:W3CDTF">2024-11-02T08:46:00Z</dcterms:modified>
</cp:coreProperties>
</file>