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67C" w:rsidRDefault="00A4667C">
      <w:pPr>
        <w:pStyle w:val="af5"/>
        <w:shd w:val="clear" w:color="auto" w:fill="FFFFFF"/>
        <w:spacing w:before="0" w:beforeAutospacing="0" w:after="0" w:afterAutospacing="0"/>
        <w:jc w:val="both"/>
      </w:pPr>
    </w:p>
    <w:p w:rsidR="00A4667C" w:rsidRDefault="00A4667C" w:rsidP="003D3CC5">
      <w:pPr>
        <w:widowControl/>
        <w:ind w:firstLine="0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Times New Roman"/>
        </w:rPr>
        <w:t>Паспорт</w:t>
      </w:r>
    </w:p>
    <w:p w:rsidR="007F49C3" w:rsidRPr="007F49C3" w:rsidRDefault="007F49C3" w:rsidP="007F49C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Times New Roman"/>
        </w:rPr>
        <w:t>муниципальной программы</w:t>
      </w:r>
    </w:p>
    <w:p w:rsidR="007F49C3" w:rsidRPr="007F49C3" w:rsidRDefault="007F49C3" w:rsidP="007F49C3">
      <w:pPr>
        <w:widowControl/>
        <w:ind w:firstLine="0"/>
        <w:jc w:val="center"/>
        <w:rPr>
          <w:rFonts w:ascii="Times New Roman" w:eastAsia="Times New Roman" w:hAnsi="Times New Roman" w:cs="Calibri"/>
          <w:szCs w:val="22"/>
        </w:rPr>
      </w:pPr>
      <w:r w:rsidRPr="007F49C3">
        <w:rPr>
          <w:rFonts w:ascii="Times New Roman" w:eastAsia="Times New Roman" w:hAnsi="Times New Roman" w:cs="Times New Roman"/>
        </w:rPr>
        <w:t>«</w:t>
      </w:r>
      <w:r w:rsidRPr="007F49C3">
        <w:rPr>
          <w:rFonts w:ascii="Times New Roman" w:eastAsia="Times New Roman" w:hAnsi="Times New Roman" w:cs="Calibri"/>
          <w:szCs w:val="22"/>
        </w:rPr>
        <w:t xml:space="preserve">Развитие физической культуры и спорта, укрепление общественного здоровья в городе </w:t>
      </w:r>
      <w:proofErr w:type="spellStart"/>
      <w:r w:rsidRPr="007F49C3">
        <w:rPr>
          <w:rFonts w:ascii="Times New Roman" w:eastAsia="Times New Roman" w:hAnsi="Times New Roman" w:cs="Calibri"/>
          <w:szCs w:val="22"/>
        </w:rPr>
        <w:t>Мегионе</w:t>
      </w:r>
      <w:proofErr w:type="spellEnd"/>
      <w:r w:rsidRPr="007F49C3">
        <w:rPr>
          <w:rFonts w:ascii="Times New Roman" w:eastAsia="Times New Roman" w:hAnsi="Times New Roman" w:cs="Calibri"/>
          <w:szCs w:val="22"/>
        </w:rPr>
        <w:t>»</w:t>
      </w:r>
    </w:p>
    <w:p w:rsidR="007F49C3" w:rsidRPr="007F49C3" w:rsidRDefault="007F49C3" w:rsidP="007F49C3">
      <w:pPr>
        <w:widowControl/>
        <w:ind w:firstLine="0"/>
        <w:jc w:val="center"/>
        <w:rPr>
          <w:rFonts w:ascii="Times New Roman" w:eastAsia="Times New Roman" w:hAnsi="Times New Roman" w:cs="Calibri"/>
          <w:szCs w:val="22"/>
        </w:rPr>
      </w:pPr>
    </w:p>
    <w:p w:rsidR="007F49C3" w:rsidRPr="007F49C3" w:rsidRDefault="007F49C3" w:rsidP="007F49C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Calibri"/>
          <w:szCs w:val="22"/>
          <w:lang w:val="en-US"/>
        </w:rPr>
        <w:t>1</w:t>
      </w:r>
      <w:r w:rsidRPr="007F49C3">
        <w:rPr>
          <w:rFonts w:ascii="Times New Roman" w:eastAsia="Times New Roman" w:hAnsi="Times New Roman" w:cs="Calibri"/>
          <w:szCs w:val="22"/>
        </w:rPr>
        <w:t>.Основные положения</w:t>
      </w:r>
    </w:p>
    <w:p w:rsidR="007F49C3" w:rsidRPr="007F49C3" w:rsidRDefault="007F49C3" w:rsidP="007F49C3">
      <w:pPr>
        <w:widowControl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26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6241"/>
      </w:tblGrid>
      <w:tr w:rsidR="007F49C3" w:rsidRPr="007F49C3" w:rsidTr="007F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Куратор муниципальной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Заместитель главы города, курирующий сферу социальной политики</w:t>
            </w:r>
          </w:p>
        </w:tc>
      </w:tr>
      <w:tr w:rsidR="007F49C3" w:rsidRPr="007F49C3" w:rsidTr="007F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 CYR" w:eastAsia="Calibri" w:hAnsi="Times New Roman CYR" w:cs="Times New Roman CYR"/>
              </w:rPr>
              <w:t xml:space="preserve">Управление физической культуры и спорта </w:t>
            </w:r>
          </w:p>
        </w:tc>
      </w:tr>
      <w:tr w:rsidR="007F49C3" w:rsidRPr="007F49C3" w:rsidTr="007F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 xml:space="preserve">2025-2030 </w:t>
            </w:r>
          </w:p>
        </w:tc>
      </w:tr>
      <w:tr w:rsidR="007F49C3" w:rsidRPr="007F49C3" w:rsidTr="007F49C3"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Цели муниципальной программы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Calibri"/>
              </w:rPr>
            </w:pPr>
            <w:r w:rsidRPr="007F49C3">
              <w:rPr>
                <w:rFonts w:ascii="Times New Roman CYR" w:eastAsia="Calibri" w:hAnsi="Times New Roman CYR" w:cs="Times New Roman CYR"/>
              </w:rPr>
              <w:t xml:space="preserve">Цель </w:t>
            </w:r>
            <w:proofErr w:type="gramStart"/>
            <w:r w:rsidRPr="007F49C3">
              <w:rPr>
                <w:rFonts w:ascii="Times New Roman CYR" w:eastAsia="Calibri" w:hAnsi="Times New Roman CYR" w:cs="Times New Roman CYR"/>
              </w:rPr>
              <w:t>1.Создание</w:t>
            </w:r>
            <w:proofErr w:type="gramEnd"/>
            <w:r w:rsidRPr="007F49C3">
              <w:rPr>
                <w:rFonts w:ascii="Times New Roman CYR" w:eastAsia="Calibri" w:hAnsi="Times New Roman CYR" w:cs="Times New Roman CYR"/>
              </w:rPr>
              <w:t xml:space="preserve"> условий населению городского округа для регулярных занятий физической культурой и спортом,</w:t>
            </w:r>
            <w:r w:rsidRPr="007F49C3">
              <w:rPr>
                <w:rFonts w:ascii="Times New Roman CYR" w:eastAsia="Calibri" w:hAnsi="Times New Roman CYR" w:cs="Times New Roman CYR"/>
                <w:highlight w:val="yellow"/>
              </w:rPr>
              <w:t xml:space="preserve"> </w:t>
            </w:r>
            <w:r w:rsidRPr="007F49C3">
              <w:rPr>
                <w:rFonts w:ascii="Times New Roman CYR" w:eastAsia="Calibri" w:hAnsi="Times New Roman CYR" w:cs="Times New Roman CYR"/>
              </w:rPr>
              <w:t xml:space="preserve">развитие </w:t>
            </w:r>
            <w:r w:rsidRPr="007F49C3">
              <w:rPr>
                <w:rFonts w:ascii="Times New Roman" w:eastAsia="Calibri" w:hAnsi="Times New Roman" w:cs="Times New Roman"/>
              </w:rPr>
              <w:t>спортивной инфраструктуры.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7F49C3" w:rsidRPr="007F49C3" w:rsidTr="007F49C3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Calibri"/>
              </w:rPr>
            </w:pPr>
            <w:r w:rsidRPr="007F49C3">
              <w:rPr>
                <w:rFonts w:ascii="Times New Roman" w:eastAsia="Calibri" w:hAnsi="Times New Roman" w:cs="Times New Roman"/>
              </w:rPr>
              <w:t xml:space="preserve">Цель </w:t>
            </w:r>
            <w:proofErr w:type="gramStart"/>
            <w:r w:rsidRPr="007F49C3">
              <w:rPr>
                <w:rFonts w:ascii="Times New Roman" w:eastAsia="Calibri" w:hAnsi="Times New Roman" w:cs="Times New Roman"/>
              </w:rPr>
              <w:t>2.Обеспечение</w:t>
            </w:r>
            <w:proofErr w:type="gramEnd"/>
            <w:r w:rsidRPr="007F49C3">
              <w:rPr>
                <w:rFonts w:ascii="Times New Roman" w:eastAsia="Calibri" w:hAnsi="Times New Roman" w:cs="Times New Roman"/>
              </w:rPr>
              <w:t xml:space="preserve"> подготовки спортивного резерва. 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7F49C3" w:rsidRPr="007F49C3" w:rsidTr="007F49C3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 CYR" w:eastAsia="Calibri" w:hAnsi="Times New Roman CYR" w:cs="Times New Roman CYR"/>
              </w:rPr>
              <w:t>Цель 3.</w:t>
            </w:r>
            <w:r w:rsidRPr="007F49C3">
              <w:rPr>
                <w:rFonts w:ascii="Times New Roman" w:eastAsia="Calibri" w:hAnsi="Times New Roman" w:cs="Times New Roman"/>
              </w:rPr>
              <w:t>Повышение качества оказания услуг в сфере физической культуры и спорта.</w:t>
            </w:r>
          </w:p>
        </w:tc>
      </w:tr>
      <w:tr w:rsidR="007F49C3" w:rsidRPr="007F49C3" w:rsidTr="007F49C3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 CYR" w:eastAsia="Calibri" w:hAnsi="Times New Roman CYR" w:cs="Times New Roman CYR"/>
              </w:rPr>
            </w:pPr>
            <w:r w:rsidRPr="007F49C3">
              <w:rPr>
                <w:rFonts w:ascii="Times New Roman" w:eastAsia="Calibri" w:hAnsi="Times New Roman" w:cs="Times New Roman"/>
              </w:rPr>
              <w:t>Цель 4.Улучшение здоровья населения, формирование культуры общественного здоровья, ответственного отношения к здоровью.</w:t>
            </w:r>
          </w:p>
        </w:tc>
      </w:tr>
      <w:tr w:rsidR="007F49C3" w:rsidRPr="007F49C3" w:rsidTr="007F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highlight w:val="white"/>
                <w:lang w:val="en-US"/>
              </w:rPr>
              <w:t>2 149 649</w:t>
            </w:r>
            <w:r w:rsidRPr="007F49C3">
              <w:rPr>
                <w:rFonts w:ascii="Times New Roman" w:eastAsia="Calibri" w:hAnsi="Times New Roman" w:cs="Times New Roman"/>
                <w:highlight w:val="white"/>
              </w:rPr>
              <w:t>,</w:t>
            </w:r>
            <w:r w:rsidRPr="007F49C3">
              <w:rPr>
                <w:rFonts w:ascii="Times New Roman" w:eastAsia="Calibri" w:hAnsi="Times New Roman" w:cs="Times New Roman"/>
                <w:highlight w:val="white"/>
                <w:lang w:val="en-US"/>
              </w:rPr>
              <w:t xml:space="preserve"> 3</w:t>
            </w:r>
            <w:r w:rsidRPr="007F49C3">
              <w:rPr>
                <w:rFonts w:ascii="Times New Roman" w:eastAsia="Calibri" w:hAnsi="Times New Roman" w:cs="Times New Roman"/>
                <w:highlight w:val="white"/>
              </w:rPr>
              <w:t xml:space="preserve"> тыс. рублей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</w:p>
        </w:tc>
      </w:tr>
      <w:tr w:rsidR="007F49C3" w:rsidRPr="007F49C3" w:rsidTr="007F49C3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>Связь с национальными целями развития Российской Федерации/государственными программами Ханты-Мансийского округа – Югры</w:t>
            </w:r>
          </w:p>
        </w:tc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Arial" w:hAnsi="Times New Roman" w:cs="Times New Roman"/>
              </w:rPr>
            </w:pPr>
            <w:r w:rsidRPr="007F49C3">
              <w:rPr>
                <w:rFonts w:ascii="Times New Roman" w:eastAsia="Arial" w:hAnsi="Times New Roman" w:cs="Times New Roman"/>
              </w:rPr>
              <w:t xml:space="preserve">1.Государственная программа </w:t>
            </w:r>
            <w:r w:rsidRPr="007F49C3">
              <w:rPr>
                <w:rFonts w:ascii="Times New Roman" w:eastAsia="Calibri" w:hAnsi="Times New Roman" w:cs="Times New Roman"/>
              </w:rPr>
              <w:t>Ханты-Мансийского округа – Югры</w:t>
            </w:r>
            <w:r w:rsidRPr="007F49C3">
              <w:rPr>
                <w:rFonts w:ascii="Times New Roman" w:eastAsia="Arial" w:hAnsi="Times New Roman" w:cs="Times New Roman"/>
              </w:rPr>
              <w:t xml:space="preserve"> «Развитие физической культуры и спорта».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</w:rPr>
              <w:t xml:space="preserve">2.Национальная цель: «Сохранение населения, здоровье и благополучие людей»: 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</w:rPr>
              <w:t>2.1.Показатель</w:t>
            </w:r>
            <w:r w:rsidRPr="007F49C3">
              <w:rPr>
                <w:rFonts w:ascii="Times New Roman" w:eastAsia="Calibri" w:hAnsi="Times New Roman" w:cs="Times New Roman"/>
                <w:color w:val="000000" w:themeColor="text1"/>
                <w:shd w:val="clear" w:color="auto" w:fill="FFFFFF"/>
              </w:rPr>
              <w:t xml:space="preserve"> «Повышение к 2030 году уровня удовлетворенности граждан условиями для занятий физической культурой и спортом»</w:t>
            </w:r>
          </w:p>
        </w:tc>
      </w:tr>
    </w:tbl>
    <w:p w:rsidR="00A4667C" w:rsidRDefault="00A4667C">
      <w:pPr>
        <w:pStyle w:val="af5"/>
        <w:shd w:val="clear" w:color="auto" w:fill="FFFFFF"/>
        <w:spacing w:before="0" w:beforeAutospacing="0" w:after="0" w:afterAutospacing="0"/>
        <w:jc w:val="both"/>
      </w:pPr>
    </w:p>
    <w:p w:rsidR="00A4667C" w:rsidRDefault="00A4667C">
      <w:pPr>
        <w:pStyle w:val="af5"/>
        <w:shd w:val="clear" w:color="auto" w:fill="FFFFFF"/>
        <w:spacing w:before="0" w:beforeAutospacing="0" w:after="0" w:afterAutospacing="0"/>
        <w:jc w:val="both"/>
      </w:pPr>
    </w:p>
    <w:p w:rsidR="00A4667C" w:rsidRDefault="00A4667C">
      <w:pPr>
        <w:ind w:left="11766" w:firstLine="0"/>
        <w:jc w:val="left"/>
        <w:rPr>
          <w:rFonts w:ascii="Times New Roman" w:eastAsia="Times New Roman" w:hAnsi="Times New Roman" w:cs="Times New Roman"/>
        </w:rPr>
        <w:sectPr w:rsidR="00A4667C">
          <w:headerReference w:type="default" r:id="rId8"/>
          <w:pgSz w:w="11905" w:h="16838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Times New Roman"/>
        </w:rPr>
        <w:lastRenderedPageBreak/>
        <w:t>2.Показатели муниципальной программы</w:t>
      </w:r>
    </w:p>
    <w:p w:rsidR="007F49C3" w:rsidRPr="007F49C3" w:rsidRDefault="007F49C3" w:rsidP="007F49C3">
      <w:pPr>
        <w:ind w:right="-284"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19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09"/>
        <w:gridCol w:w="992"/>
        <w:gridCol w:w="709"/>
        <w:gridCol w:w="708"/>
        <w:gridCol w:w="748"/>
        <w:gridCol w:w="705"/>
        <w:gridCol w:w="708"/>
        <w:gridCol w:w="709"/>
        <w:gridCol w:w="709"/>
        <w:gridCol w:w="710"/>
        <w:gridCol w:w="2976"/>
        <w:gridCol w:w="959"/>
        <w:gridCol w:w="1809"/>
      </w:tblGrid>
      <w:tr w:rsidR="007F49C3" w:rsidRPr="007F49C3" w:rsidTr="007F49C3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2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7F49C3" w:rsidRPr="007F49C3" w:rsidTr="007F49C3">
        <w:trPr>
          <w:trHeight w:val="4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2030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7F49C3" w:rsidRPr="007F49C3" w:rsidTr="007F49C3">
        <w:trPr>
          <w:trHeight w:val="320"/>
        </w:trPr>
        <w:tc>
          <w:tcPr>
            <w:tcW w:w="15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1 «Создание условий населению городского округа для регулярных занятий физической культурой и спортом; развитие спортивной инфраструктуры»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Постановление Правительства ХМАО - Югры от 10.11.2023 №564-п (с изменениями)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 государственной программе Ханты-Мансийского автономного округа - Югры «Развитие физической культуры и спорта»;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hyperlink r:id="rId9" w:anchor="/document/74966492/entry/0" w:tooltip="https://mobileonline.garant.ru/#/document/74966492/entry/0" w:history="1">
              <w:r w:rsidRPr="007F49C3">
                <w:rPr>
                  <w:rFonts w:ascii="Times New Roman" w:eastAsia="Calibri" w:hAnsi="Times New Roman" w:cs="Times New Roman"/>
                  <w:color w:val="000000" w:themeColor="text1"/>
                  <w:sz w:val="20"/>
                  <w:szCs w:val="20"/>
                  <w:u w:val="single"/>
                  <w:lang w:eastAsia="en-US"/>
                </w:rPr>
                <w:t>распоряжение</w:t>
              </w:r>
            </w:hyperlink>
            <w:r w:rsidRPr="007F49C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 Правительства </w:t>
            </w:r>
            <w:r w:rsidRPr="007F49C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>Российской Федерации от 24.11. 2020  №3081-р «</w:t>
            </w:r>
            <w:r w:rsidRPr="007F49C3">
              <w:rPr>
                <w:rFonts w:ascii="Times New Roman" w:eastAsia="Calibri" w:hAnsi="Times New Roman" w:cs="Times New Roman"/>
                <w:color w:val="0D0D0D" w:themeColor="text1" w:themeTint="F2"/>
                <w:sz w:val="20"/>
                <w:szCs w:val="20"/>
                <w:lang w:eastAsia="en-US"/>
              </w:rPr>
              <w:t xml:space="preserve">Об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утверждении Стратегии развития физической культуры и спорта в Российской Федерации на период до 2030 года»</w:t>
            </w:r>
          </w:p>
          <w:p w:rsidR="007F49C3" w:rsidRPr="007F49C3" w:rsidRDefault="007F49C3" w:rsidP="007F49C3">
            <w:pPr>
              <w:widowControl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физической 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258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численности данной категории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11.06.2014 №540 «Об утверждении Положения о Всероссийском физкультурно-спортивном комплексе «Готов к труду и обороне» (ГТО)»,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«Создание для всех категорий и групп населения условий для занятия физической культурой и спортом, в том числе повышение уровня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обеспеченности объектами спорта, а также формирование спортивного резерва», проект «ГТО в каждый двор» по итогам стратегической сессии «Югра – 2024»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управление физической культуры и спорта, муниципальные организации в сфере физичес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учреждений воспользовавшихся налоговой льготой 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Решение Думы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 Ханты-Мансийского автономного округа - Югры от 27 сентября 2024 г. N </w:t>
            </w:r>
            <w:r w:rsidRPr="007F49C3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401</w:t>
            </w: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 «О земельном налоге»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физической 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</w:p>
        </w:tc>
      </w:tr>
      <w:tr w:rsidR="007F49C3" w:rsidRPr="007F49C3" w:rsidTr="007F49C3">
        <w:trPr>
          <w:trHeight w:val="320"/>
        </w:trPr>
        <w:tc>
          <w:tcPr>
            <w:tcW w:w="15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 2 «Обеспечение подготовки спортивного резерва» 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Численность населения, принявшего участие в сдаче нормативов Всероссийского физкультурно-спортивного комплекса «Готов к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труду и обороне» (ГТО)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1 560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1 580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1 640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1 660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11.06.2014 №540 «Об утверждении Положения о Всероссийском физкультурно-спортивном комплексе «Готов к труду и обороне» (ГТО)»,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 «Создание для всех категорий и групп населения условий для занятия физической культурой и спортом, в том числе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повышение уровня обеспеченности объектами спорта, а также формирование спортивного резерва», проект «ГТО в каждый двор» по итогам стратегической сессии «Югра – 2024»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физической культуры и спорта, муниципальные организации в сфере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спортивно-массовых мероприятий, первенств и чемпионатов по видам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481F20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tooltip="http://mobileonline.garant.ru/document?id=12057560&amp;sub=0" w:history="1">
              <w:r w:rsidR="007F49C3" w:rsidRPr="007F49C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Федеральный закон</w:t>
              </w:r>
            </w:hyperlink>
            <w:r w:rsidR="007F49C3"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04.12.2007 №329-ФЗ «О физической культуре и спорте в Российской Федерации», 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18.04.2014 №353 «Об утверждении Правил обеспечения безопасности при проведении официальных спортивных соревнований»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администрации города от 11.02.2016 №269 «О нормах и расходах на организацию и проведение спортивных мероприятий» (с изменениями и дополнениями),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«Создание для всех категорий и групп населения условий для занятия физической культурой и спортом, в том числе повышение уровня обеспеченности объектами спорта, а также формирование спортивного резерва»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физической 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Присвоение спортивных разрядов и квалификационных категорий спортивных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судей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Положение о Единой всероссийской спортивной классификации, утвержденное приказом Министерства спорта Российской Федерации от 19.12.2022 №1255 «Об утверждении положения о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Единой всероссийской спортивной классификации»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0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lastRenderedPageBreak/>
              <w:t xml:space="preserve">управление физической культуры и спорта,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lastRenderedPageBreak/>
              <w:t>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повышение к 2030 году уровня удовлетворенности граждан условиями для занятий физической </w:t>
            </w: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занимающихся по программам спортивной подготовки, в общем количестве занимающихся в муниципальных учреждениях сферы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Федеральный закон от 04.12.2007 №329-ФЗ «О физической культуре и спорте в Российской Федерации»,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Федеральные стандарты спортивной подготовки,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 Министерства спорта Российской Федерации от 30.10.2015 №999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«Об утверждении требований к обеспечению подготовки спортивного резерва для спортивных сборных команд Российской Федерации»,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Приказ Министерства спорта Российской Федерации от 03.08.2022 №634 «Об особенностях организации и осуществления образовательной деятельности по дополнительным образовательным программам спортивной подготовки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0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t>управление физической 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15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3 «Повышение качества оказания услуг в сфере физической культуры и спорта»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обеспеченности населения спортивными сооружениями, исходя из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единовременной пропускной способности объектов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ГП</w:t>
            </w:r>
          </w:p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Постановление Правительства ХМАО - Югры от 10.11.2023 №564-п (с изменениями)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«О государственной программе Ханты-Мансийского автономного округа - Югры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«Развитие физической культуры и спорта»;</w:t>
            </w:r>
          </w:p>
          <w:p w:rsidR="007F49C3" w:rsidRPr="007F49C3" w:rsidRDefault="00481F20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anchor="/document/74966492/entry/0" w:tooltip="https://mobileonline.garant.ru/#/document/74966492/entry/0" w:history="1">
              <w:r w:rsidR="007F49C3" w:rsidRPr="007F49C3">
                <w:rPr>
                  <w:rFonts w:ascii="Times New Roman" w:eastAsia="Calibri" w:hAnsi="Times New Roman" w:cs="Times New Roman"/>
                  <w:color w:val="0D0D0D" w:themeColor="text1" w:themeTint="F2"/>
                  <w:sz w:val="20"/>
                  <w:szCs w:val="20"/>
                  <w:u w:val="single"/>
                  <w:lang w:eastAsia="en-US"/>
                </w:rPr>
                <w:t>Распоряжение</w:t>
              </w:r>
            </w:hyperlink>
            <w:r w:rsidR="007F49C3" w:rsidRPr="007F49C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</w:rPr>
              <w:t xml:space="preserve"> Правительства Российской Федерации от 24.11. 2020  №3081-р </w:t>
            </w:r>
            <w:r w:rsidR="007F49C3" w:rsidRPr="007F49C3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«</w:t>
            </w:r>
            <w:r w:rsidR="007F49C3"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 утверждении Стратегии развития физической культуры и спорта в Российской Федерации на период до 2030 года»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управление физической культуры и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спорта, муниципальные организации в сфере физической культуры и спорта, МКУ «УКС»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повышение к 2030 году уровня удовлетворенности граждан условиями для занятий </w:t>
            </w: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физической культурой и спортом</w:t>
            </w:r>
          </w:p>
        </w:tc>
      </w:tr>
      <w:tr w:rsidR="007F49C3" w:rsidRPr="007F49C3" w:rsidTr="007F49C3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получателей услуг 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и работ в муниципальных учреждениях сферы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3 047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04.12.2007 №329-ФЗ «О физической культуре и спорте в Российской Федерации»,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06.10.2003 №131-ФЗ «Об общих принципах организации местного самоуправления в Российской Федерации»,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27.07.2010 №210-ФЗ «Об организации предоставления государственных и муниципальных услуг»,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Приказ Министерства спорта Российской Федерации от 03.08.2022 №634 «Об особенностях организации и осуществления образовательной деятельности по дополнительным образовательным программам спортивной подготовки»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физической 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получателей услуг в муниципальных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учреждениях сферы физической культуры и спорта по программе «Реализация дополнительных общеразвивающих программ для детей» в соответствии с муниципальным социальным заказом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Приказ Министерства спорта Российской Федерации от 03.08.2022 №634 «Об особенностях организации и осуществления </w:t>
            </w: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образовательной деятельности по дополнительным образовательным программам спортивной подготовки»,</w:t>
            </w:r>
            <w:r w:rsidRPr="007F49C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федеральный закон от 13.07.2020 №189-ФЗ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«О государственном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(муниципальном) социальном заказе на оказание государственных (муниципальных) услуг в социальной сфере»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0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lastRenderedPageBreak/>
              <w:t>управление физической культур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lastRenderedPageBreak/>
              <w:t>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повышение к 2030 году уровня удовлетворенности граждан условиями для </w:t>
            </w: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Количество реализованных инициативных проектов 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Протокол совещания от 24.03.2025 №ТС-26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t>управление физической 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Количество мероприятий (проектов программ),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реализованных социально ориентированными некоммерческими организациями </w:t>
            </w:r>
          </w:p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Постановление администрации города от 31.05.2021 №1257 «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 утверждении Порядка предоставления субсидии из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lastRenderedPageBreak/>
              <w:t xml:space="preserve">бюджета города </w:t>
            </w:r>
            <w:proofErr w:type="spellStart"/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Мегиона</w:t>
            </w:r>
            <w:proofErr w:type="spellEnd"/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негосударственным социально ориентированным некоммерческим организациям (за исключением субсидий муниципальным учреждениям)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               (с изменениями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lastRenderedPageBreak/>
              <w:t xml:space="preserve">управление физической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2"/>
              </w:rPr>
              <w:lastRenderedPageBreak/>
              <w:t>культуры и спорта, муниципальные организации в сфере физической культуры и спорта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7F49C3" w:rsidRPr="007F49C3" w:rsidTr="007F49C3">
        <w:trPr>
          <w:trHeight w:val="320"/>
        </w:trPr>
        <w:tc>
          <w:tcPr>
            <w:tcW w:w="15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4 «Улучшение здоровья населения, формирование культуры общественного здоровья, ответственного отношения к здоровью»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граждан, принявших участие в мероприятиях, мотивирующих к ведению здорового образа жизни в общей доле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Ханты-Мансийского автономного округа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Югры от 27.12.2021 №594-п «О мерах по реализации государственной программы Ханты-Мансийского автономного округа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Югры «Современное здравоохранение»,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«Укрепление общественного здоровья»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физической культуры и спорта, муниципальные организации в сфере физической культуры и спорта, департамент образования, управление культуры, учрежде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ния здравоохранения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lastRenderedPageBreak/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  <w:tr w:rsidR="007F49C3" w:rsidRPr="007F49C3" w:rsidTr="007F49C3">
        <w:trPr>
          <w:trHeight w:val="3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публикаций, информационных сообщений, размещённых постов, видеороликов, сюжетов и др. в средствах массовой информации и в сети Интернет по профилактике заболеваний и формированию здорового образа жизни, пропаганде и популяризации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Постановление Правительства Ханты-Мансийского автономного округа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Югры от 27.12.2021 №594-п «О мерах по реализации государственной программы Ханты-Мансийского автономного округа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–</w:t>
            </w:r>
            <w:r w:rsidRPr="007F49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Югры «Современное здравоохранение», </w:t>
            </w: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«Укрепление общественного здоровья»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физической культуры и спорта, муниципальные организации в сфере физической культуры и спорта, департамент образования, управление культуры, учреждения здравоохранения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spacing w:line="254" w:lineRule="auto"/>
              <w:ind w:firstLine="0"/>
              <w:jc w:val="left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повышение к 2030 году уровня удовлетворенности граждан условиями для занятий физической культурой и спортом</w:t>
            </w:r>
          </w:p>
        </w:tc>
      </w:tr>
    </w:tbl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Times New Roman"/>
        </w:rPr>
        <w:t>3.План достижения показателей муниципальной программы в 2025 году</w:t>
      </w: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34"/>
        <w:tblW w:w="15326" w:type="dxa"/>
        <w:tblInd w:w="0" w:type="dxa"/>
        <w:tblLook w:val="04A0" w:firstRow="1" w:lastRow="0" w:firstColumn="1" w:lastColumn="0" w:noHBand="0" w:noVBand="1"/>
      </w:tblPr>
      <w:tblGrid>
        <w:gridCol w:w="534"/>
        <w:gridCol w:w="2409"/>
        <w:gridCol w:w="2163"/>
        <w:gridCol w:w="1702"/>
        <w:gridCol w:w="1703"/>
        <w:gridCol w:w="1703"/>
        <w:gridCol w:w="1703"/>
        <w:gridCol w:w="1706"/>
        <w:gridCol w:w="1703"/>
      </w:tblGrid>
      <w:tr w:rsidR="007F49C3" w:rsidRPr="007F49C3" w:rsidTr="007F49C3">
        <w:trPr>
          <w:trHeight w:val="26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Наименование </w:t>
            </w: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показателя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Уровень 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измерения (по ОКЕЙ)</w:t>
            </w:r>
          </w:p>
        </w:tc>
        <w:tc>
          <w:tcPr>
            <w:tcW w:w="6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Плановые значения по кварталам/месяцам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На конец 2025 </w:t>
            </w: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года</w:t>
            </w:r>
          </w:p>
        </w:tc>
      </w:tr>
      <w:tr w:rsidR="007F49C3" w:rsidRPr="007F49C3" w:rsidTr="007F49C3">
        <w:trPr>
          <w:trHeight w:val="52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 квартал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 квартал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 квартал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</w:tr>
      <w:tr w:rsidR="007F49C3" w:rsidRPr="007F49C3" w:rsidTr="007F49C3">
        <w:trPr>
          <w:trHeight w:val="2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Цель 1 муниципальной программы «Создание условий населению городского округа для регулярных занятий физической культурой и спортом; развитие спортивной инфраструктуры»</w:t>
            </w:r>
          </w:p>
        </w:tc>
      </w:tr>
      <w:tr w:rsidR="007F49C3" w:rsidRPr="007F49C3" w:rsidTr="007F49C3">
        <w:trPr>
          <w:trHeight w:val="2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ГП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70,0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70,0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70,0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75,8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75,8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75,8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75,8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75,8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Количество учреждений воспользовавшихся налоговой льготой 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</w:tr>
      <w:tr w:rsidR="007F49C3" w:rsidRPr="007F49C3" w:rsidTr="007F49C3">
        <w:trPr>
          <w:trHeight w:val="2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Цель 2 муниципальной программы «Обеспечение подготовки спортивного резерва» 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Численность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чел.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390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390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390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390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1 560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Проведение спортивно-массовых мероприятий, первенств и чемпионатов по видам спорта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90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Присвоение спортивных разрядов и квалификационных </w:t>
            </w: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категорий спортивных судей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чел.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840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Доля занимающихся по программам спортивной подготовки, в общем количестве занимающихся в муниципальных учреждениях сферы физической культуры и спорта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68,3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68,3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68,3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68,3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68,3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Цель 3 муниципальной программы «Повышение качества оказания услуг в сфере физической культуры и спорта»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ГП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45,5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45,5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45,5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45,5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45,5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 xml:space="preserve">Количество получателей услуг 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и работ в муниципальных учреждениях сферы физической культуры и спорта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чел.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lang w:val="en-US"/>
              </w:rPr>
              <w:t>760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lang w:val="en-US"/>
              </w:rPr>
              <w:t>760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lang w:val="en-US"/>
              </w:rPr>
              <w:t>760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lang w:val="en-US"/>
              </w:rPr>
              <w:t>760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3040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Количество получателей услуг в муниципальных учреждениях сферы физической культуры и спорта по программе «Реализация дополнительных общеразвивающих программ для детей» в соответствии с муниципальным социальным заказом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чел.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550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550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550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3.4.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Calibri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реализованных инициативных проектов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3.5.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мероприятий (проектов программ),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реализованных социально ориентированными некоммерческими организациями 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lastRenderedPageBreak/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4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Цель 4 «Улучшение здоровья населения, формирование культуры общественного здоровья, ответственного отношения к здоровью»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4.1.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Доля граждан, принявших участие в мероприятиях, мотивирующих к ведению здорового образа жизни в общей доле населения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</w:tr>
      <w:tr w:rsidR="007F49C3" w:rsidRPr="007F49C3" w:rsidTr="007F49C3">
        <w:trPr>
          <w:trHeight w:val="2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lang w:val="en-US"/>
              </w:rPr>
              <w:t>4.2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Количество публикаций, информационных сообщений, размещённых постов, видеороликов, сюжетов и др. в средствах массовой информации и в сети Интернет по профилактике заболеваний и формированию здорового образа жизни, пропаганде и популяризации физической культуры и спорта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МП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140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140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</w:rPr>
              <w:t>560</w:t>
            </w:r>
          </w:p>
        </w:tc>
      </w:tr>
    </w:tbl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ind w:firstLine="0"/>
        <w:jc w:val="left"/>
        <w:outlineLvl w:val="2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Times New Roman"/>
        </w:rPr>
        <w:t>4.Структура муниципальной программы</w:t>
      </w: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3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6"/>
        <w:gridCol w:w="43"/>
        <w:gridCol w:w="4930"/>
        <w:gridCol w:w="31"/>
        <w:gridCol w:w="4937"/>
        <w:gridCol w:w="60"/>
        <w:gridCol w:w="247"/>
        <w:gridCol w:w="4195"/>
      </w:tblGrid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1.Региональный проект «Развитие спорта высших достижений»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мотивации всех возрастных категорий и социальных групп граждан к регулярным занятиям физической культурой и массовым спортом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сети спортивных объектов.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количества и качества объектов спорта.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спортивных комплексов, дворовых спортивных площадок, с целью привлечения населения к занятию спортом.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во дворах универсальных комплексов для сдачи ГТО.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спортивных сооружений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 (далее – Показатель 8) рассчитывается по формуле: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ЕПС = </w:t>
            </w:r>
            <w:proofErr w:type="spellStart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ЕПСфакт</w:t>
            </w:r>
            <w:proofErr w:type="spellEnd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ЕПСнорм</w:t>
            </w:r>
            <w:proofErr w:type="spellEnd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x 100, где: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ЕПС - уровень обеспеченности спортивными сооружениями исходя из единовременной пропускной способности объектов спорта;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ЕПСфакт</w:t>
            </w:r>
            <w:proofErr w:type="spellEnd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- единовременная пропускная способность имеющихся спортивных сооружений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ЕПСнорм</w:t>
            </w:r>
            <w:proofErr w:type="spellEnd"/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- необходимая нормативная единовременная пропускная способность спортивных сооружений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rPr>
          <w:trHeight w:val="23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1.2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детско-юношеского спорта, подготовка и обеспечение спортивного резерва.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успешного выступления спортсменов на спортивных соревнованиях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сети спортивных объектов.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количества и качества объектов спорта.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спортивных комплексов, дворовых спортивных площадок, с целью привлечения населения к занятию спортом.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во дворах универсальных комплексов для сдачи ГТО.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спортивных сооружений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8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2.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Региональный проект «Бизнес-спринт(Я выбираю спорт)»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(2025-2027)</w:t>
            </w:r>
          </w:p>
        </w:tc>
      </w:tr>
      <w:tr w:rsidR="007F49C3" w:rsidRPr="007F49C3" w:rsidTr="007F49C3">
        <w:trPr>
          <w:trHeight w:val="165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Повышение доступности спортивной инфраструктуры, в том числе создание «умных» спортивных площадок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Внедрение новой модели создания общедоступной инфраструктуры для массового спорта, способствующей привлечению негосударственного сектора в решение задач развития массового спорта, формирование "активной среды"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Доля граждан, систематически занимающиеся физической культурой и спортом (далее – Показатель 1) (в соответствии с данными федерального статистического наблюдения по форме №1-ФК «Сведения о физической культуре и спорте») рассчитывается как общая численность населения, систематически занимающегося физической культурой и спортом к общей численности населения.</w:t>
            </w:r>
          </w:p>
          <w:p w:rsidR="007F49C3" w:rsidRPr="007F49C3" w:rsidRDefault="007F49C3" w:rsidP="007F49C3">
            <w:pPr>
              <w:widowControl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49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уровень обеспеченности граждан спортивными сооружениями, исходя из единовременной </w:t>
            </w:r>
            <w:r w:rsidRPr="007F49C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пропускной способности объектов спорта 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(далее – Показатель 8)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3.Комплекс процессных мероприятий «Реализация Всероссийского физкультурно-спортивного комплекса «Готов к труду и обороне» (ГТО)»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детско-юношеского спорта, подготовка и обеспечение спортивного резерва. 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успешного выступления спортсменов на спортивных соревнованиях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муниципальных этапов, обеспечение участия в мероприятиях, связанных с ГТО.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Муниципального Центра ГТО, информационно-пропагандистская деятельность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Показатель 1.Доля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(далее – Показатель 2) (в соответствии с данными федерального статистического наблюдения по форме №3-АФК «Сведения об адаптивной физической культуре и спорте» рассчитывается как численность лиц с ограниченными возможностями здоровья и инвалидов, систематически занимающихся физической культурой и спортом к численности населения с ограниченными возможностями здоровья и инвалидов, за исключением инвалидов, которые имеют противопоказания для занятия физической культурой и спортом.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Численность населения принявших участие в сдаче нормативов Всероссийского физкультурно-спортивного комплекса «Готов к труду и обороне» (ГТО), чел. (ГТО) (далее – Показатель 4) (численность населения принявших участия в соответствии с данными Центра тестирования Всероссийского физкультурно-спортивного комплекса «Готов к труду и обороне» и спортивно-массовой работы МАУ ДО «СШ «Юность»)</w:t>
            </w: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4.Комплекс процессных мероприятий «Проведение муниципальных Спартакиад, физкультурно-массовых мероприятий, спортивных мероприятий, первенств и чемпионатов по видам спорта»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детско-юношеского спорта, подготовка и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обеспечение спортивного резерва. 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успешного выступления спортсменов на спортивных соревнованиях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Проведение массовых спортивных мероприятий для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всех возрастных групп, в том числе направленные на профилактику заболеваний и формирование здорового образа жизни,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соревнований муниципального уровня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Показатель 1, Показатель 2, Показатель 4,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Проведение спортивно-массовых мероприятий, первенств и чемпионатов по видам спорта (далее - Показатель 5) (в соответствии с единым календарным планом физкультурных и спортивных мероприятий управления физической культуры и спорта администрации города, утверждаемый ежегодно на очередной финансовый год)</w:t>
            </w: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 Комплекс процессных мероприятий «Мероприятия по обеспечению комплексной безопасности и комфортных условий в муниципальных спортивных учреждениях. Ремонтные работы спортивных объектов и сооружений»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спортивной инфраструктуры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ремонтных и восстановительных работ, в том числе обеспечение доступности для маломобильных групп населения.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обеспечению комплексной безопасности и комфортных условий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2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8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получателей услуг и работ в муниципальных учреждениях сферы физической культуры и спорта (далее – Показатель 9) (в соответствии с утвержденными муниципальными заданиями для муниципальных организаций в сфере физической культуры и спорта, а также численность населения получившие услуги по социальным сертификатам)</w:t>
            </w: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6..Комплекс процессных мероприятий «Создание условий для удовлетворения потребности населения города в оказании услуг в сфере физической культуры и спорта»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среды, способствующей ведению здорового образа жизни.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спортивной инфраструктуры.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учреждений сферы физической культуры и спорта, в том числе: выплата заработной платы и содержание учреждений. Субсидии на иные цели муниципальным учреждениям сферы физической культуры и спорта.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1, Показатель 9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Доля занимающихся по программам спортивной подготовки, в общем количестве занимающихся в муниципальных учреждениях сферы физической культуры и спорта (далее – Показатель 7) (в соответствии с данными федерального статистического наблюдения по формам №5-ФК «Сведения по подготовке, спортивного резерва») рассчитывается как численность лиц, занимающихся по программам спортивной подготовки к общей численности занимающихся в спортивных школах)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7.Комплекс процессных мероприятий «Финансовое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организаций сферы физической культуры и спорта.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учреждений сферы физической культуры и спорта, в том числе: выплата заработной платы и содержание учреждений. Субсидии на иные цели муниципальным учреждениям сферы физической культуры и спорта.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1, Показатель 9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получателей услуг в муниципальных учреждениях сферы физической культуры и спорта по программе «Реализация дополнительных общеразвивающих программ для детей» в соответствии с муниципальным социальным заказом, (далее – Показатель 10) (в соответствии с данными федерального статистического наблюдения по формам №5-ФК «Сведения по подготовке, спортивного резерва») рассчитывается как численность лиц, занимающихся по дополнительным общеразвивающим программам для детей в спортивных школах)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8.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</w:t>
            </w:r>
            <w:r w:rsidRPr="007F49C3">
              <w:rPr>
                <w:rFonts w:ascii="Times New Roman" w:eastAsia="Calibri" w:hAnsi="Times New Roman" w:cs="Times New Roman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соревнований по видам спорта. 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детско-юношеского спорта, подготовка и обеспечение спортивного резерва.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успешного выступления спортсменов на спортивных соревнованиях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Ежегодное участие в межмуниципальных, региональных, всероссийских соревнованиях, Обеспечение соревновательного процесса, проведение тренировочных сборов для подготовки к участию в соревнованиях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1, Показатель 2, Показатель 4, Присвоение спортивных разрядов и квалификационных категорий спортивных судей (далее – Показатель 6) (в соответствии с данными федерального статистического наблюдения по форме №1-ФК «Сведения о физической культуре и спорте»)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9..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>«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мероприятий по обеспечению процесса спортивной подготовки»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спортивной инфраструктуры.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детско-юношеского спорта, подготовка и обеспечение спортивного резерва.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успешного выступления спортсменов на спортивных соревнованиях.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процесса спортивной подготовки, выявления и поддержки одаренных детей.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6, Показатель 8, Показатель 9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«Реализация мероприятий по приобретению спортивного оборудования и инвентаря»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детско-юношеского спорта, подготовка и обеспечение спортивного резерва.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организаций сферы физической культуры и спорта.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среды, способствующей ведению здорового образа жизни.</w:t>
            </w: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приобретению спортивного оборудования и инвентаря для проведения организаций спортивной подготовки в нормативно.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1, Показатель 6, Показатель 8, Показатель 9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«Строительство (реконструкция) спортивных сооружений»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спортивной инфраструктуры.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успешного выступления спортсменов на спортивных соревнованиях.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организаций сферы физической культуры и спорта.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сети спортивных объектов.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количества и качества объектов спорта.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спортивных комплексов, дворовых спортивных площадок, с целью привлечения населения к занятию спортом.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во дворах универсальных комплексов для сдачи ГТО.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Реконструкция спортивных сооружений.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8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«Развитие сети спортивных объектов шаговой доступности»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спортивной инфраструктуры.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сети спортивных объектов шаговой доступности посредством приобретения спортивных площадок, площадок ГТО не капитального характера; реализации мероприятий по обеспечению комплексной безопасности; приобретению комплектов спортивного оборудования.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8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13. Комплекс процессных мероприятий «</w:t>
            </w:r>
            <w:r w:rsidRPr="007F49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Реализация проектов, реализуемых с использованием принципов инициативного бюджетирования»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rPr>
          <w:trHeight w:val="27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13.1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white"/>
              </w:rPr>
              <w:t>Реализация инициативных проектов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  <w:highlight w:val="white"/>
              </w:rPr>
              <w:t>Реализация инициативных проектов, отобранных по результатам конкурса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Показатель 11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7F49C3" w:rsidRPr="007F49C3" w:rsidTr="007F49C3">
        <w:trPr>
          <w:trHeight w:val="230"/>
        </w:trPr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14. Комплекс процессных мероприятий «Субсидия</w:t>
            </w:r>
            <w:r w:rsidRPr="007F49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некоммерческим организациям (за исключением государственных (муниципальных) учреждений)»</w:t>
            </w:r>
          </w:p>
        </w:tc>
      </w:tr>
      <w:tr w:rsidR="007F49C3" w:rsidRPr="007F49C3" w:rsidTr="007F49C3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rPr>
          <w:trHeight w:val="23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14.1.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spacing w:line="25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поддержки гражданских инициатив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субсидии из бюджета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негосударственным социально ориентированным некоммерческим организациям (за исключением субсидий муниципальным учреждениям)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Показатель 12</w:t>
            </w: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процессных мероприятий «Информирование населения о факторах риска развития заболеваний, а также повышение мотивации граждан к ведению здорового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образа жизни»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направленных на профилактику заболеваний и формирование здорового образа жизни.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муниципальной информационной кампании по профилактике заболеваний и формированию здорового образа жизни.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 1, Показатель 2, Показатель 3, Показатель 4, Показатель 5, Показатель 14. Доля граждан, принявших участие в мероприятиях, мотивирующих к ведению здорового образа жизни в общей доле населения (далее – </w:t>
            </w:r>
          </w:p>
          <w:p w:rsidR="007F49C3" w:rsidRPr="007F49C3" w:rsidRDefault="007F49C3" w:rsidP="007F49C3">
            <w:pPr>
              <w:ind w:firstLine="0"/>
              <w:rPr>
                <w:rFonts w:ascii="Times New Roman CYR" w:eastAsia="Calibri" w:hAnsi="Times New Roman CYR" w:cs="Times New Roman CYR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Показатель 13) (рассчитывается по формуле: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ЗОЖ = УСММ / ЧН </w:t>
            </w:r>
            <w:r w:rsidRPr="007F49C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x 100, где: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ЗОЖ –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доля граждан, принявшие участие в мероприятиях, мотивирующих к ведению здорового образа жизни в общей доли населения;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УСММ - </w:t>
            </w:r>
            <w:r w:rsidRPr="007F49C3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количество человек, принявших участие в спортивно-массовых мероприятиях;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ЧН - численность населения в возрасте 3-79 лет на 1 января отчетного год)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15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  <w:r w:rsidRPr="007F49C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«Информирование населения пользе рационального полноценного питания, злоупотреблении алкогольной продукцией и табачными изделиями»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за реализацию (управление физической культуры и спорта администрации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Срок реализации (2025-2030)</w:t>
            </w:r>
          </w:p>
        </w:tc>
      </w:tr>
      <w:tr w:rsidR="007F49C3" w:rsidRPr="007F49C3" w:rsidTr="007F49C3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направленных на профилактику заболеваний и формирование здорового образа жизни.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муниципальной информационной кампании по профилактике заболеваний и формированию здорового образа жизни.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13. Количество публикаций, информационных сообщений, размещённых постов, видеороликов, сюжетов и др. в средствах массовой информации и в сети Интернет по профилактике заболеваний и формированию здорового образа жизни, пропаганде и популяризации физической культуры и спорта</w:t>
            </w:r>
          </w:p>
          <w:p w:rsidR="007F49C3" w:rsidRPr="007F49C3" w:rsidRDefault="007F49C3" w:rsidP="007F49C3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(далее – показатель 14) (в соответствии с единым календарным планом физкультурных и спортивных мероприятий управления физической культуры и спорта администрации города, утверждаемый ежегодно на очередной финансовый год)</w:t>
            </w:r>
          </w:p>
        </w:tc>
      </w:tr>
    </w:tbl>
    <w:p w:rsidR="007F49C3" w:rsidRPr="007F49C3" w:rsidRDefault="007F49C3" w:rsidP="007F49C3">
      <w:pPr>
        <w:widowControl/>
        <w:spacing w:after="160" w:line="256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7F49C3" w:rsidRPr="007F49C3" w:rsidRDefault="007F49C3" w:rsidP="007F49C3">
      <w:pPr>
        <w:widowControl/>
        <w:spacing w:after="160" w:line="256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7F49C3" w:rsidRPr="007F49C3" w:rsidRDefault="007F49C3" w:rsidP="007F49C3">
      <w:pPr>
        <w:widowControl/>
        <w:spacing w:after="160" w:line="256" w:lineRule="auto"/>
        <w:ind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  <w:r w:rsidRPr="007F49C3">
        <w:rPr>
          <w:rFonts w:ascii="Times New Roman" w:eastAsia="Times New Roman" w:hAnsi="Times New Roman" w:cs="Times New Roman"/>
        </w:rPr>
        <w:lastRenderedPageBreak/>
        <w:t>5.Финансовое обеспечение муниципальной программы</w:t>
      </w:r>
    </w:p>
    <w:p w:rsidR="007F49C3" w:rsidRPr="007F49C3" w:rsidRDefault="007F49C3" w:rsidP="007F49C3">
      <w:pPr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3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57"/>
        <w:gridCol w:w="1578"/>
        <w:gridCol w:w="1579"/>
        <w:gridCol w:w="1421"/>
        <w:gridCol w:w="1420"/>
        <w:gridCol w:w="1579"/>
        <w:gridCol w:w="1578"/>
        <w:gridCol w:w="1667"/>
      </w:tblGrid>
      <w:tr w:rsidR="007F49C3" w:rsidRPr="007F49C3" w:rsidTr="007F49C3">
        <w:trPr>
          <w:gridAfter w:val="7"/>
          <w:wAfter w:w="10822" w:type="dxa"/>
          <w:trHeight w:val="230"/>
        </w:trPr>
        <w:tc>
          <w:tcPr>
            <w:tcW w:w="4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</w:tr>
      <w:tr w:rsidR="007F49C3" w:rsidRPr="007F49C3" w:rsidTr="007F49C3">
        <w:tc>
          <w:tcPr>
            <w:tcW w:w="4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Муниципальная программа (всего), в том 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394 889,2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359 808,0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358 614,4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345 445,9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345 445,9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345 445,9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val="en-US"/>
              </w:rPr>
              <w:t>2 149 649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,3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4 680,0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4 378,5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9 058,5</w:t>
            </w:r>
          </w:p>
        </w:tc>
      </w:tr>
      <w:tr w:rsidR="007F49C3" w:rsidRPr="007F49C3" w:rsidTr="007F49C3">
        <w:trPr>
          <w:trHeight w:val="325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33 177,3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40 197,3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41 008,8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32 877,3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13" w:right="-105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32 877,3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32 877,3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213 015,3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361 711,9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314 930,7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313 227,1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04" w:right="-114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312 568,6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13" w:right="-105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312 568,6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312 568,6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1 927 575,5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Объем налоговых расходов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3 411,8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3 411,8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3 411,8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3 411,8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3 411,8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3 411,8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20 470,8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1.Региональный проект «Развитие спорта высших достижений»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2.Региональный проект «Бизнес –спринт (Я выбираю спорт)» 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12 631,6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13 168,5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25 800,1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4 680,0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4 378,5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9 058,5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7 320,0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8 131,5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15 451,5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631,6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658,5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1 290,1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3. Комплекс процессных мероприятий «Реализация Всероссийского физкультурно-спортивного комплекса «Готов к труду и обороне» (ГТО)»,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100,0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100,0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600,0</w:t>
            </w:r>
          </w:p>
        </w:tc>
      </w:tr>
      <w:tr w:rsidR="007F49C3" w:rsidRPr="007F49C3" w:rsidTr="007F49C3">
        <w:trPr>
          <w:trHeight w:val="114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4. Комплекс процессных мероприятий «Проведение муниципальных Спартакиад, физкультурно-массовых мероприятий, спортивных мероприятий, первенств и чемпионатов по видам спорта»,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1 875,4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1 875,4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4 330,4</w:t>
            </w:r>
          </w:p>
        </w:tc>
      </w:tr>
      <w:tr w:rsidR="007F49C3" w:rsidRPr="007F49C3" w:rsidTr="007F49C3">
        <w:trPr>
          <w:trHeight w:val="266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1 875,4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1 875,4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4 330,4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«Мероприятия по обеспечению комплексной безопасности и комфортных условий в муниципальных спортивных учреждениях. Ремонтные работы спортивных объектов и сооружений» 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7 868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</w:p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8 218,1</w:t>
            </w:r>
          </w:p>
          <w:p w:rsidR="007F49C3" w:rsidRPr="007F49C3" w:rsidRDefault="007F49C3" w:rsidP="007F49C3">
            <w:pPr>
              <w:widowControl/>
              <w:ind w:right="26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rPr>
          <w:trHeight w:val="312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  <w:lang w:val="en-US"/>
              </w:rPr>
              <w:t>7 868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350,1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350,1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350,1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350,1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>350,1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  <w:highlight w:val="white"/>
              </w:rPr>
              <w:t xml:space="preserve">  8 218,1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«Создание условий для удовлетворения потребности населения города в оказании услуг в сфере физической культуры и спорт»,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332 634,1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1 863 849,6</w:t>
            </w: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332 634,1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306 243,1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1 863 849,6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Комплекс процессных мероприятий «Финансовое обеспечение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 города </w:t>
            </w:r>
            <w:proofErr w:type="spellStart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Мегиона</w:t>
            </w:r>
            <w:proofErr w:type="spellEnd"/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17 503,9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tabs>
                <w:tab w:val="left" w:pos="240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tabs>
                <w:tab w:val="left" w:pos="240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tabs>
                <w:tab w:val="left" w:pos="240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37 503,9</w:t>
            </w:r>
          </w:p>
          <w:p w:rsidR="007F49C3" w:rsidRPr="007F49C3" w:rsidRDefault="007F49C3" w:rsidP="007F49C3">
            <w:pPr>
              <w:tabs>
                <w:tab w:val="left" w:pos="240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9C3" w:rsidRPr="007F49C3" w:rsidRDefault="007F49C3" w:rsidP="007F49C3">
            <w:pPr>
              <w:widowControl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17 503,9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4 000,0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37 503,9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процессных мероприятий «Обеспечение участия сборных команд по видам спорта в межмуниципальных, региональных, всероссийских соревнованиях, подготовка и обеспечение спортивного резерва, участие в тренировочных мероприятиях. Проведение соревнований по видам спорта».,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14 720,5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14 420,5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14 420,5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14 420,5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14 420,5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14 420,5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187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86 823,0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13 999,5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13 699,5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13 699,5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13 699,5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13 699,5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13 699,5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82 497,0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721,0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721,0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721,0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721,0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721,0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721,0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4 326,0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9. Комплекс процессных мероприятий 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«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Комплекс мероприятий по обеспечению процесса спортивной подготовки»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10. Комплекс процессных мероприятий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«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приобретению спортивного оборудования и инвентаря»,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17 263,2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17 263,2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17 263,2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17 263,2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17 263,2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17 263,2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103 579,2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16 400,0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16 400,0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16 400,0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16 400,0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16 400,0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16 400,0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98 400,0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863,2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863,2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863,2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863,2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863,2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F49C3" w:rsidRPr="007F49C3" w:rsidRDefault="007F49C3" w:rsidP="007F49C3">
            <w:pPr>
              <w:widowControl/>
              <w:ind w:left="-45" w:right="-111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863,2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5 179,2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11. Комплекс процессных мероприятий  «Строительство (реконструкция) спортивных сооружений»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12. Комплекс процессных мероприятий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«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сети спортивных объектов шаговой доступности», в том числе: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2 924,1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2 924,1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2 924,1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2 924,1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2 924,1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F49C3" w:rsidRPr="007F49C3" w:rsidRDefault="007F49C3" w:rsidP="007F49C3">
            <w:pPr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2 924,1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17 544,6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Бюджет автономного округа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2 777,8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2 777,8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2 777,8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2 777,8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2 777,8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2 777,8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16 666,8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877,8</w:t>
            </w:r>
          </w:p>
        </w:tc>
      </w:tr>
      <w:tr w:rsidR="007F49C3" w:rsidRPr="007F49C3" w:rsidTr="007F49C3">
        <w:trPr>
          <w:trHeight w:val="230"/>
        </w:trPr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13. Комплекс процессных мероприятий «</w:t>
            </w:r>
            <w:r w:rsidRPr="007F49C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white"/>
              </w:rPr>
              <w:t>Реализация проектов, реализуемых с использованием принципов инициативного бюджетирования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14. Комплекс процессных мероприятий «Субсидия</w:t>
            </w:r>
            <w:r w:rsidRPr="007F49C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некоммерческим организациям (за исключением государственных (муниципальных) учреждений)»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15. Комплекс процессных мероприятий</w:t>
            </w:r>
            <w:r w:rsidRPr="007F49C3">
              <w:rPr>
                <w:rFonts w:ascii="Calibri" w:eastAsia="Calibri" w:hAnsi="Calibri" w:cs="Times New Roman"/>
                <w:sz w:val="20"/>
                <w:szCs w:val="20"/>
              </w:rPr>
              <w:t xml:space="preserve"> «</w:t>
            </w: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 факторах риска развития заболеваний, а также повышение мотивации граждан к ведению здорового образа жизни»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F49C3" w:rsidRPr="007F49C3" w:rsidTr="007F49C3"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16. Комплекс процессных мероприятий «Информирование населения пользе рационального полноценного питания, злоупотреблении алкогольной продукцией и табачными изделиями»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  <w:p w:rsidR="007F49C3" w:rsidRPr="007F49C3" w:rsidRDefault="007F49C3" w:rsidP="007F49C3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F49C3" w:rsidRPr="007F49C3" w:rsidRDefault="007F49C3" w:rsidP="007F49C3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9C3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</w:tbl>
    <w:p w:rsidR="007F49C3" w:rsidRPr="007F49C3" w:rsidRDefault="007F49C3" w:rsidP="007F49C3">
      <w:pPr>
        <w:widowControl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7F49C3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7F49C3" w:rsidRPr="007F49C3" w:rsidRDefault="007F49C3" w:rsidP="007F49C3">
      <w:pPr>
        <w:widowControl/>
        <w:ind w:firstLine="0"/>
        <w:jc w:val="left"/>
        <w:rPr>
          <w:rFonts w:ascii="Times New Roman" w:eastAsia="Times New Roman" w:hAnsi="Times New Roman" w:cs="Times New Roman"/>
        </w:rPr>
      </w:pPr>
    </w:p>
    <w:p w:rsidR="00A4667C" w:rsidRDefault="00136E07">
      <w:pPr>
        <w:ind w:left="11766" w:firstLine="0"/>
        <w:jc w:val="lef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                 </w:t>
      </w:r>
    </w:p>
    <w:sectPr w:rsidR="00A4667C" w:rsidSect="007F49C3">
      <w:headerReference w:type="default" r:id="rId12"/>
      <w:pgSz w:w="16838" w:h="11905" w:orient="landscape"/>
      <w:pgMar w:top="1134" w:right="1529" w:bottom="1134" w:left="993" w:header="0" w:footer="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E07" w:rsidRDefault="00136E07">
      <w:r>
        <w:separator/>
      </w:r>
    </w:p>
  </w:endnote>
  <w:endnote w:type="continuationSeparator" w:id="0">
    <w:p w:rsidR="00136E07" w:rsidRDefault="0013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E07" w:rsidRDefault="00136E07">
      <w:r>
        <w:separator/>
      </w:r>
    </w:p>
  </w:footnote>
  <w:footnote w:type="continuationSeparator" w:id="0">
    <w:p w:rsidR="00136E07" w:rsidRDefault="00136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5535348"/>
      <w:docPartObj>
        <w:docPartGallery w:val="Page Numbers (Top of Page)"/>
        <w:docPartUnique/>
      </w:docPartObj>
    </w:sdtPr>
    <w:sdtEndPr/>
    <w:sdtContent>
      <w:p w:rsidR="00A4667C" w:rsidRDefault="00A4667C">
        <w:pPr>
          <w:pStyle w:val="afa"/>
          <w:jc w:val="center"/>
        </w:pPr>
      </w:p>
      <w:p w:rsidR="00A4667C" w:rsidRDefault="00A4667C">
        <w:pPr>
          <w:pStyle w:val="afa"/>
          <w:jc w:val="center"/>
        </w:pPr>
      </w:p>
      <w:p w:rsidR="00A4667C" w:rsidRDefault="00136E0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9C3">
          <w:rPr>
            <w:noProof/>
          </w:rPr>
          <w:t>2</w:t>
        </w:r>
        <w:r>
          <w:fldChar w:fldCharType="end"/>
        </w:r>
      </w:p>
    </w:sdtContent>
  </w:sdt>
  <w:p w:rsidR="00A4667C" w:rsidRDefault="00A4667C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033691"/>
      <w:docPartObj>
        <w:docPartGallery w:val="Page Numbers (Top of Page)"/>
        <w:docPartUnique/>
      </w:docPartObj>
    </w:sdtPr>
    <w:sdtEndPr/>
    <w:sdtContent>
      <w:p w:rsidR="00A4667C" w:rsidRDefault="00A4667C">
        <w:pPr>
          <w:pStyle w:val="afa"/>
          <w:jc w:val="center"/>
        </w:pPr>
      </w:p>
      <w:p w:rsidR="00A4667C" w:rsidRDefault="00A4667C">
        <w:pPr>
          <w:pStyle w:val="afa"/>
          <w:jc w:val="center"/>
        </w:pPr>
      </w:p>
      <w:p w:rsidR="00A4667C" w:rsidRDefault="00136E07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F20">
          <w:rPr>
            <w:noProof/>
          </w:rPr>
          <w:t>21</w:t>
        </w:r>
        <w:r>
          <w:fldChar w:fldCharType="end"/>
        </w:r>
      </w:p>
    </w:sdtContent>
  </w:sdt>
  <w:p w:rsidR="00A4667C" w:rsidRDefault="00A4667C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4595"/>
    <w:multiLevelType w:val="hybridMultilevel"/>
    <w:tmpl w:val="6F1C04D8"/>
    <w:lvl w:ilvl="0" w:tplc="1B9EBB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4D0E83E6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3FCC2F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87E8C4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930790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2E8790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668B7F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926835C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6E845E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C"/>
    <w:rsid w:val="00136E07"/>
    <w:rsid w:val="003D3CC5"/>
    <w:rsid w:val="00481F20"/>
    <w:rsid w:val="006C26E2"/>
    <w:rsid w:val="007F49C3"/>
    <w:rsid w:val="00A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A3761-052C-4268-8533-D899B175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  <w:qFormat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uiPriority w:val="99"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Нормальный (таблица)"/>
    <w:basedOn w:val="a"/>
    <w:next w:val="a"/>
    <w:uiPriority w:val="99"/>
    <w:pPr>
      <w:ind w:firstLine="0"/>
    </w:pPr>
  </w:style>
  <w:style w:type="paragraph" w:customStyle="1" w:styleId="ConsPlusNormal">
    <w:name w:val="ConsPlusNormal"/>
    <w:uiPriority w:val="99"/>
    <w:qFormat/>
    <w:pPr>
      <w:widowControl w:val="0"/>
      <w:spacing w:after="0" w:line="240" w:lineRule="auto"/>
    </w:pPr>
    <w:rPr>
      <w:rFonts w:ascii="Calibri" w:eastAsiaTheme="minorEastAsia" w:hAnsi="Calibri" w:cs="Calibri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widowControl/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table" w:customStyle="1" w:styleId="14">
    <w:name w:val="Сетка таблицы1"/>
    <w:basedOn w:val="a1"/>
    <w:next w:val="af8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 Spacing"/>
    <w:link w:val="aff"/>
    <w:uiPriority w:val="1"/>
    <w:qFormat/>
    <w:pPr>
      <w:spacing w:before="20" w:after="0" w:line="240" w:lineRule="auto"/>
    </w:pPr>
  </w:style>
  <w:style w:type="character" w:customStyle="1" w:styleId="10">
    <w:name w:val="Заголовок 1 Знак"/>
    <w:basedOn w:val="a0"/>
    <w:link w:val="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f0">
    <w:name w:val="Цветовое выделение"/>
    <w:uiPriority w:val="99"/>
    <w:rPr>
      <w:b/>
      <w:color w:val="26282F"/>
    </w:rPr>
  </w:style>
  <w:style w:type="character" w:customStyle="1" w:styleId="aff1">
    <w:name w:val="Гипертекстовая ссылка"/>
    <w:basedOn w:val="aff0"/>
    <w:uiPriority w:val="99"/>
    <w:rPr>
      <w:rFonts w:cs="Times New Roman"/>
      <w:b w:val="0"/>
      <w:color w:val="106BBE"/>
    </w:rPr>
  </w:style>
  <w:style w:type="paragraph" w:customStyle="1" w:styleId="aff2">
    <w:name w:val="Комментарий"/>
    <w:basedOn w:val="a"/>
    <w:next w:val="a"/>
    <w:uiPriority w:val="99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Pr>
      <w:i/>
      <w:iCs/>
    </w:rPr>
  </w:style>
  <w:style w:type="paragraph" w:customStyle="1" w:styleId="aff4">
    <w:name w:val="Прижатый влево"/>
    <w:basedOn w:val="a"/>
    <w:next w:val="a"/>
    <w:uiPriority w:val="99"/>
    <w:pPr>
      <w:ind w:firstLine="0"/>
      <w:jc w:val="left"/>
    </w:pPr>
  </w:style>
  <w:style w:type="table" w:customStyle="1" w:styleId="26">
    <w:name w:val="Сетка таблицы2"/>
    <w:basedOn w:val="a1"/>
    <w:next w:val="af8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7F49C3"/>
  </w:style>
  <w:style w:type="character" w:styleId="aff5">
    <w:name w:val="FollowedHyperlink"/>
    <w:uiPriority w:val="99"/>
    <w:semiHidden/>
    <w:unhideWhenUsed/>
    <w:rsid w:val="007F49C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49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49C3"/>
    <w:rPr>
      <w:rFonts w:ascii="Courier New" w:eastAsia="Calibri" w:hAnsi="Courier New" w:cs="Courier New"/>
      <w:sz w:val="20"/>
      <w:szCs w:val="20"/>
    </w:rPr>
  </w:style>
  <w:style w:type="paragraph" w:customStyle="1" w:styleId="msonormal0">
    <w:name w:val="msonormal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f6">
    <w:name w:val="annotation text"/>
    <w:basedOn w:val="a"/>
    <w:link w:val="aff7"/>
    <w:uiPriority w:val="99"/>
    <w:semiHidden/>
    <w:unhideWhenUsed/>
    <w:rsid w:val="007F49C3"/>
    <w:pPr>
      <w:widowControl/>
      <w:spacing w:after="160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7F49C3"/>
    <w:rPr>
      <w:rFonts w:ascii="Calibri" w:eastAsia="Calibri" w:hAnsi="Calibri" w:cs="Times New Roman"/>
      <w:sz w:val="20"/>
      <w:szCs w:val="20"/>
    </w:rPr>
  </w:style>
  <w:style w:type="paragraph" w:styleId="aff8">
    <w:name w:val="Body Text Indent"/>
    <w:basedOn w:val="a"/>
    <w:link w:val="aff9"/>
    <w:uiPriority w:val="99"/>
    <w:semiHidden/>
    <w:unhideWhenUsed/>
    <w:rsid w:val="007F49C3"/>
    <w:pPr>
      <w:widowControl/>
    </w:pPr>
    <w:rPr>
      <w:rFonts w:ascii="Calibri" w:eastAsia="Calibri" w:hAnsi="Calibri" w:cs="Calibri"/>
      <w:lang w:eastAsia="en-US"/>
    </w:rPr>
  </w:style>
  <w:style w:type="character" w:customStyle="1" w:styleId="aff9">
    <w:name w:val="Основной текст с отступом Знак"/>
    <w:basedOn w:val="a0"/>
    <w:link w:val="aff8"/>
    <w:uiPriority w:val="99"/>
    <w:semiHidden/>
    <w:rsid w:val="007F49C3"/>
    <w:rPr>
      <w:rFonts w:ascii="Calibri" w:eastAsia="Calibri" w:hAnsi="Calibri" w:cs="Calibri"/>
      <w:sz w:val="24"/>
      <w:szCs w:val="24"/>
    </w:rPr>
  </w:style>
  <w:style w:type="paragraph" w:styleId="affa">
    <w:name w:val="annotation subject"/>
    <w:basedOn w:val="aff6"/>
    <w:next w:val="aff6"/>
    <w:link w:val="affb"/>
    <w:uiPriority w:val="99"/>
    <w:semiHidden/>
    <w:unhideWhenUsed/>
    <w:rsid w:val="007F49C3"/>
    <w:rPr>
      <w:b/>
      <w:bCs/>
    </w:rPr>
  </w:style>
  <w:style w:type="character" w:customStyle="1" w:styleId="affb">
    <w:name w:val="Тема примечания Знак"/>
    <w:basedOn w:val="aff7"/>
    <w:link w:val="affa"/>
    <w:uiPriority w:val="99"/>
    <w:semiHidden/>
    <w:rsid w:val="007F49C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">
    <w:name w:val="Без интервала Знак"/>
    <w:link w:val="afe"/>
    <w:uiPriority w:val="1"/>
    <w:locked/>
    <w:rsid w:val="007F49C3"/>
  </w:style>
  <w:style w:type="paragraph" w:customStyle="1" w:styleId="15">
    <w:name w:val="Без интервала1"/>
    <w:uiPriority w:val="99"/>
    <w:rsid w:val="007F49C3"/>
    <w:pPr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Cell">
    <w:name w:val="ConsPlusCell"/>
    <w:uiPriority w:val="99"/>
    <w:rsid w:val="007F49C3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МОН"/>
    <w:basedOn w:val="a"/>
    <w:uiPriority w:val="99"/>
    <w:rsid w:val="007F49C3"/>
    <w:pPr>
      <w:widowControl/>
      <w:spacing w:line="360" w:lineRule="auto"/>
      <w:ind w:firstLine="709"/>
    </w:pPr>
    <w:rPr>
      <w:rFonts w:ascii="Calibri" w:eastAsia="Times New Roman" w:hAnsi="Calibri" w:cs="Calibri"/>
      <w:sz w:val="28"/>
      <w:szCs w:val="28"/>
    </w:rPr>
  </w:style>
  <w:style w:type="paragraph" w:customStyle="1" w:styleId="ConsNormal">
    <w:name w:val="ConsNormal"/>
    <w:uiPriority w:val="99"/>
    <w:rsid w:val="007F49C3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nt5">
    <w:name w:val="font5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uiPriority w:val="99"/>
    <w:rsid w:val="007F49C3"/>
    <w:pPr>
      <w:widowControl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EECE1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7F49C3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uiPriority w:val="99"/>
    <w:rsid w:val="007F49C3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uiPriority w:val="99"/>
    <w:rsid w:val="007F49C3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uiPriority w:val="99"/>
    <w:rsid w:val="007F49C3"/>
    <w:pPr>
      <w:widowControl/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uiPriority w:val="99"/>
    <w:rsid w:val="007F49C3"/>
    <w:pPr>
      <w:widowControl/>
      <w:pBdr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uiPriority w:val="99"/>
    <w:rsid w:val="007F49C3"/>
    <w:pPr>
      <w:widowControl/>
      <w:pBdr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uiPriority w:val="99"/>
    <w:rsid w:val="007F49C3"/>
    <w:pPr>
      <w:widowControl/>
      <w:pBdr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uiPriority w:val="99"/>
    <w:rsid w:val="007F49C3"/>
    <w:pPr>
      <w:widowControl/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0">
    <w:name w:val="xl130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2">
    <w:name w:val="xl132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3">
    <w:name w:val="xl133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4">
    <w:name w:val="xl134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5">
    <w:name w:val="xl135"/>
    <w:basedOn w:val="a"/>
    <w:uiPriority w:val="99"/>
    <w:rsid w:val="007F49C3"/>
    <w:pPr>
      <w:widowControl/>
      <w:pBdr>
        <w:top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6">
    <w:name w:val="xl136"/>
    <w:basedOn w:val="a"/>
    <w:uiPriority w:val="99"/>
    <w:rsid w:val="007F49C3"/>
    <w:pPr>
      <w:widowControl/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7">
    <w:name w:val="xl137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8">
    <w:name w:val="xl138"/>
    <w:basedOn w:val="a"/>
    <w:uiPriority w:val="99"/>
    <w:rsid w:val="007F49C3"/>
    <w:pPr>
      <w:widowControl/>
      <w:pBdr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39">
    <w:name w:val="xl139"/>
    <w:basedOn w:val="a"/>
    <w:uiPriority w:val="99"/>
    <w:rsid w:val="007F49C3"/>
    <w:pPr>
      <w:widowControl/>
      <w:pBdr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40">
    <w:name w:val="xl140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uiPriority w:val="99"/>
    <w:rsid w:val="007F49C3"/>
    <w:pPr>
      <w:widowControl/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a"/>
    <w:uiPriority w:val="99"/>
    <w:rsid w:val="007F49C3"/>
    <w:pPr>
      <w:widowControl/>
      <w:pBdr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uiPriority w:val="99"/>
    <w:rsid w:val="007F49C3"/>
    <w:pPr>
      <w:widowControl/>
      <w:pBdr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47">
    <w:name w:val="xl147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50">
    <w:name w:val="xl150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51">
    <w:name w:val="xl151"/>
    <w:basedOn w:val="a"/>
    <w:uiPriority w:val="99"/>
    <w:rsid w:val="007F49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152">
    <w:name w:val="xl152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uiPriority w:val="99"/>
    <w:rsid w:val="007F49C3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5">
    <w:name w:val="xl155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uiPriority w:val="99"/>
    <w:rsid w:val="007F49C3"/>
    <w:pPr>
      <w:widowControl/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uiPriority w:val="99"/>
    <w:rsid w:val="007F49C3"/>
    <w:pPr>
      <w:widowControl/>
      <w:pBdr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0">
    <w:name w:val="xl160"/>
    <w:basedOn w:val="a"/>
    <w:uiPriority w:val="99"/>
    <w:rsid w:val="007F49C3"/>
    <w:pPr>
      <w:widowControl/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1">
    <w:name w:val="xl161"/>
    <w:basedOn w:val="a"/>
    <w:uiPriority w:val="99"/>
    <w:rsid w:val="007F49C3"/>
    <w:pPr>
      <w:widowControl/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2">
    <w:name w:val="xl162"/>
    <w:basedOn w:val="a"/>
    <w:uiPriority w:val="99"/>
    <w:rsid w:val="007F49C3"/>
    <w:pPr>
      <w:widowControl/>
      <w:pBdr>
        <w:top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a"/>
    <w:uiPriority w:val="99"/>
    <w:rsid w:val="007F49C3"/>
    <w:pPr>
      <w:widowControl/>
      <w:pBdr>
        <w:lef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a"/>
    <w:uiPriority w:val="99"/>
    <w:rsid w:val="007F49C3"/>
    <w:pPr>
      <w:widowControl/>
      <w:pBdr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uiPriority w:val="99"/>
    <w:rsid w:val="007F49C3"/>
    <w:pPr>
      <w:widowControl/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a"/>
    <w:uiPriority w:val="99"/>
    <w:rsid w:val="007F49C3"/>
    <w:pPr>
      <w:widowControl/>
      <w:pBdr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7">
    <w:name w:val="xl167"/>
    <w:basedOn w:val="a"/>
    <w:uiPriority w:val="99"/>
    <w:rsid w:val="007F49C3"/>
    <w:pPr>
      <w:widowControl/>
      <w:pBdr>
        <w:bottom w:val="single" w:sz="4" w:space="0" w:color="000000"/>
      </w:pBdr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7F49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6">
    <w:name w:val="font6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paragraph" w:customStyle="1" w:styleId="xl63">
    <w:name w:val="xl63"/>
    <w:basedOn w:val="a"/>
    <w:uiPriority w:val="99"/>
    <w:rsid w:val="007F49C3"/>
    <w:pPr>
      <w:widowControl/>
      <w:shd w:val="clear" w:color="auto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uiPriority w:val="99"/>
    <w:rsid w:val="007F49C3"/>
    <w:pPr>
      <w:widowControl/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paragraph">
    <w:name w:val="paragraph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uiPriority w:val="99"/>
    <w:rsid w:val="007F49C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16">
    <w:name w:val="s_16"/>
    <w:basedOn w:val="a"/>
    <w:uiPriority w:val="99"/>
    <w:rsid w:val="007F49C3"/>
    <w:pPr>
      <w:widowControl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uiPriority w:val="99"/>
    <w:qFormat/>
    <w:rsid w:val="007F49C3"/>
    <w:pPr>
      <w:spacing w:after="0" w:line="240" w:lineRule="auto"/>
    </w:pPr>
    <w:rPr>
      <w:rFonts w:ascii="TimesNewRoman" w:eastAsia="TimesNewRoman" w:hAnsi="TimesNewRoman" w:cs="TimesNewRoman"/>
      <w:color w:val="000000"/>
      <w:sz w:val="20"/>
      <w:szCs w:val="20"/>
      <w:lang w:val="en-US" w:eastAsia="zh-CN"/>
    </w:rPr>
  </w:style>
  <w:style w:type="character" w:styleId="affd">
    <w:name w:val="annotation reference"/>
    <w:basedOn w:val="a0"/>
    <w:uiPriority w:val="99"/>
    <w:semiHidden/>
    <w:unhideWhenUsed/>
    <w:rsid w:val="007F49C3"/>
    <w:rPr>
      <w:sz w:val="16"/>
      <w:szCs w:val="16"/>
    </w:rPr>
  </w:style>
  <w:style w:type="character" w:customStyle="1" w:styleId="Heading2Char">
    <w:name w:val="Heading 2 Char"/>
    <w:basedOn w:val="a0"/>
    <w:uiPriority w:val="9"/>
    <w:rsid w:val="007F49C3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7F49C3"/>
    <w:rPr>
      <w:rFonts w:ascii="Arial" w:eastAsia="Arial" w:hAnsi="Arial" w:cs="Arial" w:hint="default"/>
      <w:sz w:val="30"/>
      <w:szCs w:val="30"/>
    </w:rPr>
  </w:style>
  <w:style w:type="character" w:customStyle="1" w:styleId="EndnoteTextChar">
    <w:name w:val="Endnote Text Char"/>
    <w:uiPriority w:val="99"/>
    <w:rsid w:val="007F49C3"/>
    <w:rPr>
      <w:sz w:val="20"/>
    </w:rPr>
  </w:style>
  <w:style w:type="character" w:customStyle="1" w:styleId="HTML1">
    <w:name w:val="Стандартный HTML Знак1"/>
    <w:uiPriority w:val="99"/>
    <w:semiHidden/>
    <w:rsid w:val="007F49C3"/>
    <w:rPr>
      <w:rFonts w:ascii="Consolas" w:eastAsia="Calibri" w:hAnsi="Consolas" w:cs="Consolas" w:hint="default"/>
      <w:sz w:val="20"/>
      <w:szCs w:val="20"/>
    </w:rPr>
  </w:style>
  <w:style w:type="character" w:customStyle="1" w:styleId="HTMLPreformattedChar1">
    <w:name w:val="HTML Preformatted Char1"/>
    <w:uiPriority w:val="99"/>
    <w:semiHidden/>
    <w:rsid w:val="007F49C3"/>
    <w:rPr>
      <w:rFonts w:ascii="Courier New" w:hAnsi="Courier New" w:cs="Courier New" w:hint="default"/>
      <w:sz w:val="20"/>
      <w:szCs w:val="20"/>
    </w:rPr>
  </w:style>
  <w:style w:type="character" w:customStyle="1" w:styleId="16">
    <w:name w:val="Основной текст с отступом Знак1"/>
    <w:basedOn w:val="a0"/>
    <w:uiPriority w:val="99"/>
    <w:semiHidden/>
    <w:rsid w:val="007F49C3"/>
  </w:style>
  <w:style w:type="character" w:customStyle="1" w:styleId="BodyTextIndentChar">
    <w:name w:val="Body Text Indent Char"/>
    <w:uiPriority w:val="99"/>
    <w:semiHidden/>
    <w:rsid w:val="007F49C3"/>
  </w:style>
  <w:style w:type="character" w:customStyle="1" w:styleId="normaltextrun">
    <w:name w:val="normaltextrun"/>
    <w:rsid w:val="007F49C3"/>
  </w:style>
  <w:style w:type="character" w:customStyle="1" w:styleId="apple-style-span">
    <w:name w:val="apple-style-span"/>
    <w:rsid w:val="007F49C3"/>
    <w:rPr>
      <w:rFonts w:ascii="Times New Roman" w:hAnsi="Times New Roman" w:cs="Times New Roman" w:hint="default"/>
    </w:rPr>
  </w:style>
  <w:style w:type="table" w:customStyle="1" w:styleId="34">
    <w:name w:val="Сетка таблицы3"/>
    <w:basedOn w:val="a1"/>
    <w:next w:val="af8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Таблица простая 11"/>
    <w:basedOn w:val="a1"/>
    <w:next w:val="1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next w:val="23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next w:val="3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next w:val="4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next w:val="5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next w:val="-3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next w:val="-4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next w:val="-2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next w:val="-3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TableGridLight1">
    <w:name w:val="Table Grid Light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-Accent11">
    <w:name w:val="Grid Table 3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-Accent11">
    <w:name w:val="Grid Table 4 - Accent 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-Accent11">
    <w:name w:val="Grid Table 5 Dark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ListTable1Light-Accent11">
    <w:name w:val="List Table 1 Light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-Accent11">
    <w:name w:val="List Table 2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-Accent11">
    <w:name w:val="List Table 3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-Accent11">
    <w:name w:val="List Table 5 Dark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10">
    <w:name w:val="Lined - Accent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1">
    <w:name w:val="Lined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1">
    <w:name w:val="Bordered &amp; Lined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7F49C3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112">
    <w:name w:val="Сетка таблицы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0">
    <w:name w:val="Сетка таблицы4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0">
    <w:name w:val="Сетка таблицы5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uiPriority w:val="59"/>
    <w:rsid w:val="007F49C3"/>
    <w:pPr>
      <w:spacing w:before="20"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2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2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1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">
    <w:name w:val="Сетка таблицы3111"/>
    <w:basedOn w:val="a1"/>
    <w:rsid w:val="007F4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">
    <w:name w:val="Сетка таблицы51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1">
    <w:name w:val="Сетка таблицы61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2"/>
    <w:basedOn w:val="a1"/>
    <w:uiPriority w:val="39"/>
    <w:rsid w:val="007F49C3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uiPriority w:val="59"/>
    <w:rsid w:val="007F49C3"/>
    <w:pPr>
      <w:spacing w:before="20"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uiPriority w:val="5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1"/>
    <w:uiPriority w:val="39"/>
    <w:qFormat/>
    <w:rsid w:val="007F49C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5"/>
    <w:basedOn w:val="a1"/>
    <w:uiPriority w:val="39"/>
    <w:qFormat/>
    <w:rsid w:val="007F49C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1"/>
    <w:uiPriority w:val="39"/>
    <w:rsid w:val="007F49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?id=12057560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AB6FE-F191-4386-A7AD-D34C9EDE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5461</Words>
  <Characters>31134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Загорулько Елена Александровна</dc:creator>
  <cp:keywords/>
  <dc:description/>
  <cp:lastModifiedBy>Войцехович Таисия Станиславовна</cp:lastModifiedBy>
  <cp:revision>5</cp:revision>
  <dcterms:created xsi:type="dcterms:W3CDTF">2025-11-07T07:38:00Z</dcterms:created>
  <dcterms:modified xsi:type="dcterms:W3CDTF">2025-11-14T06:17:00Z</dcterms:modified>
</cp:coreProperties>
</file>