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AB" w:rsidRPr="00BB556C" w:rsidRDefault="002B0EAB" w:rsidP="002B0EAB">
      <w:pPr>
        <w:rPr>
          <w:bCs/>
        </w:rPr>
      </w:pPr>
      <w:bookmarkStart w:id="0" w:name="_GoBack"/>
      <w:bookmarkEnd w:id="0"/>
    </w:p>
    <w:p w:rsidR="00DD1C6E" w:rsidRDefault="00DD1C6E" w:rsidP="00DD1C6E">
      <w:pPr>
        <w:jc w:val="center"/>
        <w:rPr>
          <w:sz w:val="28"/>
          <w:szCs w:val="28"/>
        </w:rPr>
      </w:pPr>
      <w:r>
        <w:rPr>
          <w:sz w:val="28"/>
          <w:szCs w:val="28"/>
        </w:rPr>
        <w:t>Предварительные и</w:t>
      </w:r>
      <w:r w:rsidR="00F47DF1" w:rsidRPr="00BB556C">
        <w:rPr>
          <w:sz w:val="28"/>
          <w:szCs w:val="28"/>
        </w:rPr>
        <w:t>тоги социально-экономического развития</w:t>
      </w:r>
    </w:p>
    <w:p w:rsidR="00F47DF1" w:rsidRPr="00BB556C" w:rsidRDefault="00F47DF1" w:rsidP="00DD1C6E">
      <w:pPr>
        <w:jc w:val="center"/>
        <w:rPr>
          <w:sz w:val="28"/>
          <w:szCs w:val="28"/>
        </w:rPr>
      </w:pPr>
      <w:r w:rsidRPr="00BB556C">
        <w:rPr>
          <w:sz w:val="28"/>
          <w:szCs w:val="28"/>
        </w:rPr>
        <w:t>городского округа город Мегион</w:t>
      </w:r>
      <w:r w:rsidR="00DD1C6E">
        <w:rPr>
          <w:sz w:val="28"/>
          <w:szCs w:val="28"/>
        </w:rPr>
        <w:t xml:space="preserve"> </w:t>
      </w:r>
      <w:r w:rsidR="00646D62">
        <w:rPr>
          <w:sz w:val="28"/>
          <w:szCs w:val="28"/>
        </w:rPr>
        <w:t>за январь-сентябрь 2016</w:t>
      </w:r>
      <w:r w:rsidRPr="00BB556C">
        <w:rPr>
          <w:sz w:val="28"/>
          <w:szCs w:val="28"/>
        </w:rPr>
        <w:t xml:space="preserve"> года</w:t>
      </w:r>
      <w:r w:rsidR="00DD1C6E">
        <w:rPr>
          <w:sz w:val="28"/>
          <w:szCs w:val="28"/>
        </w:rPr>
        <w:t xml:space="preserve"> и ожидаемые итоги за 2016 год</w:t>
      </w:r>
    </w:p>
    <w:p w:rsidR="00F47DF1" w:rsidRPr="00BB556C" w:rsidRDefault="00F47DF1" w:rsidP="00F47DF1">
      <w:pPr>
        <w:rPr>
          <w:bCs/>
        </w:rPr>
      </w:pPr>
    </w:p>
    <w:p w:rsidR="00F47DF1" w:rsidRPr="00BB556C" w:rsidRDefault="00F47DF1" w:rsidP="00F47DF1">
      <w:pPr>
        <w:rPr>
          <w:bCs/>
        </w:rPr>
      </w:pPr>
      <w:r w:rsidRPr="00BB556C">
        <w:rPr>
          <w:bCs/>
        </w:rPr>
        <w:t>ДЕМОГРАФИЯ</w:t>
      </w:r>
    </w:p>
    <w:p w:rsidR="00F47DF1" w:rsidRPr="00BB556C" w:rsidRDefault="00F47DF1" w:rsidP="00F47DF1">
      <w:pPr>
        <w:rPr>
          <w:color w:val="FF0000"/>
        </w:rPr>
      </w:pPr>
    </w:p>
    <w:p w:rsidR="00F47DF1" w:rsidRPr="00BB556C" w:rsidRDefault="00F47DF1" w:rsidP="00F47DF1">
      <w:pPr>
        <w:ind w:firstLine="709"/>
        <w:rPr>
          <w:szCs w:val="20"/>
        </w:rPr>
      </w:pPr>
      <w:r w:rsidRPr="00BB556C">
        <w:rPr>
          <w:szCs w:val="20"/>
        </w:rPr>
        <w:t xml:space="preserve">Численность постоянного населения  за январь-сентябрь 2016 года по предварительным данным, снизилась на 0,5% или на 295 человек и составляет 55591 человек. </w:t>
      </w:r>
    </w:p>
    <w:p w:rsidR="00F47DF1" w:rsidRPr="00BB556C" w:rsidRDefault="00F47DF1" w:rsidP="00F47DF1">
      <w:pPr>
        <w:ind w:firstLine="708"/>
      </w:pPr>
      <w:r w:rsidRPr="00BB556C">
        <w:t xml:space="preserve">Основным фактором относительно положительного развития демографической ситуации традиционно является результат естественного движения населения, который за январь-сентябрь 2016 года составил 358 человек, что ниже аналогичного показателя 2015 года на 8,4%. </w:t>
      </w:r>
    </w:p>
    <w:p w:rsidR="00F47DF1" w:rsidRPr="00BB556C" w:rsidRDefault="00F47DF1" w:rsidP="00F47DF1">
      <w:pPr>
        <w:ind w:firstLine="708"/>
      </w:pPr>
      <w:r w:rsidRPr="00BB556C">
        <w:t xml:space="preserve">Число рождений за январь-сентябрь 2016 года, по сравнению с данными за 9 месяцев  2015 года,  снизилось на 80 или же на 11,7% и составило 604. </w:t>
      </w:r>
    </w:p>
    <w:p w:rsidR="00F47DF1" w:rsidRPr="00BB556C" w:rsidRDefault="00F47DF1" w:rsidP="00F47DF1">
      <w:pPr>
        <w:ind w:firstLine="708"/>
      </w:pPr>
      <w:r w:rsidRPr="00BB556C">
        <w:t>Коэффициент рождаемости за девять месяцев 2016 года равен 10,84 промилле. Для сравнения, за девять месяцев 2015 года коэффициент рождаемости составлял 12,22 промилле.</w:t>
      </w:r>
    </w:p>
    <w:p w:rsidR="00F47DF1" w:rsidRPr="00BB556C" w:rsidRDefault="00F47DF1" w:rsidP="00F47DF1">
      <w:pPr>
        <w:ind w:firstLine="708"/>
      </w:pPr>
      <w:r w:rsidRPr="00BB556C">
        <w:t>При этом, как положительный фактор, снизилось число смертей на 47 случаев, и составило 246. За январь-сентябрь  2015 года было зафиксировано 293 случая.</w:t>
      </w:r>
    </w:p>
    <w:p w:rsidR="00F47DF1" w:rsidRPr="00BB556C" w:rsidRDefault="00F47DF1" w:rsidP="00F47DF1">
      <w:pPr>
        <w:widowControl w:val="0"/>
        <w:ind w:firstLine="708"/>
      </w:pPr>
      <w:r w:rsidRPr="00BB556C">
        <w:t xml:space="preserve">Соответственно, снизился коэффициент смертности на 15,7%, и составил 4,41 промилле против 5,23 за тот же период 2015 года.  </w:t>
      </w:r>
    </w:p>
    <w:p w:rsidR="00F47DF1" w:rsidRPr="00BB556C" w:rsidRDefault="00F47DF1" w:rsidP="00F47DF1">
      <w:pPr>
        <w:ind w:firstLine="708"/>
      </w:pPr>
      <w:r w:rsidRPr="00BB556C">
        <w:t>Число рождений в разы выше числа смертей, за 9 месяцев 2016 года в 2,46 раза родилось больше, чем умерло, за 9 месяцев  2015 года в 2,33 раза. Данный факт обеспечивает некоторую стабилизацию численности населения, «перекрывая» частично отрицательный итог миграционной убыли населения.</w:t>
      </w:r>
    </w:p>
    <w:p w:rsidR="00F47DF1" w:rsidRPr="00BB556C" w:rsidRDefault="00F47DF1" w:rsidP="00F47DF1">
      <w:pPr>
        <w:ind w:firstLine="708"/>
      </w:pPr>
      <w:r w:rsidRPr="00BB556C">
        <w:t>В целом в механическом движении за январь-сентябрь 2016 года приняли участие 3637 человек, за девять месяцев 2015 года 4195 человек. Число прибывающих с начала 2016 года сократилось на 15,9%, но сократилось и число выезжающих из территории-на 11,3%.</w:t>
      </w:r>
    </w:p>
    <w:p w:rsidR="00F47DF1" w:rsidRPr="00BB556C" w:rsidRDefault="00F47DF1" w:rsidP="00F47DF1">
      <w:pPr>
        <w:widowControl w:val="0"/>
        <w:ind w:firstLine="708"/>
      </w:pPr>
      <w:r w:rsidRPr="00BB556C">
        <w:t>Миграционный итог девяти месяцев 2016 года составляет 102,0%.</w:t>
      </w:r>
    </w:p>
    <w:p w:rsidR="00F47DF1" w:rsidRPr="00BB556C" w:rsidRDefault="00F47DF1" w:rsidP="00F47DF1">
      <w:pPr>
        <w:widowControl w:val="0"/>
        <w:ind w:firstLine="709"/>
        <w:rPr>
          <w:color w:val="FF0000"/>
        </w:rPr>
      </w:pPr>
      <w:r w:rsidRPr="00BB556C">
        <w:rPr>
          <w:color w:val="FF0000"/>
        </w:rPr>
        <w:t xml:space="preserve">  </w:t>
      </w:r>
    </w:p>
    <w:p w:rsidR="00F47DF1" w:rsidRPr="00BB556C" w:rsidRDefault="00F47DF1" w:rsidP="00F47DF1">
      <w:pPr>
        <w:jc w:val="center"/>
      </w:pPr>
      <w:r w:rsidRPr="00BB556C">
        <w:t>Основные демографические показатели за январь-сентябрь 2015-2016 годов</w:t>
      </w:r>
    </w:p>
    <w:p w:rsidR="00F47DF1" w:rsidRPr="00BB556C" w:rsidRDefault="00F47DF1" w:rsidP="00F47DF1">
      <w:pPr>
        <w:ind w:firstLine="709"/>
        <w:jc w:val="right"/>
        <w:rPr>
          <w:sz w:val="20"/>
          <w:szCs w:val="20"/>
        </w:rPr>
      </w:pPr>
      <w:r w:rsidRPr="00BB556C">
        <w:rPr>
          <w:sz w:val="20"/>
          <w:szCs w:val="20"/>
        </w:rPr>
        <w:t>человек</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1532"/>
        <w:gridCol w:w="1533"/>
        <w:gridCol w:w="929"/>
      </w:tblGrid>
      <w:tr w:rsidR="00F47DF1" w:rsidRPr="00BB556C" w:rsidTr="00B80128">
        <w:trPr>
          <w:trHeight w:val="4"/>
          <w:tblHeader/>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pPr>
              <w:jc w:val="center"/>
              <w:rPr>
                <w:sz w:val="20"/>
                <w:szCs w:val="20"/>
              </w:rPr>
            </w:pPr>
            <w:r w:rsidRPr="00BB556C">
              <w:rPr>
                <w:sz w:val="20"/>
                <w:szCs w:val="20"/>
              </w:rPr>
              <w:t>Показатели</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rPr>
                <w:sz w:val="20"/>
                <w:szCs w:val="20"/>
              </w:rPr>
            </w:pPr>
            <w:r w:rsidRPr="00BB556C">
              <w:rPr>
                <w:sz w:val="20"/>
                <w:szCs w:val="20"/>
              </w:rPr>
              <w:t xml:space="preserve">Январь-сентябрь </w:t>
            </w:r>
          </w:p>
          <w:p w:rsidR="00F47DF1" w:rsidRPr="00BB556C" w:rsidRDefault="00F47DF1" w:rsidP="00F47DF1">
            <w:pPr>
              <w:jc w:val="center"/>
              <w:rPr>
                <w:sz w:val="20"/>
                <w:szCs w:val="20"/>
              </w:rPr>
            </w:pPr>
            <w:r w:rsidRPr="00BB556C">
              <w:rPr>
                <w:sz w:val="20"/>
                <w:szCs w:val="20"/>
              </w:rPr>
              <w:t>2015 года</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rPr>
                <w:sz w:val="20"/>
                <w:szCs w:val="20"/>
              </w:rPr>
            </w:pPr>
            <w:r w:rsidRPr="00BB556C">
              <w:rPr>
                <w:sz w:val="20"/>
                <w:szCs w:val="20"/>
              </w:rPr>
              <w:t xml:space="preserve">Январь-сентябрь </w:t>
            </w:r>
          </w:p>
          <w:p w:rsidR="00F47DF1" w:rsidRPr="00BB556C" w:rsidRDefault="00F47DF1" w:rsidP="00F47DF1">
            <w:pPr>
              <w:jc w:val="center"/>
              <w:rPr>
                <w:sz w:val="20"/>
                <w:szCs w:val="20"/>
              </w:rPr>
            </w:pPr>
            <w:r w:rsidRPr="00BB556C">
              <w:rPr>
                <w:sz w:val="20"/>
                <w:szCs w:val="20"/>
              </w:rPr>
              <w:t>2016 года</w:t>
            </w:r>
          </w:p>
        </w:tc>
        <w:tc>
          <w:tcPr>
            <w:tcW w:w="9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pPr>
              <w:jc w:val="center"/>
              <w:rPr>
                <w:sz w:val="20"/>
                <w:szCs w:val="20"/>
              </w:rPr>
            </w:pPr>
            <w:r w:rsidRPr="00BB556C">
              <w:rPr>
                <w:sz w:val="20"/>
                <w:szCs w:val="20"/>
              </w:rPr>
              <w:t>%</w:t>
            </w:r>
          </w:p>
        </w:tc>
      </w:tr>
      <w:tr w:rsidR="00F47DF1" w:rsidRPr="00BB556C" w:rsidTr="00B80128">
        <w:trPr>
          <w:trHeight w:val="3"/>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Численность постоянного населения</w:t>
            </w:r>
          </w:p>
          <w:p w:rsidR="00F47DF1" w:rsidRPr="00BB556C" w:rsidRDefault="00F47DF1" w:rsidP="00F47DF1">
            <w:r w:rsidRPr="00BB556C">
              <w:t>на начало года</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56104</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55854</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99,6</w:t>
            </w:r>
          </w:p>
        </w:tc>
      </w:tr>
      <w:tr w:rsidR="00F47DF1" w:rsidRPr="00BB556C" w:rsidTr="00B80128">
        <w:trPr>
          <w:trHeight w:val="1"/>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Число рождений</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684</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604</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88,3</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Число смертей</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293</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246</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84,0</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Естественный прирост</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391</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358</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91,6</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Число прибывших на территорию</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1793</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1508</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84,1</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Число убывших из территории</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2402</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2129</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88,7</w:t>
            </w:r>
          </w:p>
        </w:tc>
      </w:tr>
      <w:tr w:rsidR="00F47DF1" w:rsidRPr="00BB556C" w:rsidTr="00B80128">
        <w:trPr>
          <w:trHeight w:val="3"/>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Миграционное сальдо</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-609</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-621</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102,0</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 xml:space="preserve">Численность населения на конец года </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55886</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55591</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99,5</w:t>
            </w:r>
          </w:p>
        </w:tc>
      </w:tr>
      <w:tr w:rsidR="00F47DF1" w:rsidRPr="00BB556C" w:rsidTr="00B80128">
        <w:trPr>
          <w:trHeight w:val="2"/>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Численность населения среднегодовая</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55995</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55723</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99,5</w:t>
            </w:r>
          </w:p>
        </w:tc>
      </w:tr>
      <w:tr w:rsidR="00F47DF1" w:rsidRPr="00BB556C" w:rsidTr="00B80128">
        <w:trPr>
          <w:trHeight w:val="3"/>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Коэффициент рождаемости, промилле</w:t>
            </w:r>
          </w:p>
          <w:p w:rsidR="00F47DF1" w:rsidRPr="00BB556C" w:rsidRDefault="00F47DF1" w:rsidP="00F47DF1">
            <w:r w:rsidRPr="00BB556C">
              <w:t>(количество рождений на 1 000 человек постоянного населения в среднем исчислении)</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12,22</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10,84</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88,7</w:t>
            </w:r>
          </w:p>
        </w:tc>
      </w:tr>
      <w:tr w:rsidR="00F47DF1" w:rsidRPr="00BB556C" w:rsidTr="00B80128">
        <w:trPr>
          <w:trHeight w:val="1"/>
        </w:trPr>
        <w:tc>
          <w:tcPr>
            <w:tcW w:w="5690"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F47DF1">
            <w:r w:rsidRPr="00BB556C">
              <w:t>Коэффициент смертности, промилле</w:t>
            </w:r>
          </w:p>
          <w:p w:rsidR="00F47DF1" w:rsidRPr="00BB556C" w:rsidRDefault="00F47DF1" w:rsidP="00F47DF1">
            <w:r w:rsidRPr="00BB556C">
              <w:t xml:space="preserve">(количество смертей на 1 000 человек постоянного </w:t>
            </w:r>
            <w:r w:rsidRPr="00BB556C">
              <w:lastRenderedPageBreak/>
              <w:t>населения в среднем исчислении)</w:t>
            </w:r>
          </w:p>
        </w:tc>
        <w:tc>
          <w:tcPr>
            <w:tcW w:w="153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lastRenderedPageBreak/>
              <w:t>5,23</w:t>
            </w:r>
          </w:p>
        </w:tc>
        <w:tc>
          <w:tcPr>
            <w:tcW w:w="153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4,41</w:t>
            </w:r>
          </w:p>
        </w:tc>
        <w:tc>
          <w:tcPr>
            <w:tcW w:w="929"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F47DF1">
            <w:pPr>
              <w:jc w:val="center"/>
            </w:pPr>
            <w:r w:rsidRPr="00BB556C">
              <w:t>84,3</w:t>
            </w:r>
          </w:p>
        </w:tc>
      </w:tr>
    </w:tbl>
    <w:p w:rsidR="00F47DF1" w:rsidRPr="00BB556C" w:rsidRDefault="00F47DF1" w:rsidP="00C519AC">
      <w:pPr>
        <w:widowControl w:val="0"/>
      </w:pPr>
      <w:r w:rsidRPr="00BB556C">
        <w:rPr>
          <w:color w:val="FF0000"/>
          <w:sz w:val="16"/>
          <w:szCs w:val="16"/>
        </w:rPr>
        <w:tab/>
      </w:r>
      <w:r w:rsidRPr="00BB556C">
        <w:t xml:space="preserve">С учётом итогов естественного движения населения, которое имеет меньшие, чем за девять месяцев 2015 года объёмы, и схожей ситуации с миграционным движением, до конца 2016 года значительного изменения общей численности населения не произойдёт. </w:t>
      </w:r>
    </w:p>
    <w:p w:rsidR="00F47DF1" w:rsidRPr="00BB556C" w:rsidRDefault="00F47DF1" w:rsidP="00F47DF1">
      <w:pPr>
        <w:ind w:firstLine="709"/>
      </w:pPr>
      <w:r w:rsidRPr="00BB556C">
        <w:t xml:space="preserve">Для дальнейшего приращения и сохранения численности населения необходима реализация комплекса мер по созданию эффективной социальной инфраструктуры, рынка доступного жилья, гибкого рынка труда, стабилизация существующего уровня рождаемости и создание предпосылок для её повышения. </w:t>
      </w:r>
    </w:p>
    <w:p w:rsidR="00F47DF1" w:rsidRPr="00BB556C" w:rsidRDefault="00F47DF1" w:rsidP="00F47DF1">
      <w:pPr>
        <w:rPr>
          <w:color w:val="FF0000"/>
        </w:rPr>
      </w:pPr>
    </w:p>
    <w:p w:rsidR="002B0EAB" w:rsidRPr="00BB556C" w:rsidRDefault="002B0EAB" w:rsidP="002B0EAB">
      <w:pPr>
        <w:pStyle w:val="a5"/>
        <w:rPr>
          <w:rFonts w:ascii="Times New Roman" w:hAnsi="Times New Roman"/>
          <w:color w:val="000000" w:themeColor="text1"/>
          <w:sz w:val="24"/>
          <w:szCs w:val="24"/>
        </w:rPr>
      </w:pPr>
      <w:r w:rsidRPr="00BB556C">
        <w:rPr>
          <w:rFonts w:ascii="Times New Roman" w:hAnsi="Times New Roman"/>
          <w:color w:val="000000" w:themeColor="text1"/>
          <w:sz w:val="24"/>
          <w:szCs w:val="24"/>
        </w:rPr>
        <w:t xml:space="preserve">ПРОМЫШЛЕННОСТЬ </w:t>
      </w:r>
    </w:p>
    <w:p w:rsidR="002B0EAB" w:rsidRPr="00C519AC" w:rsidRDefault="002B0EAB" w:rsidP="002B0EAB">
      <w:pPr>
        <w:pStyle w:val="a5"/>
        <w:ind w:firstLine="720"/>
        <w:rPr>
          <w:color w:val="000000" w:themeColor="text1"/>
        </w:rPr>
      </w:pPr>
    </w:p>
    <w:p w:rsidR="002B0EAB" w:rsidRPr="00BB556C" w:rsidRDefault="002B0EAB" w:rsidP="002B0EAB">
      <w:pPr>
        <w:autoSpaceDE w:val="0"/>
        <w:autoSpaceDN w:val="0"/>
        <w:adjustRightInd w:val="0"/>
        <w:ind w:firstLine="720"/>
      </w:pPr>
      <w:r w:rsidRPr="00BB556C">
        <w:rPr>
          <w:rStyle w:val="apple-style-span"/>
        </w:rPr>
        <w:t xml:space="preserve">В структуре экономики городского округа город Мегион преобладающее место занимает промышленность, на долю которой приходится </w:t>
      </w:r>
      <w:r w:rsidR="00966E95" w:rsidRPr="00BB556C">
        <w:rPr>
          <w:rStyle w:val="apple-style-span"/>
        </w:rPr>
        <w:t>66</w:t>
      </w:r>
      <w:r w:rsidRPr="00BB556C">
        <w:rPr>
          <w:rStyle w:val="apple-style-span"/>
        </w:rPr>
        <w:t xml:space="preserve">,4%. </w:t>
      </w:r>
      <w:r w:rsidRPr="00BB556C">
        <w:t>Промышленное производство городского округа город Мегион включает в себя следующие разделы (отрасли):</w:t>
      </w:r>
    </w:p>
    <w:p w:rsidR="002B0EAB" w:rsidRPr="00BB556C" w:rsidRDefault="002B0EAB" w:rsidP="002B0EAB">
      <w:pPr>
        <w:pStyle w:val="a5"/>
        <w:ind w:firstLine="720"/>
        <w:rPr>
          <w:rFonts w:ascii="Times New Roman" w:hAnsi="Times New Roman"/>
          <w:sz w:val="24"/>
          <w:szCs w:val="24"/>
        </w:rPr>
      </w:pPr>
      <w:r w:rsidRPr="00BB556C">
        <w:rPr>
          <w:rFonts w:ascii="Times New Roman" w:hAnsi="Times New Roman"/>
          <w:sz w:val="24"/>
          <w:szCs w:val="24"/>
        </w:rPr>
        <w:t>- добыча полезных ископаемых;</w:t>
      </w:r>
    </w:p>
    <w:p w:rsidR="002B0EAB" w:rsidRPr="00BB556C" w:rsidRDefault="002B0EAB" w:rsidP="002B0EAB">
      <w:pPr>
        <w:pStyle w:val="a5"/>
        <w:ind w:firstLine="720"/>
        <w:rPr>
          <w:rFonts w:ascii="Times New Roman" w:hAnsi="Times New Roman"/>
          <w:sz w:val="24"/>
          <w:szCs w:val="24"/>
        </w:rPr>
      </w:pPr>
      <w:r w:rsidRPr="00BB556C">
        <w:rPr>
          <w:rFonts w:ascii="Times New Roman" w:hAnsi="Times New Roman"/>
          <w:sz w:val="24"/>
          <w:szCs w:val="24"/>
        </w:rPr>
        <w:t>- обрабатывающие отрасли;</w:t>
      </w:r>
    </w:p>
    <w:p w:rsidR="002B0EAB" w:rsidRPr="00BB556C" w:rsidRDefault="002B0EAB" w:rsidP="002B0EAB">
      <w:pPr>
        <w:pStyle w:val="a5"/>
        <w:ind w:firstLine="720"/>
        <w:rPr>
          <w:rFonts w:ascii="Times New Roman" w:hAnsi="Times New Roman"/>
          <w:sz w:val="24"/>
          <w:szCs w:val="24"/>
        </w:rPr>
      </w:pPr>
      <w:r w:rsidRPr="00BB556C">
        <w:rPr>
          <w:rFonts w:ascii="Times New Roman" w:hAnsi="Times New Roman"/>
          <w:sz w:val="24"/>
          <w:szCs w:val="24"/>
        </w:rPr>
        <w:t>- производство и распределение электроэнергии, газа и воды.</w:t>
      </w:r>
    </w:p>
    <w:p w:rsidR="002B0EAB" w:rsidRPr="00C519AC" w:rsidRDefault="002B0EAB" w:rsidP="002B0EAB">
      <w:pPr>
        <w:pStyle w:val="a5"/>
        <w:ind w:firstLine="720"/>
        <w:rPr>
          <w:rFonts w:ascii="Times New Roman" w:hAnsi="Times New Roman"/>
          <w:sz w:val="16"/>
          <w:szCs w:val="16"/>
        </w:rPr>
      </w:pPr>
    </w:p>
    <w:p w:rsidR="002B0EAB" w:rsidRPr="00BB556C" w:rsidRDefault="002B0EAB" w:rsidP="002B0EAB">
      <w:pPr>
        <w:pStyle w:val="a5"/>
        <w:ind w:firstLine="720"/>
        <w:rPr>
          <w:rStyle w:val="apple-style-span"/>
          <w:sz w:val="24"/>
          <w:szCs w:val="24"/>
        </w:rPr>
      </w:pPr>
      <w:r w:rsidRPr="00BB556C">
        <w:rPr>
          <w:rStyle w:val="apple-style-span"/>
          <w:sz w:val="24"/>
          <w:szCs w:val="24"/>
        </w:rPr>
        <w:t xml:space="preserve">Структура экономики городского округа город Мегион за </w:t>
      </w:r>
      <w:r w:rsidR="00966E95" w:rsidRPr="00BB556C">
        <w:rPr>
          <w:rStyle w:val="apple-style-span"/>
          <w:sz w:val="24"/>
          <w:szCs w:val="24"/>
        </w:rPr>
        <w:t>9 месяцев</w:t>
      </w:r>
      <w:r w:rsidRPr="00BB556C">
        <w:rPr>
          <w:rStyle w:val="apple-style-span"/>
          <w:sz w:val="24"/>
          <w:szCs w:val="24"/>
        </w:rPr>
        <w:t xml:space="preserve"> 2016 года</w:t>
      </w:r>
    </w:p>
    <w:p w:rsidR="002B0EAB" w:rsidRPr="00BB556C" w:rsidRDefault="002B0EAB" w:rsidP="002B0EAB">
      <w:pPr>
        <w:pStyle w:val="a5"/>
        <w:jc w:val="right"/>
        <w:rPr>
          <w:rStyle w:val="apple-style-span"/>
          <w:color w:val="FF0000"/>
          <w:sz w:val="24"/>
          <w:szCs w:val="24"/>
        </w:rPr>
      </w:pPr>
      <w:r w:rsidRPr="00BB556C">
        <w:rPr>
          <w:noProof/>
          <w:color w:val="FF0000"/>
        </w:rPr>
        <w:drawing>
          <wp:inline distT="0" distB="0" distL="0" distR="0" wp14:anchorId="3948C9D0" wp14:editId="38730934">
            <wp:extent cx="6126480" cy="2087880"/>
            <wp:effectExtent l="0" t="0" r="0" b="762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EAB" w:rsidRPr="00BB556C" w:rsidRDefault="002B0EAB" w:rsidP="002B0EAB">
      <w:pPr>
        <w:ind w:firstLine="720"/>
      </w:pPr>
    </w:p>
    <w:p w:rsidR="002B0EAB" w:rsidRPr="00BB556C" w:rsidRDefault="002B0EAB" w:rsidP="002B0EAB">
      <w:pPr>
        <w:ind w:firstLine="720"/>
      </w:pPr>
      <w:r w:rsidRPr="00BB556C">
        <w:t>За январь-</w:t>
      </w:r>
      <w:r w:rsidR="00966E95" w:rsidRPr="00BB556C">
        <w:t>сентябрь</w:t>
      </w:r>
      <w:r w:rsidRPr="00BB556C">
        <w:t xml:space="preserve"> 2016 года объём отгруженных товаров собственного производства, выполненных работ и услуг собственными силами по полному кругу предприятий составил </w:t>
      </w:r>
      <w:r w:rsidR="00966E95" w:rsidRPr="00BB556C">
        <w:t>24 406,9</w:t>
      </w:r>
      <w:r w:rsidRPr="00BB556C">
        <w:t xml:space="preserve"> млн. рублей, что в сопоставимых ценах составляет </w:t>
      </w:r>
      <w:r w:rsidR="00966E95" w:rsidRPr="00BB556C">
        <w:t>114,7</w:t>
      </w:r>
      <w:r w:rsidRPr="00BB556C">
        <w:t>% к аналогичному периоду 2015 года.</w:t>
      </w:r>
    </w:p>
    <w:p w:rsidR="002B0EAB" w:rsidRPr="00BB556C" w:rsidRDefault="002B0EAB" w:rsidP="002B0EAB">
      <w:pPr>
        <w:ind w:firstLine="720"/>
      </w:pPr>
    </w:p>
    <w:p w:rsidR="002B0EAB" w:rsidRPr="00BB556C" w:rsidRDefault="002B0EAB" w:rsidP="002B0EAB">
      <w:pPr>
        <w:ind w:firstLine="720"/>
        <w:jc w:val="center"/>
      </w:pPr>
      <w:r w:rsidRPr="00BB556C">
        <w:t xml:space="preserve">Объём отгруженных товаров собственного производства, выполненных работ и услуг собственными силами по видам экономической деятельности </w:t>
      </w:r>
    </w:p>
    <w:p w:rsidR="002B0EAB" w:rsidRPr="00BB556C" w:rsidRDefault="002B0EAB" w:rsidP="002B0EAB">
      <w:pPr>
        <w:jc w:val="center"/>
        <w:rPr>
          <w:sz w:val="20"/>
          <w:szCs w:val="20"/>
        </w:rPr>
      </w:pPr>
      <w:r w:rsidRPr="00BB556C">
        <w:rPr>
          <w:sz w:val="20"/>
          <w:szCs w:val="20"/>
        </w:rPr>
        <w:t xml:space="preserve">                                                                                                                                                                          млн. рублей </w:t>
      </w:r>
    </w:p>
    <w:tbl>
      <w:tblPr>
        <w:tblW w:w="9694" w:type="dxa"/>
        <w:tblLayout w:type="fixed"/>
        <w:tblLook w:val="01E0" w:firstRow="1" w:lastRow="1" w:firstColumn="1" w:lastColumn="1" w:noHBand="0" w:noVBand="0"/>
      </w:tblPr>
      <w:tblGrid>
        <w:gridCol w:w="5595"/>
        <w:gridCol w:w="1366"/>
        <w:gridCol w:w="1366"/>
        <w:gridCol w:w="1367"/>
      </w:tblGrid>
      <w:tr w:rsidR="002B0EAB" w:rsidRPr="00BB556C" w:rsidTr="00C519AC">
        <w:trPr>
          <w:trHeight w:val="279"/>
          <w:tblHeader/>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center"/>
              <w:rPr>
                <w:sz w:val="20"/>
                <w:szCs w:val="20"/>
              </w:rPr>
            </w:pPr>
            <w:r w:rsidRPr="00BB556C">
              <w:rPr>
                <w:sz w:val="20"/>
                <w:szCs w:val="20"/>
              </w:rPr>
              <w:t>Показатели</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widowControl w:val="0"/>
              <w:autoSpaceDE w:val="0"/>
              <w:autoSpaceDN w:val="0"/>
              <w:adjustRightInd w:val="0"/>
              <w:jc w:val="center"/>
              <w:rPr>
                <w:sz w:val="20"/>
                <w:szCs w:val="20"/>
              </w:rPr>
            </w:pPr>
            <w:r w:rsidRPr="00BB556C">
              <w:rPr>
                <w:sz w:val="20"/>
                <w:szCs w:val="20"/>
              </w:rPr>
              <w:t>Январь-</w:t>
            </w:r>
            <w:r w:rsidR="00966E95" w:rsidRPr="00BB556C">
              <w:rPr>
                <w:sz w:val="20"/>
                <w:szCs w:val="20"/>
              </w:rPr>
              <w:t>сентябрь</w:t>
            </w:r>
            <w:r w:rsidRPr="00BB556C">
              <w:rPr>
                <w:sz w:val="20"/>
                <w:szCs w:val="20"/>
              </w:rPr>
              <w:t xml:space="preserve"> </w:t>
            </w:r>
          </w:p>
          <w:p w:rsidR="002B0EAB" w:rsidRPr="00BB556C" w:rsidRDefault="002B0EAB" w:rsidP="002B0EAB">
            <w:pPr>
              <w:widowControl w:val="0"/>
              <w:autoSpaceDE w:val="0"/>
              <w:autoSpaceDN w:val="0"/>
              <w:adjustRightInd w:val="0"/>
              <w:jc w:val="center"/>
              <w:rPr>
                <w:sz w:val="20"/>
                <w:szCs w:val="20"/>
              </w:rPr>
            </w:pPr>
            <w:r w:rsidRPr="00BB556C">
              <w:rPr>
                <w:sz w:val="20"/>
                <w:szCs w:val="20"/>
              </w:rPr>
              <w:t>2015 года</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widowControl w:val="0"/>
              <w:autoSpaceDE w:val="0"/>
              <w:autoSpaceDN w:val="0"/>
              <w:adjustRightInd w:val="0"/>
              <w:jc w:val="center"/>
              <w:rPr>
                <w:sz w:val="20"/>
                <w:szCs w:val="20"/>
              </w:rPr>
            </w:pPr>
            <w:r w:rsidRPr="00BB556C">
              <w:rPr>
                <w:sz w:val="20"/>
                <w:szCs w:val="20"/>
              </w:rPr>
              <w:t>Январь</w:t>
            </w:r>
            <w:r w:rsidR="00966E95" w:rsidRPr="00BB556C">
              <w:rPr>
                <w:sz w:val="20"/>
                <w:szCs w:val="20"/>
              </w:rPr>
              <w:t>-сентябрь</w:t>
            </w:r>
            <w:r w:rsidRPr="00BB556C">
              <w:rPr>
                <w:sz w:val="20"/>
                <w:szCs w:val="20"/>
              </w:rPr>
              <w:t xml:space="preserve"> </w:t>
            </w:r>
          </w:p>
          <w:p w:rsidR="002B0EAB" w:rsidRPr="00BB556C" w:rsidRDefault="002B0EAB" w:rsidP="002B0EAB">
            <w:pPr>
              <w:widowControl w:val="0"/>
              <w:autoSpaceDE w:val="0"/>
              <w:autoSpaceDN w:val="0"/>
              <w:adjustRightInd w:val="0"/>
              <w:jc w:val="center"/>
              <w:rPr>
                <w:sz w:val="20"/>
                <w:szCs w:val="20"/>
              </w:rPr>
            </w:pPr>
            <w:r w:rsidRPr="00BB556C">
              <w:rPr>
                <w:sz w:val="20"/>
                <w:szCs w:val="20"/>
              </w:rPr>
              <w:t>2016 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center"/>
              <w:rPr>
                <w:sz w:val="20"/>
                <w:szCs w:val="20"/>
              </w:rPr>
            </w:pPr>
            <w:r w:rsidRPr="00BB556C">
              <w:rPr>
                <w:sz w:val="20"/>
                <w:szCs w:val="20"/>
              </w:rPr>
              <w:t>Темп  роста в сопоставимых ценах,</w:t>
            </w:r>
          </w:p>
          <w:p w:rsidR="002B0EAB" w:rsidRPr="00BB556C" w:rsidRDefault="002B0EAB" w:rsidP="002B0EAB">
            <w:pPr>
              <w:widowControl w:val="0"/>
              <w:autoSpaceDE w:val="0"/>
              <w:autoSpaceDN w:val="0"/>
              <w:adjustRightInd w:val="0"/>
              <w:jc w:val="center"/>
              <w:rPr>
                <w:sz w:val="20"/>
                <w:szCs w:val="20"/>
              </w:rPr>
            </w:pPr>
            <w:r w:rsidRPr="00BB556C">
              <w:rPr>
                <w:sz w:val="20"/>
                <w:szCs w:val="20"/>
              </w:rPr>
              <w:t>%</w:t>
            </w:r>
          </w:p>
        </w:tc>
      </w:tr>
      <w:tr w:rsidR="002B0EAB" w:rsidRPr="00BB556C" w:rsidTr="00C519AC">
        <w:trPr>
          <w:trHeight w:val="277"/>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left"/>
            </w:pPr>
            <w:r w:rsidRPr="00BB556C">
              <w:t>Всего объём отгруженных товаров собственного производства</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966E95" w:rsidP="002B0EAB">
            <w:pPr>
              <w:widowControl w:val="0"/>
              <w:autoSpaceDE w:val="0"/>
              <w:autoSpaceDN w:val="0"/>
              <w:adjustRightInd w:val="0"/>
              <w:jc w:val="center"/>
            </w:pPr>
            <w:r w:rsidRPr="00BB556C">
              <w:t>24 227,9</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24 406,9</w:t>
            </w:r>
          </w:p>
        </w:tc>
        <w:tc>
          <w:tcPr>
            <w:tcW w:w="1367"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114,7</w:t>
            </w:r>
          </w:p>
        </w:tc>
      </w:tr>
      <w:tr w:rsidR="002B0EAB" w:rsidRPr="00BB556C" w:rsidTr="00C519AC">
        <w:trPr>
          <w:trHeight w:val="58"/>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left"/>
            </w:pPr>
            <w:r w:rsidRPr="00BB556C">
              <w:t>в том числе по видам экономической деятельности:</w:t>
            </w:r>
          </w:p>
        </w:tc>
        <w:tc>
          <w:tcPr>
            <w:tcW w:w="1366" w:type="dxa"/>
            <w:tcBorders>
              <w:top w:val="single" w:sz="4" w:space="0" w:color="auto"/>
              <w:left w:val="single" w:sz="4" w:space="0" w:color="auto"/>
              <w:bottom w:val="single" w:sz="4" w:space="0" w:color="auto"/>
              <w:right w:val="single" w:sz="4" w:space="0" w:color="auto"/>
            </w:tcBorders>
            <w:vAlign w:val="bottom"/>
          </w:tcPr>
          <w:p w:rsidR="002B0EAB" w:rsidRPr="00BB556C" w:rsidRDefault="002B0EAB" w:rsidP="002B0EAB">
            <w:pPr>
              <w:widowControl w:val="0"/>
              <w:autoSpaceDE w:val="0"/>
              <w:autoSpaceDN w:val="0"/>
              <w:adjustRightInd w:val="0"/>
              <w:jc w:val="center"/>
            </w:pPr>
          </w:p>
        </w:tc>
        <w:tc>
          <w:tcPr>
            <w:tcW w:w="1366" w:type="dxa"/>
            <w:tcBorders>
              <w:top w:val="single" w:sz="4" w:space="0" w:color="auto"/>
              <w:left w:val="single" w:sz="4" w:space="0" w:color="auto"/>
              <w:bottom w:val="single" w:sz="4" w:space="0" w:color="auto"/>
              <w:right w:val="single" w:sz="4" w:space="0" w:color="auto"/>
            </w:tcBorders>
            <w:vAlign w:val="bottom"/>
          </w:tcPr>
          <w:p w:rsidR="002B0EAB" w:rsidRPr="00BB556C" w:rsidRDefault="002B0EAB" w:rsidP="002B0EAB">
            <w:pPr>
              <w:widowControl w:val="0"/>
              <w:autoSpaceDE w:val="0"/>
              <w:autoSpaceDN w:val="0"/>
              <w:adjustRightInd w:val="0"/>
              <w:jc w:val="center"/>
            </w:pPr>
          </w:p>
        </w:tc>
        <w:tc>
          <w:tcPr>
            <w:tcW w:w="1367" w:type="dxa"/>
            <w:tcBorders>
              <w:top w:val="single" w:sz="4" w:space="0" w:color="auto"/>
              <w:left w:val="single" w:sz="4" w:space="0" w:color="auto"/>
              <w:bottom w:val="single" w:sz="4" w:space="0" w:color="auto"/>
              <w:right w:val="single" w:sz="4" w:space="0" w:color="auto"/>
            </w:tcBorders>
            <w:vAlign w:val="bottom"/>
          </w:tcPr>
          <w:p w:rsidR="002B0EAB" w:rsidRPr="00BB556C" w:rsidRDefault="002B0EAB" w:rsidP="002B0EAB">
            <w:pPr>
              <w:widowControl w:val="0"/>
              <w:autoSpaceDE w:val="0"/>
              <w:autoSpaceDN w:val="0"/>
              <w:adjustRightInd w:val="0"/>
              <w:jc w:val="center"/>
            </w:pPr>
          </w:p>
        </w:tc>
      </w:tr>
      <w:tr w:rsidR="002B0EAB" w:rsidRPr="00BB556C" w:rsidTr="00C519AC">
        <w:trPr>
          <w:trHeight w:val="248"/>
        </w:trPr>
        <w:tc>
          <w:tcPr>
            <w:tcW w:w="5595"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widowControl w:val="0"/>
              <w:autoSpaceDE w:val="0"/>
              <w:autoSpaceDN w:val="0"/>
              <w:adjustRightInd w:val="0"/>
              <w:jc w:val="left"/>
            </w:pPr>
            <w:r w:rsidRPr="00BB556C">
              <w:t>Добыча полезных ископаемых</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12 643,2</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12 826,4</w:t>
            </w:r>
          </w:p>
        </w:tc>
        <w:tc>
          <w:tcPr>
            <w:tcW w:w="1367"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133,0</w:t>
            </w:r>
          </w:p>
        </w:tc>
      </w:tr>
      <w:tr w:rsidR="002B0EAB" w:rsidRPr="00BB556C" w:rsidTr="00C519AC">
        <w:trPr>
          <w:trHeight w:val="248"/>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left"/>
            </w:pPr>
            <w:r w:rsidRPr="00BB556C">
              <w:t>Обрабатывающие производства</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1 010,0</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1 028,5</w:t>
            </w:r>
          </w:p>
        </w:tc>
        <w:tc>
          <w:tcPr>
            <w:tcW w:w="1367"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95,8</w:t>
            </w:r>
          </w:p>
        </w:tc>
      </w:tr>
      <w:tr w:rsidR="002B0EAB" w:rsidRPr="00BB556C" w:rsidTr="00C519AC">
        <w:trPr>
          <w:trHeight w:val="362"/>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left"/>
            </w:pPr>
            <w:r w:rsidRPr="00BB556C">
              <w:lastRenderedPageBreak/>
              <w:t>Производство, распределение электроэнергии, газа и воды</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1 991,7</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2 344,1</w:t>
            </w:r>
          </w:p>
        </w:tc>
        <w:tc>
          <w:tcPr>
            <w:tcW w:w="1367"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109,3</w:t>
            </w:r>
          </w:p>
        </w:tc>
      </w:tr>
      <w:tr w:rsidR="002B0EAB" w:rsidRPr="00BB556C" w:rsidTr="00C519AC">
        <w:trPr>
          <w:trHeight w:val="362"/>
        </w:trPr>
        <w:tc>
          <w:tcPr>
            <w:tcW w:w="5595" w:type="dxa"/>
            <w:tcBorders>
              <w:top w:val="single" w:sz="4" w:space="0" w:color="auto"/>
              <w:left w:val="single" w:sz="4" w:space="0" w:color="auto"/>
              <w:bottom w:val="single" w:sz="4" w:space="0" w:color="auto"/>
              <w:right w:val="single" w:sz="4" w:space="0" w:color="auto"/>
            </w:tcBorders>
            <w:vAlign w:val="center"/>
            <w:hideMark/>
          </w:tcPr>
          <w:p w:rsidR="002B0EAB" w:rsidRPr="00BB556C" w:rsidRDefault="002B0EAB" w:rsidP="002B0EAB">
            <w:pPr>
              <w:widowControl w:val="0"/>
              <w:autoSpaceDE w:val="0"/>
              <w:autoSpaceDN w:val="0"/>
              <w:adjustRightInd w:val="0"/>
              <w:jc w:val="left"/>
            </w:pPr>
            <w:r w:rsidRPr="00BB556C">
              <w:t>Прочие виды экономической деятельности</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8 583,0</w:t>
            </w:r>
          </w:p>
        </w:tc>
        <w:tc>
          <w:tcPr>
            <w:tcW w:w="1366"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8 207,9</w:t>
            </w:r>
          </w:p>
        </w:tc>
        <w:tc>
          <w:tcPr>
            <w:tcW w:w="1367" w:type="dxa"/>
            <w:tcBorders>
              <w:top w:val="single" w:sz="4" w:space="0" w:color="auto"/>
              <w:left w:val="single" w:sz="4" w:space="0" w:color="auto"/>
              <w:bottom w:val="single" w:sz="4" w:space="0" w:color="auto"/>
              <w:right w:val="single" w:sz="4" w:space="0" w:color="auto"/>
            </w:tcBorders>
            <w:vAlign w:val="center"/>
          </w:tcPr>
          <w:p w:rsidR="002B0EAB" w:rsidRPr="00BB556C" w:rsidRDefault="005D28C7" w:rsidP="002B0EAB">
            <w:pPr>
              <w:widowControl w:val="0"/>
              <w:autoSpaceDE w:val="0"/>
              <w:autoSpaceDN w:val="0"/>
              <w:adjustRightInd w:val="0"/>
              <w:jc w:val="center"/>
            </w:pPr>
            <w:r w:rsidRPr="00BB556C">
              <w:t>68,0</w:t>
            </w:r>
          </w:p>
        </w:tc>
      </w:tr>
    </w:tbl>
    <w:p w:rsidR="002B0EAB" w:rsidRPr="00BB556C" w:rsidRDefault="002B0EAB" w:rsidP="002B0EAB">
      <w:pPr>
        <w:ind w:firstLine="720"/>
      </w:pPr>
      <w:r w:rsidRPr="00BB556C">
        <w:t xml:space="preserve">Основную долю промышленного производства составляют предприятия по добыче полезных ископаемых на долю которых приходится </w:t>
      </w:r>
      <w:r w:rsidR="002A0641" w:rsidRPr="00BB556C">
        <w:t>79,2</w:t>
      </w:r>
      <w:r w:rsidRPr="00BB556C">
        <w:t xml:space="preserve">% от общего объема отгруженных товаров промышленного производства. </w:t>
      </w:r>
    </w:p>
    <w:p w:rsidR="002B0EAB" w:rsidRPr="00BB556C" w:rsidRDefault="002B0EAB" w:rsidP="002B0EAB">
      <w:pPr>
        <w:ind w:firstLine="720"/>
      </w:pPr>
      <w:r w:rsidRPr="00BB556C">
        <w:t xml:space="preserve">Предприятиями  по виду деятельности «Добыча полезных ископаемых» за  </w:t>
      </w:r>
      <w:r w:rsidR="002A0641" w:rsidRPr="00BB556C">
        <w:t>январь - сентябрь</w:t>
      </w:r>
      <w:r w:rsidRPr="00BB556C">
        <w:t xml:space="preserve"> 2016 года отгружено товаров собственного производства, выполнено работ и услуг собственными силами </w:t>
      </w:r>
      <w:r w:rsidR="00B80128" w:rsidRPr="00BB556C">
        <w:t>в сопост</w:t>
      </w:r>
      <w:r w:rsidR="00C519AC">
        <w:t>а</w:t>
      </w:r>
      <w:r w:rsidR="00B80128" w:rsidRPr="00BB556C">
        <w:t>вимых</w:t>
      </w:r>
      <w:r w:rsidRPr="00BB556C">
        <w:t xml:space="preserve"> ценах на сумму </w:t>
      </w:r>
      <w:r w:rsidR="002A0641" w:rsidRPr="00BB556C">
        <w:t>12 826,4</w:t>
      </w:r>
      <w:r w:rsidRPr="00BB556C">
        <w:t xml:space="preserve"> млн. рублей</w:t>
      </w:r>
      <w:r w:rsidR="002A0641" w:rsidRPr="00BB556C">
        <w:t>, что на 33,0</w:t>
      </w:r>
      <w:r w:rsidRPr="00BB556C">
        <w:t xml:space="preserve">% выше показателя 2015 года. </w:t>
      </w:r>
    </w:p>
    <w:p w:rsidR="002B0EAB" w:rsidRPr="00BB556C" w:rsidRDefault="002B0EAB" w:rsidP="002B0EAB">
      <w:pPr>
        <w:ind w:firstLine="720"/>
      </w:pPr>
      <w:r w:rsidRPr="00BB556C">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Объём продукции обрабатывающих производств за отчётный период составил</w:t>
      </w:r>
      <w:r w:rsidRPr="00BB556C">
        <w:rPr>
          <w:color w:val="FF0000"/>
        </w:rPr>
        <w:t xml:space="preserve"> </w:t>
      </w:r>
      <w:r w:rsidR="002A0641" w:rsidRPr="00BB556C">
        <w:t>1 028,5</w:t>
      </w:r>
      <w:r w:rsidRPr="00BB556C">
        <w:t xml:space="preserve"> млн. рублей, или </w:t>
      </w:r>
      <w:r w:rsidR="002A0641" w:rsidRPr="00BB556C">
        <w:t>95,8</w:t>
      </w:r>
      <w:r w:rsidRPr="00BB556C">
        <w:t>% в сопоставимых ценах к уровню показателя 2015 года.</w:t>
      </w:r>
    </w:p>
    <w:p w:rsidR="002B0EAB" w:rsidRPr="00BB556C" w:rsidRDefault="002B0EAB" w:rsidP="002B0EAB">
      <w:pPr>
        <w:pStyle w:val="a3"/>
        <w:spacing w:after="0"/>
        <w:ind w:left="0" w:firstLine="720"/>
      </w:pPr>
      <w:r w:rsidRPr="00BB556C">
        <w:t xml:space="preserve">Объём отгруженной продукции собственного производства, выполненных работ и услуг собственными силами по виду деятельности «Распределение электроэнергии, газа и воды» за отчётный период 2016 года составил </w:t>
      </w:r>
      <w:r w:rsidR="002A0641" w:rsidRPr="00BB556C">
        <w:t>2 344,1</w:t>
      </w:r>
      <w:r w:rsidRPr="00BB556C">
        <w:t xml:space="preserve"> млн. рублей, или </w:t>
      </w:r>
      <w:r w:rsidR="002A0641" w:rsidRPr="00BB556C">
        <w:t>109,3</w:t>
      </w:r>
      <w:r w:rsidRPr="00BB556C">
        <w:t>% к соответствующему периоду 2015 года в сопоставимых ценах.</w:t>
      </w:r>
    </w:p>
    <w:p w:rsidR="002B0EAB" w:rsidRPr="00BB556C" w:rsidRDefault="002B0EAB" w:rsidP="002B0EAB">
      <w:pPr>
        <w:pStyle w:val="a3"/>
        <w:spacing w:after="0"/>
        <w:ind w:left="0" w:firstLine="720"/>
        <w:rPr>
          <w:color w:val="000000" w:themeColor="text1"/>
        </w:rPr>
      </w:pPr>
      <w:r w:rsidRPr="00BB556C">
        <w:t xml:space="preserve">В структуре объёма отгруженных товаров собственного производства по виду деятельности «Распределение электроэнергии, газа и воды» за </w:t>
      </w:r>
      <w:r w:rsidR="002A0641" w:rsidRPr="00BB556C">
        <w:t>9 месяцев</w:t>
      </w:r>
      <w:r w:rsidRPr="00BB556C">
        <w:t xml:space="preserve"> 2016 года наибольший удельный вес занимают предприятия, занимающиеся передачей и распределением электроэнергии – </w:t>
      </w:r>
      <w:r w:rsidR="002A0641" w:rsidRPr="00BB556C">
        <w:t>74,0</w:t>
      </w:r>
      <w:r w:rsidRPr="00BB556C">
        <w:t xml:space="preserve">%, предприятия по производству, передаче и </w:t>
      </w:r>
      <w:r w:rsidRPr="00BB556C">
        <w:rPr>
          <w:color w:val="000000" w:themeColor="text1"/>
        </w:rPr>
        <w:t xml:space="preserve">распределению пара и горячей воды – </w:t>
      </w:r>
      <w:r w:rsidR="002A0641" w:rsidRPr="00BB556C">
        <w:rPr>
          <w:color w:val="000000" w:themeColor="text1"/>
        </w:rPr>
        <w:t>21,0</w:t>
      </w:r>
      <w:r w:rsidRPr="00BB556C">
        <w:rPr>
          <w:color w:val="000000" w:themeColor="text1"/>
        </w:rPr>
        <w:t xml:space="preserve">%. </w:t>
      </w:r>
    </w:p>
    <w:p w:rsidR="003F7751" w:rsidRPr="00BB556C" w:rsidRDefault="003F7751" w:rsidP="002B0EAB">
      <w:pPr>
        <w:rPr>
          <w:color w:val="000000" w:themeColor="text1"/>
        </w:rPr>
      </w:pPr>
    </w:p>
    <w:p w:rsidR="002B0EAB" w:rsidRPr="00BB556C" w:rsidRDefault="002B0EAB" w:rsidP="002B0EAB">
      <w:pPr>
        <w:rPr>
          <w:color w:val="000000" w:themeColor="text1"/>
        </w:rPr>
      </w:pPr>
      <w:r w:rsidRPr="00BB556C">
        <w:rPr>
          <w:color w:val="000000" w:themeColor="text1"/>
        </w:rPr>
        <w:t xml:space="preserve">ИНВЕСТИЦИИ </w:t>
      </w:r>
    </w:p>
    <w:p w:rsidR="002B0EAB" w:rsidRPr="00BB556C" w:rsidRDefault="002B0EAB" w:rsidP="002B0EAB">
      <w:pPr>
        <w:rPr>
          <w:color w:val="000000" w:themeColor="text1"/>
        </w:rPr>
      </w:pPr>
    </w:p>
    <w:p w:rsidR="002B0EAB" w:rsidRPr="00BB556C" w:rsidRDefault="002B0EAB" w:rsidP="002B0EAB">
      <w:pPr>
        <w:ind w:firstLine="708"/>
        <w:rPr>
          <w:bCs/>
          <w:iCs/>
          <w:color w:val="000000" w:themeColor="text1"/>
        </w:rPr>
      </w:pPr>
      <w:r w:rsidRPr="00BB556C">
        <w:rPr>
          <w:bCs/>
          <w:iCs/>
          <w:color w:val="000000" w:themeColor="text1"/>
        </w:rPr>
        <w:t>Привлечение инвестиций в экономику города является одной из наиболее важных задач, стоящих перед администрацией городского округа город Мегион, решение которой возможно путем формирования целенаправленной и комплексной инвестиционной политики.</w:t>
      </w:r>
    </w:p>
    <w:p w:rsidR="002B0EAB" w:rsidRPr="00BB556C" w:rsidRDefault="002B0EAB" w:rsidP="002B0EAB">
      <w:pPr>
        <w:ind w:firstLine="708"/>
        <w:rPr>
          <w:bCs/>
          <w:iCs/>
          <w:color w:val="000000" w:themeColor="text1"/>
        </w:rPr>
      </w:pPr>
      <w:r w:rsidRPr="00BB556C">
        <w:rPr>
          <w:bCs/>
          <w:iCs/>
          <w:color w:val="000000" w:themeColor="text1"/>
        </w:rPr>
        <w:t>В настоящее время основным условием ускорения экономического роста и главной задачей инвестиционной политики является совместная работа власти, бизнеса, общества по повышению предпринимательской активности, улучшению инвестиционного и делового климата.</w:t>
      </w:r>
    </w:p>
    <w:p w:rsidR="002B0EAB" w:rsidRPr="00BB556C" w:rsidRDefault="002B0EAB" w:rsidP="002B0EAB">
      <w:pPr>
        <w:ind w:firstLine="708"/>
        <w:rPr>
          <w:color w:val="000000" w:themeColor="text1"/>
        </w:rPr>
      </w:pPr>
      <w:r w:rsidRPr="00BB556C">
        <w:rPr>
          <w:bCs/>
          <w:iCs/>
          <w:color w:val="000000" w:themeColor="text1"/>
        </w:rPr>
        <w:t>По оценке объем инвестиций в основной капитал,</w:t>
      </w:r>
      <w:r w:rsidRPr="00BB556C">
        <w:rPr>
          <w:bCs/>
          <w:i/>
          <w:iCs/>
          <w:color w:val="000000" w:themeColor="text1"/>
        </w:rPr>
        <w:t xml:space="preserve"> </w:t>
      </w:r>
      <w:r w:rsidRPr="00BB556C">
        <w:rPr>
          <w:color w:val="000000" w:themeColor="text1"/>
        </w:rPr>
        <w:t xml:space="preserve">освоенных крупными предприятиями городского округа город Мегион за </w:t>
      </w:r>
      <w:r w:rsidR="00952B1B" w:rsidRPr="00BB556C">
        <w:rPr>
          <w:color w:val="000000" w:themeColor="text1"/>
        </w:rPr>
        <w:t>9 месяцев</w:t>
      </w:r>
      <w:r w:rsidRPr="00BB556C">
        <w:rPr>
          <w:color w:val="000000" w:themeColor="text1"/>
        </w:rPr>
        <w:t xml:space="preserve"> 2016 года составил              </w:t>
      </w:r>
      <w:r w:rsidR="00952B1B" w:rsidRPr="00BB556C">
        <w:rPr>
          <w:color w:val="000000" w:themeColor="text1"/>
        </w:rPr>
        <w:t>14 806,3</w:t>
      </w:r>
      <w:r w:rsidRPr="00BB556C">
        <w:rPr>
          <w:color w:val="000000" w:themeColor="text1"/>
        </w:rPr>
        <w:t xml:space="preserve"> млн. рублей, что в сопоставимой оценке на </w:t>
      </w:r>
      <w:r w:rsidR="00952B1B" w:rsidRPr="00BB556C">
        <w:rPr>
          <w:color w:val="000000" w:themeColor="text1"/>
        </w:rPr>
        <w:t>13,9</w:t>
      </w:r>
      <w:r w:rsidRPr="00BB556C">
        <w:rPr>
          <w:color w:val="000000" w:themeColor="text1"/>
        </w:rPr>
        <w:t>% ниже уровня соответствующего периода 2015 года.</w:t>
      </w:r>
    </w:p>
    <w:p w:rsidR="002B0EAB" w:rsidRPr="00BB556C" w:rsidRDefault="002B0EAB" w:rsidP="002B0EAB">
      <w:pPr>
        <w:ind w:firstLine="708"/>
        <w:rPr>
          <w:color w:val="000000" w:themeColor="text1"/>
        </w:rPr>
      </w:pPr>
      <w:r w:rsidRPr="00BB556C">
        <w:rPr>
          <w:color w:val="000000" w:themeColor="text1"/>
        </w:rPr>
        <w:t>В составе вложений в основной капитал по видам экономической деятельности (по кругу крупных и средних организаций) лидируют инвестиции по виду экономической деятельности «Добыча полезных ископаемых».</w:t>
      </w:r>
    </w:p>
    <w:p w:rsidR="002B0EAB" w:rsidRPr="00BB556C" w:rsidRDefault="002B0EAB" w:rsidP="002B0EAB">
      <w:pPr>
        <w:ind w:firstLine="709"/>
        <w:rPr>
          <w:color w:val="000000" w:themeColor="text1"/>
        </w:rPr>
      </w:pPr>
      <w:r w:rsidRPr="00BB556C">
        <w:t xml:space="preserve">Основным источником инвестиций в основной капитал являются собственные средства предприятий. Инвестиции за счет собственных средств предприятий в основном </w:t>
      </w:r>
      <w:r w:rsidRPr="00BB556C">
        <w:rPr>
          <w:color w:val="000000" w:themeColor="text1"/>
        </w:rPr>
        <w:t xml:space="preserve">направлены на развитие, строительство и поддержание производственных мощностей. </w:t>
      </w:r>
    </w:p>
    <w:p w:rsidR="002B0EAB" w:rsidRPr="00BB556C" w:rsidRDefault="002B0EAB" w:rsidP="002B0EAB">
      <w:pPr>
        <w:autoSpaceDE w:val="0"/>
        <w:autoSpaceDN w:val="0"/>
        <w:adjustRightInd w:val="0"/>
        <w:ind w:firstLine="708"/>
        <w:outlineLvl w:val="1"/>
        <w:rPr>
          <w:color w:val="000000" w:themeColor="text1"/>
        </w:rPr>
      </w:pPr>
      <w:r w:rsidRPr="00BB556C">
        <w:rPr>
          <w:color w:val="000000" w:themeColor="text1"/>
        </w:rPr>
        <w:t xml:space="preserve">Основными задачами на 2016 год в области инвестиционной политики будут являться наращивание объемов, обеспечение сбалансированности и качества инвестиций, </w:t>
      </w:r>
      <w:r w:rsidRPr="00BB556C">
        <w:rPr>
          <w:color w:val="000000" w:themeColor="text1"/>
        </w:rPr>
        <w:lastRenderedPageBreak/>
        <w:t>привлечение дополнительных средств в рамках реализации федеральных, окружных и муниципальных программ. Реализация данных направлений в инвестиционной сфере будет предопределять устойчивость экономики города.</w:t>
      </w:r>
    </w:p>
    <w:p w:rsidR="002B0EAB" w:rsidRPr="00BB556C" w:rsidRDefault="002B0EAB" w:rsidP="002B0EAB">
      <w:pPr>
        <w:autoSpaceDE w:val="0"/>
        <w:autoSpaceDN w:val="0"/>
        <w:adjustRightInd w:val="0"/>
        <w:ind w:firstLine="708"/>
        <w:outlineLvl w:val="1"/>
        <w:rPr>
          <w:color w:val="000000" w:themeColor="text1"/>
        </w:rPr>
      </w:pPr>
    </w:p>
    <w:p w:rsidR="002B0EAB" w:rsidRPr="00BB556C" w:rsidRDefault="002B0EAB" w:rsidP="002B0EAB">
      <w:pPr>
        <w:autoSpaceDE w:val="0"/>
        <w:autoSpaceDN w:val="0"/>
        <w:adjustRightInd w:val="0"/>
        <w:ind w:firstLine="708"/>
        <w:outlineLvl w:val="1"/>
        <w:rPr>
          <w:color w:val="000000" w:themeColor="text1"/>
        </w:rPr>
      </w:pPr>
    </w:p>
    <w:p w:rsidR="00C519AC" w:rsidRDefault="00C519AC" w:rsidP="002B0EAB">
      <w:pPr>
        <w:autoSpaceDE w:val="0"/>
        <w:autoSpaceDN w:val="0"/>
        <w:adjustRightInd w:val="0"/>
        <w:outlineLvl w:val="1"/>
        <w:rPr>
          <w:color w:val="000000" w:themeColor="text1"/>
        </w:rPr>
      </w:pPr>
    </w:p>
    <w:p w:rsidR="00C519AC" w:rsidRDefault="00C519AC" w:rsidP="002B0EAB">
      <w:pPr>
        <w:autoSpaceDE w:val="0"/>
        <w:autoSpaceDN w:val="0"/>
        <w:adjustRightInd w:val="0"/>
        <w:outlineLvl w:val="1"/>
        <w:rPr>
          <w:color w:val="000000" w:themeColor="text1"/>
        </w:rPr>
      </w:pPr>
    </w:p>
    <w:p w:rsidR="00C519AC" w:rsidRDefault="00C519AC" w:rsidP="002B0EAB">
      <w:pPr>
        <w:autoSpaceDE w:val="0"/>
        <w:autoSpaceDN w:val="0"/>
        <w:adjustRightInd w:val="0"/>
        <w:outlineLvl w:val="1"/>
        <w:rPr>
          <w:color w:val="000000" w:themeColor="text1"/>
        </w:rPr>
      </w:pPr>
    </w:p>
    <w:p w:rsidR="002B0EAB" w:rsidRPr="00BB556C" w:rsidRDefault="002B0EAB" w:rsidP="002B0EAB">
      <w:pPr>
        <w:autoSpaceDE w:val="0"/>
        <w:autoSpaceDN w:val="0"/>
        <w:adjustRightInd w:val="0"/>
        <w:outlineLvl w:val="1"/>
        <w:rPr>
          <w:color w:val="000000" w:themeColor="text1"/>
        </w:rPr>
      </w:pPr>
      <w:r w:rsidRPr="00BB556C">
        <w:rPr>
          <w:color w:val="000000" w:themeColor="text1"/>
        </w:rPr>
        <w:t>СТРОИТЕЛЬСТВО</w:t>
      </w:r>
    </w:p>
    <w:p w:rsidR="002B0EAB" w:rsidRPr="00BB556C" w:rsidRDefault="002B0EAB" w:rsidP="002B0EAB">
      <w:pPr>
        <w:autoSpaceDE w:val="0"/>
        <w:autoSpaceDN w:val="0"/>
        <w:adjustRightInd w:val="0"/>
        <w:outlineLvl w:val="1"/>
        <w:rPr>
          <w:color w:val="000000" w:themeColor="text1"/>
        </w:rPr>
      </w:pPr>
    </w:p>
    <w:p w:rsidR="002B0EAB" w:rsidRPr="00BB556C" w:rsidRDefault="002B0EAB" w:rsidP="002B0EAB">
      <w:pPr>
        <w:shd w:val="clear" w:color="auto" w:fill="FFFFFF"/>
        <w:ind w:firstLine="709"/>
        <w:outlineLvl w:val="0"/>
        <w:rPr>
          <w:bCs/>
          <w:color w:val="000000" w:themeColor="text1"/>
          <w:kern w:val="36"/>
        </w:rPr>
      </w:pPr>
      <w:r w:rsidRPr="00BB556C">
        <w:rPr>
          <w:bCs/>
          <w:color w:val="000000" w:themeColor="text1"/>
          <w:kern w:val="36"/>
        </w:rPr>
        <w:t xml:space="preserve">Строительный комплекс выполняет экономически сложную и наиболее значимую задачу - создание комфортных условий проживания различных категорий граждан.  </w:t>
      </w:r>
    </w:p>
    <w:p w:rsidR="002B0EAB" w:rsidRPr="00BB556C" w:rsidRDefault="002B0EAB" w:rsidP="002B0EAB">
      <w:pPr>
        <w:shd w:val="clear" w:color="auto" w:fill="FFFFFF"/>
        <w:ind w:firstLine="709"/>
        <w:rPr>
          <w:color w:val="000000" w:themeColor="text1"/>
        </w:rPr>
      </w:pPr>
      <w:r w:rsidRPr="00BB556C">
        <w:rPr>
          <w:color w:val="000000" w:themeColor="text1"/>
        </w:rPr>
        <w:t xml:space="preserve">Объем выполненных работ по виду экономической деятельности «Строительство» без учета субъектов малого предпринимательства за </w:t>
      </w:r>
      <w:r w:rsidR="00952B1B" w:rsidRPr="00BB556C">
        <w:rPr>
          <w:color w:val="000000" w:themeColor="text1"/>
        </w:rPr>
        <w:t>9 месяцев</w:t>
      </w:r>
      <w:r w:rsidRPr="00BB556C">
        <w:rPr>
          <w:color w:val="000000" w:themeColor="text1"/>
        </w:rPr>
        <w:t xml:space="preserve"> 2016 года составил                           </w:t>
      </w:r>
      <w:r w:rsidR="00952B1B" w:rsidRPr="00BB556C">
        <w:rPr>
          <w:color w:val="000000" w:themeColor="text1"/>
        </w:rPr>
        <w:t>1 962,5</w:t>
      </w:r>
      <w:r w:rsidRPr="00BB556C">
        <w:rPr>
          <w:color w:val="000000" w:themeColor="text1"/>
        </w:rPr>
        <w:t xml:space="preserve"> млн. рублей или в сопоставимой оценке </w:t>
      </w:r>
      <w:r w:rsidR="00952B1B" w:rsidRPr="00BB556C">
        <w:rPr>
          <w:color w:val="000000" w:themeColor="text1"/>
        </w:rPr>
        <w:t>88,5</w:t>
      </w:r>
      <w:r w:rsidRPr="00BB556C">
        <w:rPr>
          <w:color w:val="000000" w:themeColor="text1"/>
        </w:rPr>
        <w:t>% к аналогичному периоду прошлого года.</w:t>
      </w:r>
    </w:p>
    <w:p w:rsidR="002B0EAB" w:rsidRPr="00BB556C" w:rsidRDefault="00952B1B" w:rsidP="002B0EAB">
      <w:pPr>
        <w:tabs>
          <w:tab w:val="left" w:pos="709"/>
        </w:tabs>
        <w:ind w:firstLine="720"/>
        <w:rPr>
          <w:color w:val="000000" w:themeColor="text1"/>
        </w:rPr>
      </w:pPr>
      <w:r w:rsidRPr="00BB556C">
        <w:rPr>
          <w:color w:val="000000" w:themeColor="text1"/>
        </w:rPr>
        <w:t>За январь-сентябрь</w:t>
      </w:r>
      <w:r w:rsidR="002B0EAB" w:rsidRPr="00BB556C">
        <w:rPr>
          <w:color w:val="000000" w:themeColor="text1"/>
        </w:rPr>
        <w:t xml:space="preserve"> 2016 года на территории городского округа город Мегион введено в действие </w:t>
      </w:r>
      <w:r w:rsidR="004B5444" w:rsidRPr="00BB556C">
        <w:rPr>
          <w:color w:val="000000" w:themeColor="text1"/>
        </w:rPr>
        <w:t>8 905</w:t>
      </w:r>
      <w:r w:rsidR="002B0EAB" w:rsidRPr="00BB556C">
        <w:rPr>
          <w:color w:val="000000" w:themeColor="text1"/>
        </w:rPr>
        <w:t xml:space="preserve"> кв.м жилой площ</w:t>
      </w:r>
      <w:r w:rsidRPr="00BB556C">
        <w:rPr>
          <w:color w:val="000000" w:themeColor="text1"/>
        </w:rPr>
        <w:t>ади, в том числе 12</w:t>
      </w:r>
      <w:r w:rsidR="002B0EAB" w:rsidRPr="00BB556C">
        <w:rPr>
          <w:color w:val="000000" w:themeColor="text1"/>
        </w:rPr>
        <w:t xml:space="preserve"> индивидуальных жилых дома, площадью </w:t>
      </w:r>
      <w:r w:rsidRPr="00BB556C">
        <w:rPr>
          <w:color w:val="000000" w:themeColor="text1"/>
        </w:rPr>
        <w:t>1 679</w:t>
      </w:r>
      <w:r w:rsidR="002B0EAB" w:rsidRPr="00BB556C">
        <w:rPr>
          <w:color w:val="000000" w:themeColor="text1"/>
        </w:rPr>
        <w:t xml:space="preserve"> кв.м.</w:t>
      </w:r>
    </w:p>
    <w:p w:rsidR="002B0EAB" w:rsidRPr="00BB556C" w:rsidRDefault="002B0EAB" w:rsidP="002B0EAB">
      <w:pPr>
        <w:shd w:val="clear" w:color="auto" w:fill="FFFFFF"/>
        <w:ind w:firstLine="709"/>
        <w:rPr>
          <w:color w:val="000000" w:themeColor="text1"/>
        </w:rPr>
      </w:pPr>
      <w:r w:rsidRPr="00BB556C">
        <w:rPr>
          <w:color w:val="000000" w:themeColor="text1"/>
        </w:rPr>
        <w:t>По программе государственно – частного партнёрства</w:t>
      </w:r>
      <w:r w:rsidR="00293DD5" w:rsidRPr="00BB556C">
        <w:rPr>
          <w:color w:val="000000" w:themeColor="text1"/>
        </w:rPr>
        <w:t xml:space="preserve"> в сентябре 2016 года введен в эксплуатацию  детский сад «Югорка»</w:t>
      </w:r>
      <w:r w:rsidRPr="00BB556C">
        <w:rPr>
          <w:color w:val="000000" w:themeColor="text1"/>
        </w:rPr>
        <w:t xml:space="preserve"> на 320 мест в 19 микрорайоне. </w:t>
      </w:r>
    </w:p>
    <w:p w:rsidR="002B0EAB" w:rsidRPr="00BB556C" w:rsidRDefault="002B0EAB" w:rsidP="002B0EAB">
      <w:pPr>
        <w:shd w:val="clear" w:color="auto" w:fill="FFFFFF"/>
        <w:ind w:firstLine="709"/>
        <w:rPr>
          <w:color w:val="000000" w:themeColor="text1"/>
        </w:rPr>
      </w:pPr>
      <w:r w:rsidRPr="00BB556C">
        <w:rPr>
          <w:color w:val="000000" w:themeColor="text1"/>
        </w:rPr>
        <w:t>В апреле текущего года введен в действие объект «Ледовый дворец в городе Мегионе».</w:t>
      </w:r>
    </w:p>
    <w:p w:rsidR="00F258C5" w:rsidRPr="00BB556C" w:rsidRDefault="008650A8" w:rsidP="008650A8">
      <w:pPr>
        <w:ind w:firstLine="709"/>
        <w:rPr>
          <w:color w:val="000000" w:themeColor="text1"/>
        </w:rPr>
      </w:pPr>
      <w:r w:rsidRPr="00BB556C">
        <w:rPr>
          <w:color w:val="000000" w:themeColor="text1"/>
        </w:rPr>
        <w:t>По программе «Развитие транспортной системы Ханты-Мансийского автономного округа-Югры на 2016-2020 годы» выполнены работы по объекту «Строительство (реконструкция), капитальный ремонт и ремонт автомобильных дорог общего пользования местного значения (Улица Губкина)» - объект введен в эксплуатацию в сентябре 2016 года.</w:t>
      </w:r>
    </w:p>
    <w:p w:rsidR="00952B1B" w:rsidRPr="00BB556C" w:rsidRDefault="00C22766" w:rsidP="002B0EAB">
      <w:pPr>
        <w:ind w:firstLine="709"/>
        <w:rPr>
          <w:color w:val="000000" w:themeColor="text1"/>
        </w:rPr>
      </w:pPr>
      <w:r w:rsidRPr="00BB556C">
        <w:rPr>
          <w:color w:val="000000" w:themeColor="text1"/>
        </w:rPr>
        <w:t>С</w:t>
      </w:r>
      <w:r w:rsidR="002B0EAB" w:rsidRPr="00BB556C">
        <w:rPr>
          <w:color w:val="000000" w:themeColor="text1"/>
        </w:rPr>
        <w:t xml:space="preserve"> июн</w:t>
      </w:r>
      <w:r w:rsidRPr="00BB556C">
        <w:rPr>
          <w:color w:val="000000" w:themeColor="text1"/>
        </w:rPr>
        <w:t>я</w:t>
      </w:r>
      <w:r w:rsidR="002B0EAB" w:rsidRPr="00BB556C">
        <w:rPr>
          <w:color w:val="000000" w:themeColor="text1"/>
        </w:rPr>
        <w:t xml:space="preserve"> 2016 года </w:t>
      </w:r>
      <w:r w:rsidR="00527685" w:rsidRPr="00BB556C">
        <w:rPr>
          <w:color w:val="000000" w:themeColor="text1"/>
        </w:rPr>
        <w:t xml:space="preserve">возобновлено </w:t>
      </w:r>
      <w:r w:rsidR="002B0EAB" w:rsidRPr="00BB556C">
        <w:rPr>
          <w:color w:val="000000" w:themeColor="text1"/>
        </w:rPr>
        <w:t xml:space="preserve">финансирование объекта «Спортивный центр с универсальным игровым залом и плоскостными сооружениями в г.Мегионе». До настоящего времени данный объект находился на консервации. </w:t>
      </w:r>
    </w:p>
    <w:p w:rsidR="002B0EAB" w:rsidRPr="00BB556C" w:rsidRDefault="002B0EAB" w:rsidP="002B0EAB">
      <w:pPr>
        <w:ind w:firstLine="709"/>
        <w:rPr>
          <w:color w:val="000000" w:themeColor="text1"/>
        </w:rPr>
      </w:pPr>
      <w:r w:rsidRPr="00BB556C">
        <w:rPr>
          <w:color w:val="000000" w:themeColor="text1"/>
        </w:rPr>
        <w:t>В рамках заключенных соглашений с Департаментом экономического развития Ханты-Мансийского автономного округа - Югры в Адресную инвестиционную программу Ханты-Мансийского авто</w:t>
      </w:r>
      <w:r w:rsidR="00952B1B" w:rsidRPr="00BB556C">
        <w:rPr>
          <w:color w:val="000000" w:themeColor="text1"/>
        </w:rPr>
        <w:t>номного округа - Югры включены 7</w:t>
      </w:r>
      <w:r w:rsidRPr="00BB556C">
        <w:rPr>
          <w:color w:val="000000" w:themeColor="text1"/>
        </w:rPr>
        <w:t xml:space="preserve"> объектов городского округа город Мегион, каждый из которых включен в Государственную программу Ханты-Мансийского автономного округа - Югры:</w:t>
      </w:r>
    </w:p>
    <w:p w:rsidR="002B0EAB" w:rsidRPr="00BB556C" w:rsidRDefault="002B0EAB" w:rsidP="002B0EAB">
      <w:pPr>
        <w:ind w:firstLine="709"/>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5953"/>
      </w:tblGrid>
      <w:tr w:rsidR="002B0EAB" w:rsidRPr="00BB556C" w:rsidTr="004D456E">
        <w:trPr>
          <w:trHeight w:val="104"/>
          <w:tblHeader/>
        </w:trPr>
        <w:tc>
          <w:tcPr>
            <w:tcW w:w="540" w:type="dxa"/>
            <w:shd w:val="clear" w:color="auto" w:fill="auto"/>
            <w:vAlign w:val="center"/>
          </w:tcPr>
          <w:p w:rsidR="002B0EAB" w:rsidRPr="00BB556C" w:rsidRDefault="002B0EAB" w:rsidP="002B0EAB">
            <w:pPr>
              <w:jc w:val="center"/>
              <w:rPr>
                <w:color w:val="000000" w:themeColor="text1"/>
              </w:rPr>
            </w:pPr>
            <w:r w:rsidRPr="00BB556C">
              <w:rPr>
                <w:color w:val="000000" w:themeColor="text1"/>
              </w:rPr>
              <w:t>№ п/п</w:t>
            </w:r>
          </w:p>
        </w:tc>
        <w:tc>
          <w:tcPr>
            <w:tcW w:w="3254" w:type="dxa"/>
            <w:shd w:val="clear" w:color="auto" w:fill="auto"/>
            <w:vAlign w:val="center"/>
          </w:tcPr>
          <w:p w:rsidR="002B0EAB" w:rsidRPr="00BB556C" w:rsidRDefault="002B0EAB" w:rsidP="002B0EAB">
            <w:pPr>
              <w:jc w:val="center"/>
              <w:rPr>
                <w:color w:val="000000" w:themeColor="text1"/>
              </w:rPr>
            </w:pPr>
            <w:r w:rsidRPr="00BB556C">
              <w:rPr>
                <w:color w:val="000000" w:themeColor="text1"/>
              </w:rPr>
              <w:t>Наименование объекта</w:t>
            </w:r>
          </w:p>
        </w:tc>
        <w:tc>
          <w:tcPr>
            <w:tcW w:w="5953" w:type="dxa"/>
            <w:shd w:val="clear" w:color="auto" w:fill="auto"/>
            <w:vAlign w:val="center"/>
          </w:tcPr>
          <w:p w:rsidR="002B0EAB" w:rsidRPr="00BB556C" w:rsidRDefault="002B0EAB" w:rsidP="002B0EAB">
            <w:pPr>
              <w:jc w:val="center"/>
              <w:rPr>
                <w:color w:val="000000" w:themeColor="text1"/>
              </w:rPr>
            </w:pPr>
            <w:r w:rsidRPr="00BB556C">
              <w:rPr>
                <w:color w:val="000000" w:themeColor="text1"/>
              </w:rPr>
              <w:t>Наименование Государственной программы</w:t>
            </w:r>
          </w:p>
        </w:tc>
      </w:tr>
      <w:tr w:rsidR="002B0EAB" w:rsidRPr="00BB556C" w:rsidTr="004D456E">
        <w:trPr>
          <w:trHeight w:val="730"/>
        </w:trPr>
        <w:tc>
          <w:tcPr>
            <w:tcW w:w="540" w:type="dxa"/>
            <w:shd w:val="clear" w:color="auto" w:fill="auto"/>
            <w:vAlign w:val="center"/>
          </w:tcPr>
          <w:p w:rsidR="002B0EAB" w:rsidRPr="00BB556C" w:rsidRDefault="002B0EAB" w:rsidP="002B0EAB">
            <w:pPr>
              <w:jc w:val="center"/>
              <w:rPr>
                <w:color w:val="000000" w:themeColor="text1"/>
              </w:rPr>
            </w:pPr>
            <w:r w:rsidRPr="00BB556C">
              <w:rPr>
                <w:color w:val="000000" w:themeColor="text1"/>
              </w:rPr>
              <w:t>1</w:t>
            </w:r>
          </w:p>
        </w:tc>
        <w:tc>
          <w:tcPr>
            <w:tcW w:w="3254" w:type="dxa"/>
            <w:shd w:val="clear" w:color="auto" w:fill="auto"/>
          </w:tcPr>
          <w:p w:rsidR="002B0EAB" w:rsidRPr="00BB556C" w:rsidRDefault="00357D22" w:rsidP="002B0EAB">
            <w:pPr>
              <w:rPr>
                <w:color w:val="000000" w:themeColor="text1"/>
              </w:rPr>
            </w:pPr>
            <w:r w:rsidRPr="00BB556C">
              <w:rPr>
                <w:color w:val="000000" w:themeColor="text1"/>
              </w:rPr>
              <w:t>Участок тепловых сетей от УТ-4 до ул.50 лет Октября с переходом ул.Заречная</w:t>
            </w:r>
          </w:p>
        </w:tc>
        <w:tc>
          <w:tcPr>
            <w:tcW w:w="5953" w:type="dxa"/>
            <w:shd w:val="clear" w:color="auto" w:fill="auto"/>
          </w:tcPr>
          <w:p w:rsidR="002B0EAB" w:rsidRPr="00BB556C" w:rsidRDefault="002B0EAB" w:rsidP="002B0EAB">
            <w:pPr>
              <w:rPr>
                <w:color w:val="000000" w:themeColor="text1"/>
              </w:rPr>
            </w:pPr>
            <w:r w:rsidRPr="00BB556C">
              <w:rPr>
                <w:color w:val="000000" w:themeColor="text1"/>
              </w:rPr>
              <w:t>Государственная программа автономного округа «Обеспечение доступным и комфортным жильем в Ханты - Мансийском автономном округе - Югре на 2016-2020 годы»</w:t>
            </w:r>
          </w:p>
        </w:tc>
      </w:tr>
      <w:tr w:rsidR="00EB54C8" w:rsidRPr="00BB556C" w:rsidTr="004D456E">
        <w:trPr>
          <w:trHeight w:val="538"/>
        </w:trPr>
        <w:tc>
          <w:tcPr>
            <w:tcW w:w="540" w:type="dxa"/>
            <w:shd w:val="clear" w:color="auto" w:fill="auto"/>
            <w:vAlign w:val="center"/>
          </w:tcPr>
          <w:p w:rsidR="00EB54C8" w:rsidRPr="00BB556C" w:rsidRDefault="00EB54C8" w:rsidP="002B0EAB">
            <w:pPr>
              <w:jc w:val="center"/>
              <w:rPr>
                <w:color w:val="000000" w:themeColor="text1"/>
              </w:rPr>
            </w:pPr>
            <w:r w:rsidRPr="00BB556C">
              <w:rPr>
                <w:color w:val="000000" w:themeColor="text1"/>
              </w:rPr>
              <w:t>2</w:t>
            </w:r>
          </w:p>
        </w:tc>
        <w:tc>
          <w:tcPr>
            <w:tcW w:w="3254" w:type="dxa"/>
            <w:shd w:val="clear" w:color="auto" w:fill="auto"/>
          </w:tcPr>
          <w:p w:rsidR="00EB54C8" w:rsidRPr="00BB556C" w:rsidRDefault="00EB54C8" w:rsidP="002B0EAB">
            <w:pPr>
              <w:rPr>
                <w:color w:val="000000" w:themeColor="text1"/>
              </w:rPr>
            </w:pPr>
            <w:r w:rsidRPr="00BB556C">
              <w:rPr>
                <w:color w:val="000000" w:themeColor="text1"/>
              </w:rPr>
              <w:t>Реконструкция дорог по улицам города Мегион, улица Губкина</w:t>
            </w:r>
          </w:p>
        </w:tc>
        <w:tc>
          <w:tcPr>
            <w:tcW w:w="5953" w:type="dxa"/>
            <w:vMerge w:val="restart"/>
            <w:shd w:val="clear" w:color="auto" w:fill="auto"/>
          </w:tcPr>
          <w:p w:rsidR="00EB54C8" w:rsidRPr="00BB556C" w:rsidRDefault="00EB54C8" w:rsidP="002B0EAB">
            <w:pPr>
              <w:rPr>
                <w:color w:val="000000" w:themeColor="text1"/>
              </w:rPr>
            </w:pPr>
            <w:r w:rsidRPr="00BB556C">
              <w:rPr>
                <w:color w:val="000000" w:themeColor="text1"/>
              </w:rPr>
              <w:t>Государственная программа автономного округа «Развитие транспортной системы Ханты - Мансийском автономном округе - Югре на 2016-2020 годы»</w:t>
            </w:r>
          </w:p>
        </w:tc>
      </w:tr>
      <w:tr w:rsidR="00EB54C8" w:rsidRPr="00BB556C" w:rsidTr="004D456E">
        <w:trPr>
          <w:trHeight w:val="538"/>
        </w:trPr>
        <w:tc>
          <w:tcPr>
            <w:tcW w:w="540" w:type="dxa"/>
            <w:shd w:val="clear" w:color="auto" w:fill="auto"/>
            <w:vAlign w:val="center"/>
          </w:tcPr>
          <w:p w:rsidR="00EB54C8" w:rsidRPr="00BB556C" w:rsidRDefault="00EB54C8" w:rsidP="002B0EAB">
            <w:pPr>
              <w:jc w:val="center"/>
              <w:rPr>
                <w:color w:val="000000" w:themeColor="text1"/>
              </w:rPr>
            </w:pPr>
            <w:r w:rsidRPr="00BB556C">
              <w:rPr>
                <w:color w:val="000000" w:themeColor="text1"/>
              </w:rPr>
              <w:t>3</w:t>
            </w:r>
          </w:p>
        </w:tc>
        <w:tc>
          <w:tcPr>
            <w:tcW w:w="3254" w:type="dxa"/>
            <w:shd w:val="clear" w:color="auto" w:fill="auto"/>
          </w:tcPr>
          <w:p w:rsidR="00EB54C8" w:rsidRPr="00BB556C" w:rsidRDefault="00EB54C8" w:rsidP="002B0EAB">
            <w:pPr>
              <w:rPr>
                <w:color w:val="000000" w:themeColor="text1"/>
              </w:rPr>
            </w:pPr>
            <w:r w:rsidRPr="00BB556C">
              <w:rPr>
                <w:color w:val="000000" w:themeColor="text1"/>
              </w:rPr>
              <w:t>Автомобильная дорога к пристани г.Мегион (проспект Победы)</w:t>
            </w:r>
          </w:p>
        </w:tc>
        <w:tc>
          <w:tcPr>
            <w:tcW w:w="5953" w:type="dxa"/>
            <w:vMerge/>
            <w:shd w:val="clear" w:color="auto" w:fill="auto"/>
          </w:tcPr>
          <w:p w:rsidR="00EB54C8" w:rsidRPr="00BB556C" w:rsidRDefault="00EB54C8" w:rsidP="002B0EAB">
            <w:pPr>
              <w:rPr>
                <w:color w:val="000000" w:themeColor="text1"/>
              </w:rPr>
            </w:pPr>
          </w:p>
        </w:tc>
      </w:tr>
      <w:tr w:rsidR="002B0EAB" w:rsidRPr="00BB556C" w:rsidTr="004D456E">
        <w:trPr>
          <w:trHeight w:val="534"/>
        </w:trPr>
        <w:tc>
          <w:tcPr>
            <w:tcW w:w="540" w:type="dxa"/>
            <w:shd w:val="clear" w:color="auto" w:fill="auto"/>
            <w:vAlign w:val="center"/>
          </w:tcPr>
          <w:p w:rsidR="002B0EAB" w:rsidRPr="00BB556C" w:rsidRDefault="00EB54C8" w:rsidP="002B0EAB">
            <w:pPr>
              <w:jc w:val="center"/>
              <w:rPr>
                <w:color w:val="000000" w:themeColor="text1"/>
              </w:rPr>
            </w:pPr>
            <w:r w:rsidRPr="00BB556C">
              <w:rPr>
                <w:color w:val="000000" w:themeColor="text1"/>
              </w:rPr>
              <w:t>4</w:t>
            </w:r>
          </w:p>
        </w:tc>
        <w:tc>
          <w:tcPr>
            <w:tcW w:w="3254" w:type="dxa"/>
            <w:shd w:val="clear" w:color="auto" w:fill="auto"/>
          </w:tcPr>
          <w:p w:rsidR="002B0EAB" w:rsidRPr="00BB556C" w:rsidRDefault="002B0EAB" w:rsidP="002B0EAB">
            <w:pPr>
              <w:rPr>
                <w:color w:val="000000" w:themeColor="text1"/>
              </w:rPr>
            </w:pPr>
            <w:r w:rsidRPr="00BB556C">
              <w:rPr>
                <w:color w:val="000000" w:themeColor="text1"/>
              </w:rPr>
              <w:t>Газификация пгт. Высокого, г.Мегион (ПИР)</w:t>
            </w:r>
          </w:p>
        </w:tc>
        <w:tc>
          <w:tcPr>
            <w:tcW w:w="5953" w:type="dxa"/>
            <w:vMerge w:val="restart"/>
            <w:shd w:val="clear" w:color="auto" w:fill="auto"/>
          </w:tcPr>
          <w:p w:rsidR="002B0EAB" w:rsidRPr="00BB556C" w:rsidRDefault="002B0EAB" w:rsidP="002B0EAB">
            <w:pPr>
              <w:rPr>
                <w:color w:val="000000" w:themeColor="text1"/>
              </w:rPr>
            </w:pPr>
            <w:r w:rsidRPr="00BB556C">
              <w:rPr>
                <w:color w:val="000000" w:themeColor="text1"/>
              </w:rPr>
              <w:t xml:space="preserve">Государственная программа автономного округа «Развитие жилищно-коммунального комплекса и повышение энергетической эффективности в Ханты- Мансийском автономном округе – Югре на 2016-2020 </w:t>
            </w:r>
            <w:r w:rsidRPr="00BB556C">
              <w:rPr>
                <w:color w:val="000000" w:themeColor="text1"/>
              </w:rPr>
              <w:lastRenderedPageBreak/>
              <w:t>годы»</w:t>
            </w:r>
          </w:p>
        </w:tc>
      </w:tr>
      <w:tr w:rsidR="002B0EAB" w:rsidRPr="00BB556C" w:rsidTr="004D456E">
        <w:trPr>
          <w:trHeight w:val="399"/>
        </w:trPr>
        <w:tc>
          <w:tcPr>
            <w:tcW w:w="540" w:type="dxa"/>
            <w:shd w:val="clear" w:color="auto" w:fill="auto"/>
            <w:vAlign w:val="center"/>
          </w:tcPr>
          <w:p w:rsidR="002B0EAB" w:rsidRPr="00BB556C" w:rsidRDefault="00EB54C8" w:rsidP="002B0EAB">
            <w:pPr>
              <w:jc w:val="center"/>
              <w:rPr>
                <w:color w:val="000000" w:themeColor="text1"/>
              </w:rPr>
            </w:pPr>
            <w:r w:rsidRPr="00BB556C">
              <w:rPr>
                <w:color w:val="000000" w:themeColor="text1"/>
              </w:rPr>
              <w:t>5</w:t>
            </w:r>
          </w:p>
        </w:tc>
        <w:tc>
          <w:tcPr>
            <w:tcW w:w="3254" w:type="dxa"/>
            <w:shd w:val="clear" w:color="auto" w:fill="auto"/>
          </w:tcPr>
          <w:p w:rsidR="002B0EAB" w:rsidRPr="00BB556C" w:rsidRDefault="002B0EAB" w:rsidP="002B0EAB">
            <w:pPr>
              <w:rPr>
                <w:color w:val="000000" w:themeColor="text1"/>
              </w:rPr>
            </w:pPr>
            <w:r w:rsidRPr="00BB556C">
              <w:rPr>
                <w:color w:val="000000" w:themeColor="text1"/>
              </w:rPr>
              <w:t>Реконструкция 4-х КНС в пгт. Высокий</w:t>
            </w:r>
          </w:p>
        </w:tc>
        <w:tc>
          <w:tcPr>
            <w:tcW w:w="5953" w:type="dxa"/>
            <w:vMerge/>
            <w:shd w:val="clear" w:color="auto" w:fill="auto"/>
          </w:tcPr>
          <w:p w:rsidR="002B0EAB" w:rsidRPr="00BB556C" w:rsidRDefault="002B0EAB" w:rsidP="002B0EAB">
            <w:pPr>
              <w:rPr>
                <w:color w:val="000000" w:themeColor="text1"/>
              </w:rPr>
            </w:pPr>
          </w:p>
        </w:tc>
      </w:tr>
      <w:tr w:rsidR="00EB54C8" w:rsidRPr="00BB556C" w:rsidTr="004D456E">
        <w:trPr>
          <w:trHeight w:val="711"/>
        </w:trPr>
        <w:tc>
          <w:tcPr>
            <w:tcW w:w="540" w:type="dxa"/>
            <w:shd w:val="clear" w:color="auto" w:fill="auto"/>
            <w:vAlign w:val="center"/>
          </w:tcPr>
          <w:p w:rsidR="00EB54C8" w:rsidRPr="00BB556C" w:rsidRDefault="00EB54C8" w:rsidP="002B0EAB">
            <w:pPr>
              <w:jc w:val="center"/>
              <w:rPr>
                <w:color w:val="000000" w:themeColor="text1"/>
              </w:rPr>
            </w:pPr>
            <w:r w:rsidRPr="00BB556C">
              <w:rPr>
                <w:color w:val="000000" w:themeColor="text1"/>
              </w:rPr>
              <w:t>6</w:t>
            </w:r>
          </w:p>
        </w:tc>
        <w:tc>
          <w:tcPr>
            <w:tcW w:w="3254" w:type="dxa"/>
            <w:shd w:val="clear" w:color="auto" w:fill="auto"/>
          </w:tcPr>
          <w:p w:rsidR="00EB54C8" w:rsidRPr="00BB556C" w:rsidRDefault="00EB54C8" w:rsidP="002B0EAB">
            <w:pPr>
              <w:rPr>
                <w:color w:val="000000" w:themeColor="text1"/>
              </w:rPr>
            </w:pPr>
            <w:r w:rsidRPr="00BB556C">
              <w:rPr>
                <w:color w:val="000000" w:themeColor="text1"/>
              </w:rPr>
              <w:t>Физкультурно-спортивный комплекс с ледовой ареной в г.Мегионе</w:t>
            </w:r>
          </w:p>
        </w:tc>
        <w:tc>
          <w:tcPr>
            <w:tcW w:w="5953" w:type="dxa"/>
            <w:vMerge w:val="restart"/>
            <w:shd w:val="clear" w:color="auto" w:fill="auto"/>
          </w:tcPr>
          <w:p w:rsidR="00EB54C8" w:rsidRPr="00BB556C" w:rsidRDefault="00EB54C8" w:rsidP="002B0EAB">
            <w:pPr>
              <w:rPr>
                <w:color w:val="000000" w:themeColor="text1"/>
              </w:rPr>
            </w:pPr>
            <w:r w:rsidRPr="00BB556C">
              <w:rPr>
                <w:color w:val="000000" w:themeColor="text1"/>
              </w:rPr>
              <w:t>«Развитие физической культуры и спорта в Ханты-Мансийском округе-Югре на 2016-2020 годы»</w:t>
            </w:r>
          </w:p>
        </w:tc>
      </w:tr>
      <w:tr w:rsidR="00EB54C8" w:rsidRPr="00BB556C" w:rsidTr="004D456E">
        <w:trPr>
          <w:trHeight w:val="711"/>
        </w:trPr>
        <w:tc>
          <w:tcPr>
            <w:tcW w:w="540" w:type="dxa"/>
            <w:shd w:val="clear" w:color="auto" w:fill="auto"/>
            <w:vAlign w:val="center"/>
          </w:tcPr>
          <w:p w:rsidR="00EB54C8" w:rsidRPr="00BB556C" w:rsidRDefault="00EB54C8" w:rsidP="002B0EAB">
            <w:pPr>
              <w:jc w:val="center"/>
              <w:rPr>
                <w:color w:val="000000" w:themeColor="text1"/>
              </w:rPr>
            </w:pPr>
            <w:r w:rsidRPr="00BB556C">
              <w:rPr>
                <w:color w:val="000000" w:themeColor="text1"/>
              </w:rPr>
              <w:t>7</w:t>
            </w:r>
          </w:p>
        </w:tc>
        <w:tc>
          <w:tcPr>
            <w:tcW w:w="3254" w:type="dxa"/>
            <w:shd w:val="clear" w:color="auto" w:fill="auto"/>
          </w:tcPr>
          <w:p w:rsidR="00EB54C8" w:rsidRPr="00BB556C" w:rsidRDefault="00A56AC7" w:rsidP="002B0EAB">
            <w:pPr>
              <w:rPr>
                <w:color w:val="000000" w:themeColor="text1"/>
              </w:rPr>
            </w:pPr>
            <w:r w:rsidRPr="00BB556C">
              <w:rPr>
                <w:color w:val="000000" w:themeColor="text1"/>
              </w:rPr>
              <w:t>Спортивный центр</w:t>
            </w:r>
            <w:r w:rsidR="00EB54C8" w:rsidRPr="00BB556C">
              <w:rPr>
                <w:color w:val="000000" w:themeColor="text1"/>
              </w:rPr>
              <w:t xml:space="preserve"> с универсальным игровым залом и плоскостными сооружениями в г.Мегионе</w:t>
            </w:r>
          </w:p>
        </w:tc>
        <w:tc>
          <w:tcPr>
            <w:tcW w:w="5953" w:type="dxa"/>
            <w:vMerge/>
            <w:shd w:val="clear" w:color="auto" w:fill="auto"/>
          </w:tcPr>
          <w:p w:rsidR="00EB54C8" w:rsidRPr="00BB556C" w:rsidRDefault="00EB54C8" w:rsidP="002B0EAB">
            <w:pPr>
              <w:rPr>
                <w:color w:val="000000" w:themeColor="text1"/>
              </w:rPr>
            </w:pPr>
          </w:p>
        </w:tc>
      </w:tr>
    </w:tbl>
    <w:p w:rsidR="002B0EAB" w:rsidRPr="00BB556C" w:rsidRDefault="002B0EAB" w:rsidP="002B0EAB">
      <w:pPr>
        <w:ind w:firstLine="709"/>
        <w:rPr>
          <w:color w:val="000000" w:themeColor="text1"/>
        </w:rPr>
      </w:pPr>
    </w:p>
    <w:p w:rsidR="002B0EAB" w:rsidRPr="00BB556C" w:rsidRDefault="002B0EAB" w:rsidP="002B0EAB">
      <w:pPr>
        <w:ind w:firstLine="709"/>
        <w:rPr>
          <w:color w:val="000000" w:themeColor="text1"/>
        </w:rPr>
      </w:pPr>
      <w:r w:rsidRPr="00BB556C">
        <w:rPr>
          <w:color w:val="000000" w:themeColor="text1"/>
        </w:rPr>
        <w:t xml:space="preserve">Объем капитальных вложений на 2016 год на строительство объектов муниципальной собственности в рамках Адресной инвестиционной программы Ханты – Мансийского автономного округа – Югры составляет </w:t>
      </w:r>
      <w:r w:rsidR="00EB54C8" w:rsidRPr="00BB556C">
        <w:rPr>
          <w:color w:val="000000" w:themeColor="text1"/>
        </w:rPr>
        <w:t>273 768,8</w:t>
      </w:r>
      <w:r w:rsidRPr="00BB556C">
        <w:rPr>
          <w:color w:val="000000" w:themeColor="text1"/>
        </w:rPr>
        <w:t xml:space="preserve"> тыс. рублей, в том числе:</w:t>
      </w:r>
    </w:p>
    <w:p w:rsidR="002B0EAB" w:rsidRPr="00BB556C" w:rsidRDefault="002B0EAB" w:rsidP="002B0EAB">
      <w:pPr>
        <w:ind w:firstLine="709"/>
        <w:rPr>
          <w:color w:val="000000" w:themeColor="text1"/>
        </w:rPr>
      </w:pPr>
      <w:r w:rsidRPr="00BB556C">
        <w:rPr>
          <w:color w:val="000000" w:themeColor="text1"/>
        </w:rPr>
        <w:t xml:space="preserve">-окружной бюджет – </w:t>
      </w:r>
      <w:r w:rsidR="00EB54C8" w:rsidRPr="00BB556C">
        <w:rPr>
          <w:color w:val="000000" w:themeColor="text1"/>
        </w:rPr>
        <w:t>256 500,4</w:t>
      </w:r>
      <w:r w:rsidRPr="00BB556C">
        <w:rPr>
          <w:color w:val="000000" w:themeColor="text1"/>
        </w:rPr>
        <w:t xml:space="preserve"> тыс. рублей;</w:t>
      </w:r>
    </w:p>
    <w:p w:rsidR="002B0EAB" w:rsidRPr="00BB556C" w:rsidRDefault="002B0EAB" w:rsidP="002B0EAB">
      <w:pPr>
        <w:shd w:val="clear" w:color="auto" w:fill="FFFFFF" w:themeFill="background1"/>
        <w:ind w:firstLine="709"/>
        <w:rPr>
          <w:color w:val="000000" w:themeColor="text1"/>
        </w:rPr>
      </w:pPr>
      <w:r w:rsidRPr="00BB556C">
        <w:rPr>
          <w:color w:val="000000" w:themeColor="text1"/>
        </w:rPr>
        <w:t>-местный бюджет-</w:t>
      </w:r>
      <w:r w:rsidR="00EB54C8" w:rsidRPr="00BB556C">
        <w:rPr>
          <w:color w:val="000000" w:themeColor="text1"/>
          <w:shd w:val="clear" w:color="auto" w:fill="FFFFFF" w:themeFill="background1"/>
        </w:rPr>
        <w:t>17 268,4</w:t>
      </w:r>
      <w:r w:rsidRPr="00BB556C">
        <w:rPr>
          <w:color w:val="000000" w:themeColor="text1"/>
        </w:rPr>
        <w:t xml:space="preserve"> тыс. рублей.</w:t>
      </w:r>
    </w:p>
    <w:p w:rsidR="002B0EAB" w:rsidRPr="00BB556C" w:rsidRDefault="00EB54C8" w:rsidP="002B0EAB">
      <w:pPr>
        <w:ind w:firstLine="709"/>
        <w:rPr>
          <w:color w:val="000000" w:themeColor="text1"/>
        </w:rPr>
      </w:pPr>
      <w:r w:rsidRPr="00BB556C">
        <w:rPr>
          <w:color w:val="000000" w:themeColor="text1"/>
        </w:rPr>
        <w:t>За январь-сентябрь</w:t>
      </w:r>
      <w:r w:rsidR="002B0EAB" w:rsidRPr="00BB556C">
        <w:rPr>
          <w:color w:val="000000" w:themeColor="text1"/>
        </w:rPr>
        <w:t xml:space="preserve"> 2016 года на строительство объектов городского округа город Мегион в рамках Адресной инвестиционной программы Ханты – Мансийского автономного округа – Югры направлено </w:t>
      </w:r>
      <w:r w:rsidRPr="00BB556C">
        <w:rPr>
          <w:color w:val="000000" w:themeColor="text1"/>
        </w:rPr>
        <w:t>43 557,9</w:t>
      </w:r>
      <w:r w:rsidR="002B0EAB" w:rsidRPr="00BB556C">
        <w:rPr>
          <w:color w:val="000000" w:themeColor="text1"/>
        </w:rPr>
        <w:t xml:space="preserve"> тыс. рублей или </w:t>
      </w:r>
      <w:r w:rsidRPr="00BB556C">
        <w:rPr>
          <w:color w:val="000000" w:themeColor="text1"/>
        </w:rPr>
        <w:t>15,9</w:t>
      </w:r>
      <w:r w:rsidR="002B0EAB" w:rsidRPr="00BB556C">
        <w:rPr>
          <w:color w:val="000000" w:themeColor="text1"/>
        </w:rPr>
        <w:t xml:space="preserve">%. </w:t>
      </w:r>
    </w:p>
    <w:p w:rsidR="002B0EAB" w:rsidRPr="00BB556C" w:rsidRDefault="002B0EAB" w:rsidP="002B0EAB">
      <w:pPr>
        <w:ind w:firstLine="709"/>
        <w:rPr>
          <w:color w:val="000000" w:themeColor="text1"/>
        </w:rPr>
      </w:pPr>
    </w:p>
    <w:tbl>
      <w:tblPr>
        <w:tblStyle w:val="aa"/>
        <w:tblW w:w="0" w:type="auto"/>
        <w:tblLook w:val="04A0" w:firstRow="1" w:lastRow="0" w:firstColumn="1" w:lastColumn="0" w:noHBand="0" w:noVBand="1"/>
      </w:tblPr>
      <w:tblGrid>
        <w:gridCol w:w="1668"/>
        <w:gridCol w:w="7932"/>
      </w:tblGrid>
      <w:tr w:rsidR="002B0EAB" w:rsidRPr="00BB556C" w:rsidTr="003F7751">
        <w:trPr>
          <w:trHeight w:val="925"/>
        </w:trPr>
        <w:tc>
          <w:tcPr>
            <w:tcW w:w="1668" w:type="dxa"/>
            <w:vMerge w:val="restart"/>
            <w:textDirection w:val="btLr"/>
          </w:tcPr>
          <w:p w:rsidR="002B0EAB" w:rsidRPr="00BB556C" w:rsidRDefault="002B0EAB" w:rsidP="002B0EAB">
            <w:pPr>
              <w:ind w:left="113" w:right="113"/>
              <w:contextualSpacing/>
              <w:jc w:val="center"/>
              <w:rPr>
                <w:color w:val="000000" w:themeColor="text1"/>
              </w:rPr>
            </w:pPr>
            <w:r w:rsidRPr="00BB556C">
              <w:rPr>
                <w:rFonts w:eastAsia="+mn-ea"/>
                <w:color w:val="000000" w:themeColor="text1"/>
              </w:rPr>
              <w:t xml:space="preserve">Объем кап. вложений </w:t>
            </w:r>
            <w:r w:rsidR="00572006" w:rsidRPr="00BB556C">
              <w:rPr>
                <w:rFonts w:eastAsia="+mn-ea"/>
                <w:color w:val="000000" w:themeColor="text1"/>
              </w:rPr>
              <w:t>273 768,8</w:t>
            </w:r>
            <w:r w:rsidRPr="00BB556C">
              <w:rPr>
                <w:rFonts w:eastAsia="+mn-ea"/>
                <w:color w:val="000000" w:themeColor="text1"/>
              </w:rPr>
              <w:t xml:space="preserve"> т.руб.</w:t>
            </w:r>
          </w:p>
          <w:p w:rsidR="002B0EAB" w:rsidRPr="00BB556C" w:rsidRDefault="002B0EAB" w:rsidP="002B0EAB">
            <w:pPr>
              <w:ind w:left="113" w:right="113"/>
              <w:contextualSpacing/>
              <w:jc w:val="center"/>
              <w:rPr>
                <w:rFonts w:eastAsia="+mn-ea"/>
                <w:color w:val="000000" w:themeColor="text1"/>
              </w:rPr>
            </w:pPr>
            <w:r w:rsidRPr="00BB556C">
              <w:rPr>
                <w:rFonts w:eastAsia="+mn-ea"/>
                <w:color w:val="000000" w:themeColor="text1"/>
              </w:rPr>
              <w:t>в том числе:</w:t>
            </w:r>
          </w:p>
          <w:p w:rsidR="002B0EAB" w:rsidRPr="00BB556C" w:rsidRDefault="002B0EAB" w:rsidP="002B0EAB">
            <w:pPr>
              <w:ind w:left="113" w:right="113"/>
              <w:contextualSpacing/>
              <w:jc w:val="center"/>
              <w:rPr>
                <w:rFonts w:eastAsia="+mn-ea"/>
                <w:color w:val="000000" w:themeColor="text1"/>
              </w:rPr>
            </w:pPr>
            <w:r w:rsidRPr="00BB556C">
              <w:rPr>
                <w:rFonts w:eastAsia="+mn-ea"/>
                <w:color w:val="000000" w:themeColor="text1"/>
              </w:rPr>
              <w:t xml:space="preserve">бюджет ХМАО - Югры – </w:t>
            </w:r>
            <w:r w:rsidR="00572006" w:rsidRPr="00BB556C">
              <w:rPr>
                <w:rFonts w:eastAsia="+mn-ea"/>
                <w:color w:val="000000" w:themeColor="text1"/>
              </w:rPr>
              <w:t>256 500,4</w:t>
            </w:r>
            <w:r w:rsidRPr="00BB556C">
              <w:rPr>
                <w:rFonts w:eastAsia="+mn-ea"/>
                <w:color w:val="000000" w:themeColor="text1"/>
              </w:rPr>
              <w:t xml:space="preserve"> т.руб.</w:t>
            </w:r>
          </w:p>
          <w:p w:rsidR="002B0EAB" w:rsidRPr="00BB556C" w:rsidRDefault="002B0EAB" w:rsidP="002B0EAB">
            <w:pPr>
              <w:ind w:left="113" w:right="113"/>
              <w:contextualSpacing/>
              <w:jc w:val="center"/>
              <w:rPr>
                <w:rFonts w:eastAsia="+mn-ea"/>
                <w:color w:val="000000" w:themeColor="text1"/>
              </w:rPr>
            </w:pPr>
            <w:r w:rsidRPr="00BB556C">
              <w:rPr>
                <w:rFonts w:eastAsia="+mn-ea"/>
                <w:color w:val="000000" w:themeColor="text1"/>
              </w:rPr>
              <w:t xml:space="preserve">бюджет МО – </w:t>
            </w:r>
            <w:r w:rsidR="00572006" w:rsidRPr="00BB556C">
              <w:rPr>
                <w:rFonts w:eastAsia="+mn-ea"/>
                <w:color w:val="000000" w:themeColor="text1"/>
              </w:rPr>
              <w:t>17 268,4</w:t>
            </w:r>
            <w:r w:rsidRPr="00BB556C">
              <w:rPr>
                <w:rFonts w:eastAsia="+mn-ea"/>
                <w:color w:val="000000" w:themeColor="text1"/>
              </w:rPr>
              <w:t>т.руб.</w:t>
            </w:r>
          </w:p>
          <w:p w:rsidR="002B0EAB" w:rsidRPr="00BB556C" w:rsidRDefault="002B0EAB" w:rsidP="002B0EAB">
            <w:pPr>
              <w:ind w:left="113" w:right="113"/>
              <w:rPr>
                <w:color w:val="000000" w:themeColor="text1"/>
              </w:rPr>
            </w:pPr>
          </w:p>
        </w:tc>
        <w:tc>
          <w:tcPr>
            <w:tcW w:w="7932" w:type="dxa"/>
            <w:vAlign w:val="center"/>
          </w:tcPr>
          <w:p w:rsidR="002B0EAB" w:rsidRPr="00BB556C" w:rsidRDefault="002B0EAB" w:rsidP="002B0EAB">
            <w:pPr>
              <w:contextualSpacing/>
              <w:jc w:val="center"/>
              <w:rPr>
                <w:rFonts w:eastAsia="+mn-ea"/>
                <w:color w:val="000000" w:themeColor="text1"/>
              </w:rPr>
            </w:pPr>
            <w:r w:rsidRPr="00BB556C">
              <w:rPr>
                <w:rFonts w:eastAsia="+mn-ea"/>
                <w:color w:val="000000" w:themeColor="text1"/>
              </w:rPr>
              <w:t>Реконструкция дорог по улицам города Мегиона, ул. Губкина</w:t>
            </w:r>
          </w:p>
          <w:p w:rsidR="002B0EAB" w:rsidRPr="00BB556C" w:rsidRDefault="002B0EAB" w:rsidP="00F258C5">
            <w:pPr>
              <w:contextualSpacing/>
              <w:jc w:val="center"/>
              <w:rPr>
                <w:rFonts w:eastAsia="+mn-ea"/>
                <w:color w:val="000000" w:themeColor="text1"/>
              </w:rPr>
            </w:pPr>
            <w:r w:rsidRPr="00BB556C">
              <w:rPr>
                <w:rFonts w:eastAsia="+mn-ea"/>
                <w:color w:val="000000" w:themeColor="text1"/>
              </w:rPr>
              <w:t xml:space="preserve">Объем капитальных вложений- </w:t>
            </w:r>
            <w:r w:rsidR="00F258C5" w:rsidRPr="00BB556C">
              <w:rPr>
                <w:rFonts w:eastAsia="+mn-ea"/>
                <w:color w:val="000000" w:themeColor="text1"/>
              </w:rPr>
              <w:t xml:space="preserve">55 380,8 тыс.рублей. В настоящее время выполнен второй этап  строительства в полном объеме, срок оплаты работ октябрь-декабрь 2016 года. </w:t>
            </w:r>
          </w:p>
        </w:tc>
      </w:tr>
      <w:tr w:rsidR="007869E5" w:rsidRPr="00BB556C" w:rsidTr="003F7751">
        <w:trPr>
          <w:trHeight w:val="925"/>
        </w:trPr>
        <w:tc>
          <w:tcPr>
            <w:tcW w:w="1668" w:type="dxa"/>
            <w:vMerge/>
            <w:textDirection w:val="btLr"/>
          </w:tcPr>
          <w:p w:rsidR="007869E5" w:rsidRPr="00BB556C" w:rsidRDefault="007869E5" w:rsidP="002B0EAB">
            <w:pPr>
              <w:ind w:left="113" w:right="113"/>
              <w:contextualSpacing/>
              <w:jc w:val="center"/>
              <w:rPr>
                <w:rFonts w:eastAsia="+mn-ea"/>
                <w:color w:val="000000" w:themeColor="text1"/>
              </w:rPr>
            </w:pPr>
          </w:p>
        </w:tc>
        <w:tc>
          <w:tcPr>
            <w:tcW w:w="7932" w:type="dxa"/>
            <w:vAlign w:val="center"/>
          </w:tcPr>
          <w:p w:rsidR="007869E5" w:rsidRPr="00BB556C" w:rsidRDefault="00BC26EC" w:rsidP="002B0EAB">
            <w:pPr>
              <w:contextualSpacing/>
              <w:jc w:val="center"/>
              <w:rPr>
                <w:rFonts w:eastAsia="+mn-ea"/>
                <w:color w:val="000000" w:themeColor="text1"/>
              </w:rPr>
            </w:pPr>
            <w:r w:rsidRPr="00BB556C">
              <w:rPr>
                <w:rFonts w:eastAsia="+mn-ea"/>
                <w:color w:val="000000" w:themeColor="text1"/>
              </w:rPr>
              <w:t>Автомобильная дорога к пристани г Мегион (</w:t>
            </w:r>
            <w:r w:rsidR="006251DE">
              <w:rPr>
                <w:rFonts w:eastAsia="+mn-ea"/>
                <w:color w:val="000000" w:themeColor="text1"/>
              </w:rPr>
              <w:t>проспект Победы). Объем капитал</w:t>
            </w:r>
            <w:r w:rsidRPr="00BB556C">
              <w:rPr>
                <w:rFonts w:eastAsia="+mn-ea"/>
                <w:color w:val="000000" w:themeColor="text1"/>
              </w:rPr>
              <w:t>ьных вложений – 167 158 тыс.рублей (планируемый срок заключения муниципального контракта в октябре 2016, в ноябре 2018 года планируемый срок выполнения работ).</w:t>
            </w:r>
          </w:p>
        </w:tc>
      </w:tr>
      <w:tr w:rsidR="002B0EAB" w:rsidRPr="00BB556C" w:rsidTr="003F7751">
        <w:trPr>
          <w:trHeight w:val="790"/>
        </w:trPr>
        <w:tc>
          <w:tcPr>
            <w:tcW w:w="1668" w:type="dxa"/>
            <w:vMerge/>
          </w:tcPr>
          <w:p w:rsidR="002B0EAB" w:rsidRPr="00BB556C" w:rsidRDefault="002B0EAB" w:rsidP="002B0EAB">
            <w:pPr>
              <w:rPr>
                <w:color w:val="000000" w:themeColor="text1"/>
              </w:rPr>
            </w:pPr>
          </w:p>
        </w:tc>
        <w:tc>
          <w:tcPr>
            <w:tcW w:w="7932" w:type="dxa"/>
            <w:vAlign w:val="center"/>
          </w:tcPr>
          <w:p w:rsidR="002B0EAB" w:rsidRPr="00BB556C" w:rsidRDefault="00A124DC" w:rsidP="002B0EAB">
            <w:pPr>
              <w:contextualSpacing/>
              <w:jc w:val="center"/>
              <w:rPr>
                <w:color w:val="000000" w:themeColor="text1"/>
              </w:rPr>
            </w:pPr>
            <w:r w:rsidRPr="00BB556C">
              <w:rPr>
                <w:rFonts w:eastAsia="+mn-ea"/>
                <w:color w:val="000000" w:themeColor="text1"/>
              </w:rPr>
              <w:t>Участок тепловых сетей от УТ-4 до ул.50 лет Октября с переходом ул.Заречная.</w:t>
            </w:r>
          </w:p>
          <w:p w:rsidR="002B0EAB" w:rsidRPr="00BB556C" w:rsidRDefault="002B0EAB" w:rsidP="002B0EAB">
            <w:pPr>
              <w:jc w:val="center"/>
              <w:rPr>
                <w:color w:val="000000" w:themeColor="text1"/>
              </w:rPr>
            </w:pPr>
            <w:r w:rsidRPr="00BB556C">
              <w:rPr>
                <w:rFonts w:eastAsia="+mn-ea"/>
                <w:color w:val="000000" w:themeColor="text1"/>
              </w:rPr>
              <w:t>Объем капитальных вложений- 21 421,8 тыс. рублей</w:t>
            </w:r>
          </w:p>
        </w:tc>
      </w:tr>
      <w:tr w:rsidR="002B0EAB" w:rsidRPr="00BB556C" w:rsidTr="003F7751">
        <w:trPr>
          <w:trHeight w:val="923"/>
        </w:trPr>
        <w:tc>
          <w:tcPr>
            <w:tcW w:w="1668" w:type="dxa"/>
            <w:vMerge/>
          </w:tcPr>
          <w:p w:rsidR="002B0EAB" w:rsidRPr="00BB556C" w:rsidRDefault="002B0EAB" w:rsidP="002B0EAB">
            <w:pPr>
              <w:rPr>
                <w:color w:val="000000" w:themeColor="text1"/>
              </w:rPr>
            </w:pPr>
          </w:p>
        </w:tc>
        <w:tc>
          <w:tcPr>
            <w:tcW w:w="7932" w:type="dxa"/>
            <w:vAlign w:val="center"/>
          </w:tcPr>
          <w:p w:rsidR="002B0EAB" w:rsidRPr="00BB556C" w:rsidRDefault="002B0EAB" w:rsidP="002B0EAB">
            <w:pPr>
              <w:contextualSpacing/>
              <w:jc w:val="center"/>
              <w:rPr>
                <w:rFonts w:eastAsia="+mn-ea"/>
                <w:color w:val="000000" w:themeColor="text1"/>
              </w:rPr>
            </w:pPr>
            <w:r w:rsidRPr="00BB556C">
              <w:rPr>
                <w:rFonts w:eastAsia="+mn-ea"/>
                <w:color w:val="000000" w:themeColor="text1"/>
              </w:rPr>
              <w:t>Газификация п. Высокий</w:t>
            </w:r>
          </w:p>
          <w:p w:rsidR="002B0EAB" w:rsidRPr="00BB556C" w:rsidRDefault="002B0EAB" w:rsidP="002B0EAB">
            <w:pPr>
              <w:contextualSpacing/>
              <w:jc w:val="center"/>
              <w:rPr>
                <w:color w:val="000000" w:themeColor="text1"/>
              </w:rPr>
            </w:pPr>
            <w:r w:rsidRPr="00BB556C">
              <w:rPr>
                <w:rFonts w:eastAsia="+mn-ea"/>
                <w:color w:val="000000" w:themeColor="text1"/>
              </w:rPr>
              <w:t>Объ</w:t>
            </w:r>
            <w:r w:rsidR="00BC26EC" w:rsidRPr="00BB556C">
              <w:rPr>
                <w:rFonts w:eastAsia="+mn-ea"/>
                <w:color w:val="000000" w:themeColor="text1"/>
              </w:rPr>
              <w:t>ем капитальных вложений- 545,2</w:t>
            </w:r>
            <w:r w:rsidRPr="00BB556C">
              <w:rPr>
                <w:rFonts w:eastAsia="+mn-ea"/>
                <w:color w:val="000000" w:themeColor="text1"/>
              </w:rPr>
              <w:t xml:space="preserve"> тыс. рублей (ведутся проектно-изыскательские работы)</w:t>
            </w:r>
          </w:p>
        </w:tc>
      </w:tr>
      <w:tr w:rsidR="002B0EAB" w:rsidRPr="00BB556C" w:rsidTr="003F7751">
        <w:trPr>
          <w:trHeight w:val="789"/>
        </w:trPr>
        <w:tc>
          <w:tcPr>
            <w:tcW w:w="1668" w:type="dxa"/>
            <w:vMerge/>
          </w:tcPr>
          <w:p w:rsidR="002B0EAB" w:rsidRPr="00BB556C" w:rsidRDefault="002B0EAB" w:rsidP="002B0EAB">
            <w:pPr>
              <w:rPr>
                <w:color w:val="000000" w:themeColor="text1"/>
              </w:rPr>
            </w:pPr>
          </w:p>
        </w:tc>
        <w:tc>
          <w:tcPr>
            <w:tcW w:w="7932" w:type="dxa"/>
            <w:vAlign w:val="center"/>
          </w:tcPr>
          <w:p w:rsidR="002B0EAB" w:rsidRPr="00BB556C" w:rsidRDefault="002B0EAB" w:rsidP="002B0EAB">
            <w:pPr>
              <w:contextualSpacing/>
              <w:jc w:val="center"/>
              <w:rPr>
                <w:color w:val="000000" w:themeColor="text1"/>
              </w:rPr>
            </w:pPr>
            <w:r w:rsidRPr="00BB556C">
              <w:rPr>
                <w:rFonts w:eastAsia="+mn-ea"/>
                <w:color w:val="000000" w:themeColor="text1"/>
              </w:rPr>
              <w:t>Реконструкция 4-х КНС         п. Высокий</w:t>
            </w:r>
          </w:p>
          <w:p w:rsidR="002B0EAB" w:rsidRPr="00BB556C" w:rsidRDefault="002B0EAB" w:rsidP="002B0EAB">
            <w:pPr>
              <w:contextualSpacing/>
              <w:jc w:val="center"/>
              <w:rPr>
                <w:color w:val="000000" w:themeColor="text1"/>
              </w:rPr>
            </w:pPr>
            <w:r w:rsidRPr="00BB556C">
              <w:rPr>
                <w:rFonts w:eastAsia="+mn-ea"/>
                <w:color w:val="000000" w:themeColor="text1"/>
              </w:rPr>
              <w:t>Объем капитальных вложений- 1166,3 тыс. рублей (готовность объекта 96%)</w:t>
            </w:r>
            <w:r w:rsidR="007869E5" w:rsidRPr="00BB556C">
              <w:rPr>
                <w:rFonts w:eastAsia="+mn-ea"/>
                <w:color w:val="000000" w:themeColor="text1"/>
              </w:rPr>
              <w:t>, срок выполнения строительно-монтажных работ – октябрь 2016 года.</w:t>
            </w:r>
          </w:p>
        </w:tc>
      </w:tr>
      <w:tr w:rsidR="00A124DC" w:rsidRPr="00BB556C" w:rsidTr="003F7751">
        <w:trPr>
          <w:trHeight w:val="773"/>
        </w:trPr>
        <w:tc>
          <w:tcPr>
            <w:tcW w:w="1668" w:type="dxa"/>
            <w:vMerge/>
          </w:tcPr>
          <w:p w:rsidR="00A124DC" w:rsidRPr="00BB556C" w:rsidRDefault="00A124DC" w:rsidP="002B0EAB">
            <w:pPr>
              <w:rPr>
                <w:color w:val="000000" w:themeColor="text1"/>
              </w:rPr>
            </w:pPr>
          </w:p>
        </w:tc>
        <w:tc>
          <w:tcPr>
            <w:tcW w:w="7932" w:type="dxa"/>
            <w:vAlign w:val="center"/>
          </w:tcPr>
          <w:p w:rsidR="00A124DC" w:rsidRPr="00BB556C" w:rsidRDefault="00A124DC" w:rsidP="00A124DC">
            <w:pPr>
              <w:contextualSpacing/>
              <w:jc w:val="center"/>
              <w:rPr>
                <w:rFonts w:eastAsia="+mn-ea"/>
                <w:color w:val="000000" w:themeColor="text1"/>
              </w:rPr>
            </w:pPr>
            <w:r w:rsidRPr="00BB556C">
              <w:rPr>
                <w:rFonts w:eastAsia="+mn-ea"/>
                <w:color w:val="000000" w:themeColor="text1"/>
              </w:rPr>
              <w:t>Физкультурно-спортивный комплекс с ледовой ареной</w:t>
            </w:r>
          </w:p>
          <w:p w:rsidR="00A124DC" w:rsidRPr="00BB556C" w:rsidRDefault="00A124DC" w:rsidP="00A124DC">
            <w:pPr>
              <w:contextualSpacing/>
              <w:jc w:val="center"/>
              <w:rPr>
                <w:color w:val="000000" w:themeColor="text1"/>
              </w:rPr>
            </w:pPr>
            <w:r w:rsidRPr="00BB556C">
              <w:rPr>
                <w:rFonts w:eastAsia="+mn-ea"/>
                <w:color w:val="000000" w:themeColor="text1"/>
              </w:rPr>
              <w:t>Объем капитальных вложений- 7 021,7 тыс. рублей</w:t>
            </w:r>
          </w:p>
          <w:p w:rsidR="00A124DC" w:rsidRPr="00BB556C" w:rsidRDefault="00A124DC" w:rsidP="00A124DC">
            <w:pPr>
              <w:contextualSpacing/>
              <w:jc w:val="center"/>
              <w:rPr>
                <w:rFonts w:eastAsia="+mn-ea"/>
                <w:color w:val="000000" w:themeColor="text1"/>
              </w:rPr>
            </w:pPr>
            <w:r w:rsidRPr="00BB556C">
              <w:rPr>
                <w:rFonts w:eastAsia="+mn-ea"/>
                <w:color w:val="000000" w:themeColor="text1"/>
              </w:rPr>
              <w:t>Выполнено работ на - 7 021,7 тыс. рублей</w:t>
            </w:r>
          </w:p>
        </w:tc>
      </w:tr>
      <w:tr w:rsidR="002B0EAB" w:rsidRPr="00BB556C" w:rsidTr="003F7751">
        <w:trPr>
          <w:trHeight w:val="773"/>
        </w:trPr>
        <w:tc>
          <w:tcPr>
            <w:tcW w:w="1668" w:type="dxa"/>
            <w:vMerge/>
          </w:tcPr>
          <w:p w:rsidR="002B0EAB" w:rsidRPr="00BB556C" w:rsidRDefault="002B0EAB" w:rsidP="002B0EAB">
            <w:pPr>
              <w:rPr>
                <w:color w:val="000000" w:themeColor="text1"/>
              </w:rPr>
            </w:pPr>
          </w:p>
        </w:tc>
        <w:tc>
          <w:tcPr>
            <w:tcW w:w="7932" w:type="dxa"/>
            <w:vAlign w:val="center"/>
          </w:tcPr>
          <w:p w:rsidR="002B0EAB" w:rsidRPr="00BB556C" w:rsidRDefault="00A124DC" w:rsidP="002B0EAB">
            <w:pPr>
              <w:contextualSpacing/>
              <w:jc w:val="center"/>
              <w:rPr>
                <w:color w:val="000000" w:themeColor="text1"/>
              </w:rPr>
            </w:pPr>
            <w:r w:rsidRPr="00BB556C">
              <w:rPr>
                <w:color w:val="000000" w:themeColor="text1"/>
              </w:rPr>
              <w:t>Спортивный центр с универсальным игровым залом и плоскостными спортивными сооружениями.</w:t>
            </w:r>
          </w:p>
          <w:p w:rsidR="00A124DC" w:rsidRPr="00BB556C" w:rsidRDefault="00A124DC" w:rsidP="002B0EAB">
            <w:pPr>
              <w:contextualSpacing/>
              <w:jc w:val="center"/>
              <w:rPr>
                <w:color w:val="000000" w:themeColor="text1"/>
              </w:rPr>
            </w:pPr>
            <w:r w:rsidRPr="00BB556C">
              <w:rPr>
                <w:color w:val="000000" w:themeColor="text1"/>
              </w:rPr>
              <w:t>Объем капитальных вложений-21 075,0 тыс.рублей (планируемый срок заключения муниципального контракта-сен</w:t>
            </w:r>
            <w:r w:rsidR="00904CEC" w:rsidRPr="00BB556C">
              <w:rPr>
                <w:color w:val="000000" w:themeColor="text1"/>
              </w:rPr>
              <w:t>тябрь 2016 года, в ноябре 2018 года планируемый срок выполнения работ).</w:t>
            </w:r>
          </w:p>
        </w:tc>
      </w:tr>
    </w:tbl>
    <w:p w:rsidR="009F7D6A" w:rsidRDefault="009F7D6A" w:rsidP="002B0EAB"/>
    <w:p w:rsidR="002B0EAB" w:rsidRPr="00BB556C" w:rsidRDefault="003F7751" w:rsidP="002B0EAB">
      <w:r w:rsidRPr="00BB556C">
        <w:t>Ж</w:t>
      </w:r>
      <w:r w:rsidR="002B0EAB" w:rsidRPr="00BB556C">
        <w:t>ИЛИЩНО-КОММУНАЛЬНЫЙ КОМПЛЕКС</w:t>
      </w:r>
    </w:p>
    <w:p w:rsidR="00F6512A" w:rsidRPr="00F6512A" w:rsidRDefault="00F6512A" w:rsidP="00F6512A">
      <w:pPr>
        <w:ind w:firstLine="709"/>
        <w:jc w:val="center"/>
      </w:pPr>
    </w:p>
    <w:p w:rsidR="00F6512A" w:rsidRPr="00F6512A" w:rsidRDefault="00F6512A" w:rsidP="00F6512A">
      <w:pPr>
        <w:ind w:firstLine="709"/>
      </w:pPr>
      <w:r w:rsidRPr="00F6512A">
        <w:t xml:space="preserve">По состоянию на 01.10.2016 дебиторская задолженность за коммунальные услуги по  всем предприятиям жилищно-коммунального хозяйства городского округа город Мегион </w:t>
      </w:r>
      <w:r w:rsidRPr="00F6512A">
        <w:lastRenderedPageBreak/>
        <w:t xml:space="preserve">составила 567,74 млн. рублей, что на </w:t>
      </w:r>
      <w:r w:rsidR="009F7D6A">
        <w:t>22,1</w:t>
      </w:r>
      <w:r w:rsidRPr="00F6512A">
        <w:t>% больше, чем за 2 квартал 2016 года. От общей суммы задолженности доля населения составляет 84,7%.</w:t>
      </w:r>
    </w:p>
    <w:p w:rsidR="00F6512A" w:rsidRPr="00F6512A" w:rsidRDefault="00F6512A" w:rsidP="00F6512A">
      <w:pPr>
        <w:ind w:firstLine="708"/>
      </w:pPr>
      <w:r w:rsidRPr="00F6512A">
        <w:t xml:space="preserve">За 9 месяцев 2016 года населением городского округа город Мегион оплачено за жилищно-коммунальные услуги 732,06 тыс. рублей, что составляет 92,6% от начисленных за данный период сумм платежей. </w:t>
      </w:r>
    </w:p>
    <w:p w:rsidR="00CB38E8" w:rsidRDefault="00F6512A" w:rsidP="00F6512A">
      <w:pPr>
        <w:ind w:firstLine="708"/>
      </w:pPr>
      <w:r w:rsidRPr="00F6512A">
        <w:t xml:space="preserve">Наибольшая задолженность среди предприятий жилищно-коммунального комплекса города по итогам 3 квартала 2016 года сложилась в МУП «Тепловодоканал» 67,9% от общего объема дебиторской задолженности по всем предприятиям сферы ЖКХ. </w:t>
      </w:r>
    </w:p>
    <w:p w:rsidR="00F6512A" w:rsidRPr="00F6512A" w:rsidRDefault="00F6512A" w:rsidP="00F6512A">
      <w:pPr>
        <w:ind w:firstLine="708"/>
      </w:pPr>
      <w:r w:rsidRPr="00F6512A">
        <w:t xml:space="preserve">В сравнении с 3 кварталом 2015 года, общая сумма задолженности за коммунальные услуги в МУП «Тепловодоканал» в 2016 году увеличилась на 17,88 %, рост задолженности по населению составил 21,5%. </w:t>
      </w:r>
    </w:p>
    <w:p w:rsidR="00F6512A" w:rsidRPr="00CB38E8" w:rsidRDefault="00F6512A" w:rsidP="00F6512A">
      <w:pPr>
        <w:ind w:firstLine="708"/>
        <w:jc w:val="center"/>
        <w:rPr>
          <w:sz w:val="16"/>
          <w:szCs w:val="16"/>
        </w:rPr>
      </w:pPr>
    </w:p>
    <w:p w:rsidR="00F6512A" w:rsidRPr="00F6512A" w:rsidRDefault="00F6512A" w:rsidP="00F6512A">
      <w:pPr>
        <w:ind w:firstLine="708"/>
        <w:jc w:val="center"/>
      </w:pPr>
      <w:r w:rsidRPr="00F6512A">
        <w:t>Дебиторская задолженность по предприятиям ЖКХ городского округа город Мегион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317"/>
        <w:gridCol w:w="2409"/>
        <w:gridCol w:w="2375"/>
      </w:tblGrid>
      <w:tr w:rsidR="00F6512A" w:rsidRPr="00CB38E8" w:rsidTr="00F6512A">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center"/>
              <w:rPr>
                <w:sz w:val="20"/>
                <w:szCs w:val="20"/>
              </w:rPr>
            </w:pPr>
            <w:r w:rsidRPr="00CB38E8">
              <w:rPr>
                <w:sz w:val="20"/>
                <w:szCs w:val="20"/>
              </w:rPr>
              <w:t>Наименование предприятия</w:t>
            </w:r>
          </w:p>
        </w:tc>
        <w:tc>
          <w:tcPr>
            <w:tcW w:w="4726" w:type="dxa"/>
            <w:gridSpan w:val="2"/>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center"/>
              <w:rPr>
                <w:sz w:val="20"/>
                <w:szCs w:val="20"/>
              </w:rPr>
            </w:pPr>
            <w:r w:rsidRPr="00CB38E8">
              <w:rPr>
                <w:sz w:val="20"/>
                <w:szCs w:val="20"/>
              </w:rPr>
              <w:t xml:space="preserve">Размер дебиторской задолженности, </w:t>
            </w:r>
          </w:p>
          <w:p w:rsidR="00F6512A" w:rsidRPr="00CB38E8" w:rsidRDefault="00F6512A" w:rsidP="00F6512A">
            <w:pPr>
              <w:jc w:val="center"/>
              <w:rPr>
                <w:sz w:val="20"/>
                <w:szCs w:val="20"/>
              </w:rPr>
            </w:pPr>
            <w:r w:rsidRPr="00CB38E8">
              <w:rPr>
                <w:sz w:val="20"/>
                <w:szCs w:val="20"/>
              </w:rPr>
              <w:t>тыс. рублей</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center"/>
              <w:rPr>
                <w:sz w:val="20"/>
                <w:szCs w:val="20"/>
              </w:rPr>
            </w:pPr>
            <w:r w:rsidRPr="00CB38E8">
              <w:rPr>
                <w:sz w:val="20"/>
                <w:szCs w:val="20"/>
              </w:rPr>
              <w:t>Рост, %</w:t>
            </w:r>
          </w:p>
        </w:tc>
      </w:tr>
      <w:tr w:rsidR="00F6512A" w:rsidRPr="00F6512A" w:rsidTr="00F6512A">
        <w:tc>
          <w:tcPr>
            <w:tcW w:w="0" w:type="auto"/>
            <w:vMerge/>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pP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center"/>
              <w:rPr>
                <w:sz w:val="20"/>
                <w:szCs w:val="20"/>
              </w:rPr>
            </w:pPr>
            <w:r w:rsidRPr="00CB38E8">
              <w:rPr>
                <w:sz w:val="20"/>
                <w:szCs w:val="20"/>
              </w:rPr>
              <w:t>3 квартал 2015 года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center"/>
              <w:rPr>
                <w:sz w:val="20"/>
                <w:szCs w:val="20"/>
              </w:rPr>
            </w:pPr>
            <w:r w:rsidRPr="00CB38E8">
              <w:rPr>
                <w:sz w:val="20"/>
                <w:szCs w:val="20"/>
              </w:rPr>
              <w:t>3 квартал 2016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12A" w:rsidRPr="00CB38E8" w:rsidRDefault="00F6512A" w:rsidP="00F6512A">
            <w:pPr>
              <w:jc w:val="left"/>
              <w:rPr>
                <w:sz w:val="20"/>
                <w:szCs w:val="20"/>
              </w:rPr>
            </w:pPr>
          </w:p>
        </w:tc>
      </w:tr>
      <w:tr w:rsidR="00F6512A" w:rsidRPr="00F6512A" w:rsidTr="00F6512A">
        <w:tc>
          <w:tcPr>
            <w:tcW w:w="2753"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pPr>
            <w:r w:rsidRPr="00F6512A">
              <w:t>МУП «Тепловодоканал»</w:t>
            </w: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327,0</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385,5</w:t>
            </w:r>
          </w:p>
        </w:tc>
        <w:tc>
          <w:tcPr>
            <w:tcW w:w="2375"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sz w:val="22"/>
                <w:szCs w:val="22"/>
              </w:rPr>
            </w:pPr>
            <w:r w:rsidRPr="00F6512A">
              <w:rPr>
                <w:color w:val="000000"/>
                <w:sz w:val="22"/>
                <w:szCs w:val="22"/>
              </w:rPr>
              <w:t>117,88</w:t>
            </w:r>
          </w:p>
        </w:tc>
      </w:tr>
      <w:tr w:rsidR="00F6512A" w:rsidRPr="00F6512A" w:rsidTr="00F6512A">
        <w:tc>
          <w:tcPr>
            <w:tcW w:w="2753"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pPr>
            <w:r w:rsidRPr="00F6512A">
              <w:t>ОАО «ЖКУ»</w:t>
            </w: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5,6</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4,9</w:t>
            </w:r>
          </w:p>
        </w:tc>
        <w:tc>
          <w:tcPr>
            <w:tcW w:w="2375"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sz w:val="22"/>
                <w:szCs w:val="22"/>
              </w:rPr>
            </w:pPr>
            <w:r w:rsidRPr="00F6512A">
              <w:rPr>
                <w:color w:val="000000"/>
                <w:sz w:val="22"/>
                <w:szCs w:val="22"/>
              </w:rPr>
              <w:t>87,5</w:t>
            </w:r>
          </w:p>
        </w:tc>
      </w:tr>
      <w:tr w:rsidR="00F6512A" w:rsidRPr="00F6512A" w:rsidTr="00F6512A">
        <w:tc>
          <w:tcPr>
            <w:tcW w:w="2753"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pPr>
            <w:r w:rsidRPr="00F6512A">
              <w:t>ООО «ЖЭК»</w:t>
            </w: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108,9</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135,8</w:t>
            </w:r>
          </w:p>
        </w:tc>
        <w:tc>
          <w:tcPr>
            <w:tcW w:w="2375"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sz w:val="22"/>
                <w:szCs w:val="22"/>
              </w:rPr>
            </w:pPr>
            <w:r w:rsidRPr="00F6512A">
              <w:rPr>
                <w:color w:val="000000"/>
                <w:sz w:val="22"/>
                <w:szCs w:val="22"/>
              </w:rPr>
              <w:t>124,7</w:t>
            </w:r>
          </w:p>
        </w:tc>
      </w:tr>
      <w:tr w:rsidR="00F6512A" w:rsidRPr="00F6512A" w:rsidTr="00F6512A">
        <w:tc>
          <w:tcPr>
            <w:tcW w:w="2753"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pPr>
            <w:r w:rsidRPr="00F6512A">
              <w:t>ОАО «ТЭК»</w:t>
            </w: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23,2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rPr>
            </w:pPr>
            <w:r w:rsidRPr="00F6512A">
              <w:rPr>
                <w:color w:val="000000"/>
              </w:rPr>
              <w:t>41,5</w:t>
            </w:r>
          </w:p>
        </w:tc>
        <w:tc>
          <w:tcPr>
            <w:tcW w:w="2375"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sz w:val="22"/>
                <w:szCs w:val="22"/>
              </w:rPr>
            </w:pPr>
            <w:r w:rsidRPr="00F6512A">
              <w:rPr>
                <w:color w:val="000000"/>
                <w:sz w:val="22"/>
                <w:szCs w:val="22"/>
              </w:rPr>
              <w:t>178,87</w:t>
            </w:r>
          </w:p>
        </w:tc>
      </w:tr>
      <w:tr w:rsidR="00F6512A" w:rsidRPr="00F6512A" w:rsidTr="00F6512A">
        <w:tc>
          <w:tcPr>
            <w:tcW w:w="2753"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left"/>
              <w:rPr>
                <w:b/>
              </w:rPr>
            </w:pPr>
            <w:r w:rsidRPr="00F6512A">
              <w:rPr>
                <w:b/>
              </w:rPr>
              <w:t>ИТОГО</w:t>
            </w:r>
          </w:p>
        </w:tc>
        <w:tc>
          <w:tcPr>
            <w:tcW w:w="2317"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b/>
                <w:color w:val="000000"/>
              </w:rPr>
            </w:pPr>
            <w:r w:rsidRPr="00F6512A">
              <w:rPr>
                <w:b/>
                <w:color w:val="000000"/>
              </w:rPr>
              <w:t>464,7</w:t>
            </w:r>
          </w:p>
        </w:tc>
        <w:tc>
          <w:tcPr>
            <w:tcW w:w="2409"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b/>
                <w:color w:val="000000"/>
              </w:rPr>
            </w:pPr>
            <w:r w:rsidRPr="00F6512A">
              <w:rPr>
                <w:b/>
                <w:color w:val="000000"/>
              </w:rPr>
              <w:t>567,7</w:t>
            </w:r>
          </w:p>
        </w:tc>
        <w:tc>
          <w:tcPr>
            <w:tcW w:w="2375" w:type="dxa"/>
            <w:tcBorders>
              <w:top w:val="single" w:sz="4" w:space="0" w:color="auto"/>
              <w:left w:val="single" w:sz="4" w:space="0" w:color="auto"/>
              <w:bottom w:val="single" w:sz="4" w:space="0" w:color="auto"/>
              <w:right w:val="single" w:sz="4" w:space="0" w:color="auto"/>
            </w:tcBorders>
            <w:vAlign w:val="center"/>
            <w:hideMark/>
          </w:tcPr>
          <w:p w:rsidR="00F6512A" w:rsidRPr="00F6512A" w:rsidRDefault="00F6512A" w:rsidP="00F6512A">
            <w:pPr>
              <w:jc w:val="center"/>
              <w:rPr>
                <w:color w:val="000000"/>
                <w:sz w:val="22"/>
                <w:szCs w:val="22"/>
              </w:rPr>
            </w:pPr>
            <w:r w:rsidRPr="00F6512A">
              <w:rPr>
                <w:color w:val="000000"/>
                <w:sz w:val="22"/>
                <w:szCs w:val="22"/>
              </w:rPr>
              <w:t>122,16</w:t>
            </w:r>
          </w:p>
        </w:tc>
      </w:tr>
    </w:tbl>
    <w:p w:rsidR="00F6512A" w:rsidRPr="00CB38E8" w:rsidRDefault="00F6512A" w:rsidP="00F6512A">
      <w:pPr>
        <w:ind w:firstLine="708"/>
        <w:rPr>
          <w:sz w:val="16"/>
          <w:szCs w:val="16"/>
        </w:rPr>
      </w:pPr>
    </w:p>
    <w:p w:rsidR="00F6512A" w:rsidRPr="00F6512A" w:rsidRDefault="00F6512A" w:rsidP="00F6512A">
      <w:pPr>
        <w:ind w:firstLine="708"/>
      </w:pPr>
      <w:r w:rsidRPr="00F6512A">
        <w:t>Предприятиями жилищно-коммунального комплекса ведется системная работа с потребителями по предупреждению образования задолженности, проводится  информирование граждан об изменении тарифов на услуги ЖКХ, о необходимости своевременной оплаты за потребленные услуги,</w:t>
      </w:r>
    </w:p>
    <w:p w:rsidR="00F6512A" w:rsidRPr="00F6512A" w:rsidRDefault="00F6512A" w:rsidP="00F6512A">
      <w:pPr>
        <w:ind w:firstLine="708"/>
      </w:pPr>
      <w:r w:rsidRPr="00F6512A">
        <w:t>В случае образования задолженности должнику направляется уведомление о сумме образовавшейся задолженности и ответственности за несвоевременную неуплату долга.</w:t>
      </w:r>
    </w:p>
    <w:p w:rsidR="00F6512A" w:rsidRPr="00F6512A" w:rsidRDefault="00F6512A" w:rsidP="00F6512A">
      <w:pPr>
        <w:ind w:firstLine="709"/>
      </w:pPr>
      <w:r w:rsidRPr="00F6512A">
        <w:t xml:space="preserve">Юридическими службами предприятий жилищно-коммунального хозяйства проводится судебно-исковая работа: потребителям направляются претензионные письма о задолженности,  готовятся и направляются исковые заявления в суд о взыскании задолженности. </w:t>
      </w:r>
    </w:p>
    <w:p w:rsidR="00F6512A" w:rsidRPr="00F6512A" w:rsidRDefault="00F6512A" w:rsidP="00F6512A">
      <w:pPr>
        <w:ind w:firstLine="709"/>
      </w:pPr>
      <w:r w:rsidRPr="00F6512A">
        <w:t>Рост объема задолженности неблагоприятно влияет на  экономические показатели предприятия.</w:t>
      </w:r>
      <w:r w:rsidRPr="00F6512A">
        <w:rPr>
          <w:color w:val="000000"/>
        </w:rPr>
        <w:t xml:space="preserve"> </w:t>
      </w:r>
      <w:r w:rsidRPr="00F6512A">
        <w:t xml:space="preserve">Так, вследствие недостатка финансовых средств предприятия ЖКХ не имеют возможности реализовать в полном объеме мероприятия по текущему и капитальному ремонту коммунальных объектов и оборудования, произвести оплату налогов в федеральный и местный бюджеты, своевременно оплатить топливно-энергетические ресурсы, необходимые для производства коммунальных услуг. </w:t>
      </w:r>
    </w:p>
    <w:p w:rsidR="00F6512A" w:rsidRPr="00F6512A" w:rsidRDefault="00F6512A" w:rsidP="00F80A3D">
      <w:pPr>
        <w:ind w:right="140" w:firstLine="709"/>
      </w:pPr>
      <w:r w:rsidRPr="00F6512A">
        <w:t xml:space="preserve">В 3 квартале 2016 года </w:t>
      </w:r>
      <w:r w:rsidR="009F7D6A">
        <w:t>726</w:t>
      </w:r>
      <w:r w:rsidRPr="00F6512A">
        <w:t xml:space="preserve"> мегионских сем</w:t>
      </w:r>
      <w:r w:rsidR="009F7D6A">
        <w:t>ей</w:t>
      </w:r>
      <w:r w:rsidRPr="00F6512A">
        <w:t xml:space="preserve"> получили субсидии по оплате жилищно-коммунальных услуг. Общий объем предоставленных субсидий на оплату жилого помещения и коммунальных услуг за 9 месяцев</w:t>
      </w:r>
      <w:r w:rsidR="009F7D6A">
        <w:t xml:space="preserve"> </w:t>
      </w:r>
      <w:r w:rsidRPr="00F6512A">
        <w:t>2016 года составил 16,75 млн. рублей.</w:t>
      </w:r>
      <w:r w:rsidRPr="00F6512A">
        <w:rPr>
          <w:color w:val="FF0000"/>
        </w:rPr>
        <w:t xml:space="preserve"> </w:t>
      </w:r>
    </w:p>
    <w:p w:rsidR="00F80A3D" w:rsidRPr="00F80A3D" w:rsidRDefault="00F80A3D" w:rsidP="00F80A3D">
      <w:pPr>
        <w:ind w:right="140" w:firstLine="709"/>
      </w:pPr>
      <w:r w:rsidRPr="00F80A3D">
        <w:t xml:space="preserve">Жилищно-коммунальный комплекс является зоной повышенных социально-экономических и политических рисков. </w:t>
      </w:r>
    </w:p>
    <w:p w:rsidR="00F80A3D" w:rsidRPr="00F80A3D" w:rsidRDefault="00F80A3D" w:rsidP="00F80A3D">
      <w:pPr>
        <w:widowControl w:val="0"/>
        <w:autoSpaceDE w:val="0"/>
        <w:autoSpaceDN w:val="0"/>
        <w:adjustRightInd w:val="0"/>
        <w:ind w:right="140" w:firstLine="709"/>
      </w:pPr>
      <w:r w:rsidRPr="00F80A3D">
        <w:t>Остро стоит задача повышения энергетической эффективности, улучшения технического состояния многоквартирных домов и продления их срока эксплуатации, создание безопасных и благоприятных условий для проживания, повышения уровня благоустройства городского округа, восстановление и сохранение эксплуатационных характеристик жилых зданий и внутренних инженерных сетей, снижения расходов энергетических ресурсов при предоставлении коммунальных услуг.</w:t>
      </w:r>
    </w:p>
    <w:p w:rsidR="00F80A3D" w:rsidRPr="00F80A3D" w:rsidRDefault="00F80A3D" w:rsidP="00F80A3D">
      <w:pPr>
        <w:autoSpaceDE w:val="0"/>
        <w:autoSpaceDN w:val="0"/>
        <w:ind w:right="140" w:firstLine="709"/>
      </w:pPr>
      <w:r w:rsidRPr="00F80A3D">
        <w:t xml:space="preserve">Одновременно с этим, текущее состояние жилищно-коммунального комплекса является сдерживающим фактором развития городского округа. Высокая стоимость эксплуатационных затрат, с одной стороны, и социально обоснованные ограничения роста </w:t>
      </w:r>
      <w:r w:rsidRPr="00F80A3D">
        <w:lastRenderedPageBreak/>
        <w:t>тарифов на коммунальные услуги с другой, не позволяют осуществлять компаниям масштабные инвестиции в модернизацию жилищно-коммунального комплекса.</w:t>
      </w:r>
    </w:p>
    <w:p w:rsidR="00CB38E8" w:rsidRDefault="00F80A3D" w:rsidP="00F80A3D">
      <w:pPr>
        <w:ind w:right="140" w:firstLine="600"/>
      </w:pPr>
      <w:r w:rsidRPr="00F80A3D">
        <w:t xml:space="preserve">В городском округе город Мегион существует проблема отсутствия достаточного количества земельных участков, обустроенных объектами коммунальной инфраструктуры, что значительно снижает темпы жилищного, в том числе индивидуального жилищного строительства. </w:t>
      </w:r>
    </w:p>
    <w:p w:rsidR="006144C5" w:rsidRDefault="006144C5" w:rsidP="00F80A3D">
      <w:pPr>
        <w:ind w:right="140" w:firstLine="600"/>
      </w:pPr>
    </w:p>
    <w:p w:rsidR="00F80A3D" w:rsidRPr="00F80A3D" w:rsidRDefault="00F80A3D" w:rsidP="00F80A3D">
      <w:pPr>
        <w:ind w:right="140" w:firstLine="600"/>
        <w:rPr>
          <w:lang w:eastAsia="en-US"/>
        </w:rPr>
      </w:pPr>
      <w:r w:rsidRPr="00F80A3D">
        <w:t xml:space="preserve">Высокая стоимость эксплуатационных затрат с одной стороны и социально обоснованные ограничения роста </w:t>
      </w:r>
      <w:r>
        <w:t xml:space="preserve">уровня </w:t>
      </w:r>
      <w:r w:rsidRPr="00F80A3D">
        <w:t>тарифов на коммунальные услуги с другой, не позволяют осуществлять компаниям масштабные инвестиции в строительство новых инженерных сетей для освоения новых территорий, предназначенных для жилищного строительства, а также реконструкцию существующих инженерных сетей на застроенных территориях.</w:t>
      </w:r>
    </w:p>
    <w:p w:rsidR="00F80A3D" w:rsidRPr="00F80A3D" w:rsidRDefault="00F80A3D" w:rsidP="00F80A3D">
      <w:pPr>
        <w:ind w:right="140" w:firstLine="708"/>
        <w:rPr>
          <w:lang w:eastAsia="en-US"/>
        </w:rPr>
      </w:pPr>
      <w:r w:rsidRPr="00F80A3D">
        <w:rPr>
          <w:lang w:eastAsia="en-US"/>
        </w:rPr>
        <w:t>Основные мероприятия по повышению энергоэффективности в теплоэнергетическом комплексе необходимо сосредоточить на снижении удельного расхода электроэнергии на выработку 1 Гкал, снижение уровня потерь при транспортировке тепловой энергии и поддержание достигнутого уровня энергоэффективности.</w:t>
      </w:r>
    </w:p>
    <w:p w:rsidR="00F80A3D" w:rsidRPr="00F80A3D" w:rsidRDefault="00F80A3D" w:rsidP="00F80A3D">
      <w:pPr>
        <w:ind w:right="140" w:firstLine="709"/>
      </w:pPr>
      <w:r w:rsidRPr="00F80A3D">
        <w:t>Обеспечение надёжности, качества и эффективности работы коммунального комплекса является приоритетной задачей для развития систем коммунальной инфраструктуры.</w:t>
      </w:r>
    </w:p>
    <w:p w:rsidR="00F80A3D" w:rsidRPr="00F80A3D" w:rsidRDefault="00F80A3D" w:rsidP="00F80A3D">
      <w:pPr>
        <w:ind w:right="140" w:firstLine="709"/>
      </w:pPr>
      <w:r w:rsidRPr="00F80A3D">
        <w:t xml:space="preserve"> Также существует проблема жилищного фонда городской округ город Мегион</w:t>
      </w:r>
      <w:r>
        <w:t>, это б</w:t>
      </w:r>
      <w:r w:rsidRPr="00F80A3D">
        <w:t>ольшое количество многоквартирных деревянных домов, которые признаны непригодн</w:t>
      </w:r>
      <w:r>
        <w:t xml:space="preserve">ыми для постоянного проживания и, соответственно </w:t>
      </w:r>
      <w:r w:rsidRPr="00F80A3D">
        <w:t>необходимо проведение ремонта.</w:t>
      </w:r>
    </w:p>
    <w:p w:rsidR="00F80A3D" w:rsidRPr="00F80A3D" w:rsidRDefault="00F80A3D" w:rsidP="00F80A3D">
      <w:pPr>
        <w:ind w:right="140" w:firstLine="709"/>
      </w:pPr>
      <w:r w:rsidRPr="00F80A3D">
        <w:t>Техническое состояние жилых домов городского округа характеризуется высоким уровнем износа.</w:t>
      </w:r>
    </w:p>
    <w:p w:rsidR="00F80A3D" w:rsidRPr="00F80A3D" w:rsidRDefault="00F80A3D" w:rsidP="00F80A3D">
      <w:pPr>
        <w:tabs>
          <w:tab w:val="left" w:pos="709"/>
        </w:tabs>
        <w:ind w:right="140"/>
      </w:pPr>
      <w:r w:rsidRPr="00F80A3D">
        <w:tab/>
        <w:t>Причинами возникновения этих проблем являются</w:t>
      </w:r>
      <w:r>
        <w:t xml:space="preserve">  е</w:t>
      </w:r>
      <w:r w:rsidRPr="00F80A3D">
        <w:t>стественное старение домов</w:t>
      </w:r>
      <w:r>
        <w:t xml:space="preserve"> и </w:t>
      </w:r>
      <w:r w:rsidRPr="00F80A3D">
        <w:t>недостаточность средств на капитальный ремонт и текущее содержание.</w:t>
      </w:r>
    </w:p>
    <w:p w:rsidR="00F80A3D" w:rsidRPr="00F80A3D" w:rsidRDefault="00F80A3D" w:rsidP="00F80A3D">
      <w:pPr>
        <w:ind w:right="140" w:firstLine="709"/>
      </w:pPr>
      <w:r w:rsidRPr="00F80A3D">
        <w:t xml:space="preserve">Поправками, внесенными в Жилищный кодекс Российской Федерации, обязанность по финансированию проведения капитального ремонта общего имущества многоквартирных домов окончательно возложена на </w:t>
      </w:r>
      <w:r>
        <w:t>собственников помещений.</w:t>
      </w:r>
    </w:p>
    <w:p w:rsidR="00F80A3D" w:rsidRPr="00F80A3D" w:rsidRDefault="00F80A3D" w:rsidP="00F80A3D">
      <w:pPr>
        <w:widowControl w:val="0"/>
        <w:autoSpaceDE w:val="0"/>
        <w:autoSpaceDN w:val="0"/>
        <w:adjustRightInd w:val="0"/>
        <w:ind w:right="140" w:firstLine="709"/>
      </w:pPr>
      <w:r w:rsidRPr="00F80A3D">
        <w:t>Предусмотрено создание условий для возможности накопления средств собственников, обеспечивающих их сохранность. Аккумулирование накоплений возможно как на индивидуальном банковском счете, открываемом для отдельно взятого дома, так и на счетах специализированной некоммерческой организации, создаваемой субъектом Российской Федерации. При этом в отношении последней субъект Российской Федерации несет субсидиарную ответственность за все убытки, причиненные собственникам помещений многоквартирного дома как в связи с некачественным управлением средствами, так и в связи с некачественным либо несвоевременно проведенным ремонтом.</w:t>
      </w:r>
    </w:p>
    <w:p w:rsidR="00F80A3D" w:rsidRPr="00F80A3D" w:rsidRDefault="00F80A3D" w:rsidP="00F80A3D">
      <w:pPr>
        <w:widowControl w:val="0"/>
        <w:autoSpaceDE w:val="0"/>
        <w:autoSpaceDN w:val="0"/>
        <w:adjustRightInd w:val="0"/>
        <w:ind w:right="140" w:firstLine="709"/>
      </w:pPr>
      <w:r w:rsidRPr="00F80A3D">
        <w:t xml:space="preserve">Особое значение имеет размер минимального взноса, устанавливаемый органами государственной власти субъекта Российской Федерации, который должен обеспечивать необходимый объем накоплений для проведения комплекса работ по капитальному ремонту за период действия региональной программы, который на территории Ханты-Мансийского автономного округа – Югры установлен на 30 лет, и в то же время быть доступным для граждан, не приводя к ситуации невозможности осуществления данных накоплений. </w:t>
      </w:r>
    </w:p>
    <w:p w:rsidR="00F80A3D" w:rsidRPr="00F80A3D" w:rsidRDefault="00F80A3D" w:rsidP="00F80A3D">
      <w:pPr>
        <w:autoSpaceDE w:val="0"/>
        <w:autoSpaceDN w:val="0"/>
        <w:adjustRightInd w:val="0"/>
        <w:ind w:right="140" w:firstLine="709"/>
      </w:pPr>
      <w:r w:rsidRPr="00F80A3D">
        <w:t xml:space="preserve">Думой Ханты-Мансийского автономного округа - Югры принят Закон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p>
    <w:p w:rsidR="00F80A3D" w:rsidRPr="00F80A3D" w:rsidRDefault="00F80A3D" w:rsidP="00F80A3D">
      <w:pPr>
        <w:autoSpaceDE w:val="0"/>
        <w:autoSpaceDN w:val="0"/>
        <w:adjustRightInd w:val="0"/>
        <w:ind w:right="140" w:firstLine="709"/>
      </w:pPr>
      <w:r w:rsidRPr="00F80A3D">
        <w:t xml:space="preserve">За период 2015 года проведен капитальный ремонт общего имущества отдельных конструктивных элементов в 30 многоквартирных домах. В настоящее время на территории </w:t>
      </w:r>
      <w:r w:rsidRPr="00F80A3D">
        <w:lastRenderedPageBreak/>
        <w:t>городского округа город Мегион подрядной организацией проводятся работы по капитальному ремонту отдельных конструктивных элементов в 41 многоквартирном доме. В настоящее время выполнены работы по капитальному ремонту отдельных конструктивных элементов в 20 многоквартирных домах.</w:t>
      </w:r>
    </w:p>
    <w:p w:rsidR="006144C5" w:rsidRDefault="006144C5" w:rsidP="00F80A3D">
      <w:pPr>
        <w:widowControl w:val="0"/>
        <w:autoSpaceDE w:val="0"/>
        <w:autoSpaceDN w:val="0"/>
        <w:adjustRightInd w:val="0"/>
        <w:ind w:right="140" w:firstLine="709"/>
      </w:pPr>
    </w:p>
    <w:p w:rsidR="006144C5" w:rsidRDefault="006144C5" w:rsidP="00F80A3D">
      <w:pPr>
        <w:widowControl w:val="0"/>
        <w:autoSpaceDE w:val="0"/>
        <w:autoSpaceDN w:val="0"/>
        <w:adjustRightInd w:val="0"/>
        <w:ind w:right="140" w:firstLine="709"/>
      </w:pPr>
    </w:p>
    <w:p w:rsidR="006144C5" w:rsidRDefault="006144C5" w:rsidP="00F80A3D">
      <w:pPr>
        <w:widowControl w:val="0"/>
        <w:autoSpaceDE w:val="0"/>
        <w:autoSpaceDN w:val="0"/>
        <w:adjustRightInd w:val="0"/>
        <w:ind w:right="140" w:firstLine="709"/>
      </w:pPr>
    </w:p>
    <w:p w:rsidR="00F80A3D" w:rsidRPr="00F80A3D" w:rsidRDefault="00F80A3D" w:rsidP="00F80A3D">
      <w:pPr>
        <w:widowControl w:val="0"/>
        <w:autoSpaceDE w:val="0"/>
        <w:autoSpaceDN w:val="0"/>
        <w:adjustRightInd w:val="0"/>
        <w:ind w:right="140" w:firstLine="709"/>
      </w:pPr>
      <w:r w:rsidRPr="00F80A3D">
        <w:t>Решение указанных проблем является приоритетным направлением создания условий для проживания населения городского округа и возможно только путем проведения комплекса организационных, производственных, социально-экономических и других мероприятий.</w:t>
      </w:r>
    </w:p>
    <w:p w:rsidR="00F80A3D" w:rsidRPr="00F80A3D" w:rsidRDefault="00F80A3D" w:rsidP="00F80A3D">
      <w:pPr>
        <w:ind w:right="140" w:firstLine="709"/>
        <w:rPr>
          <w:bCs/>
          <w:lang w:eastAsia="en-US"/>
        </w:rPr>
      </w:pPr>
      <w:r w:rsidRPr="00F80A3D">
        <w:rPr>
          <w:bCs/>
          <w:lang w:eastAsia="en-US"/>
        </w:rPr>
        <w:t xml:space="preserve">Повышение энергоэффективности городского округа город Мегион возможно при применении комплексного подхода, позволяющего охватить процессом энергосбережения все сферы экономики, объединив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 что требует использования программно-целевого метода.  </w:t>
      </w:r>
    </w:p>
    <w:p w:rsidR="00F80A3D" w:rsidRPr="00F80A3D" w:rsidRDefault="00F80A3D" w:rsidP="00F80A3D">
      <w:pPr>
        <w:ind w:right="140" w:firstLine="709"/>
      </w:pPr>
      <w:r w:rsidRPr="00F80A3D">
        <w:t>Для достижения целевых показателей, определенных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проводятся следующие мероприятия:</w:t>
      </w:r>
    </w:p>
    <w:p w:rsidR="00F80A3D" w:rsidRPr="00F80A3D" w:rsidRDefault="00F80A3D" w:rsidP="00F80A3D">
      <w:pPr>
        <w:shd w:val="clear" w:color="auto" w:fill="FFFFFF"/>
        <w:ind w:right="140" w:firstLine="708"/>
        <w:rPr>
          <w:rFonts w:eastAsia="Batang"/>
          <w:lang w:eastAsia="ko-KR"/>
        </w:rPr>
      </w:pPr>
      <w:r w:rsidRPr="00F80A3D">
        <w:t xml:space="preserve">в рамках </w:t>
      </w:r>
      <w:r w:rsidRPr="00F80A3D">
        <w:rPr>
          <w:rFonts w:eastAsia="Batang"/>
          <w:lang w:eastAsia="ko-KR"/>
        </w:rPr>
        <w:t>подпрограммы «Энергосбережение и повышение энергетической эффективности и энергобезопасности муниципального образования городской округ город Мегион» в рамках заключенного муниципального контракта с подрядной организацией проводятся работы по установке индивидуальных приборов учета в 20 помещениях находящихся в муниципальных помещениях;</w:t>
      </w:r>
    </w:p>
    <w:p w:rsidR="00F80A3D" w:rsidRPr="00F80A3D" w:rsidRDefault="00F80A3D" w:rsidP="00F80A3D">
      <w:pPr>
        <w:shd w:val="clear" w:color="auto" w:fill="FFFFFF"/>
        <w:ind w:right="140" w:firstLine="708"/>
      </w:pPr>
      <w:r w:rsidRPr="00F80A3D">
        <w:t xml:space="preserve">в рамках подпрограммы </w:t>
      </w:r>
      <w:r w:rsidRPr="00F80A3D">
        <w:rPr>
          <w:b/>
        </w:rPr>
        <w:t>«</w:t>
      </w:r>
      <w:r w:rsidRPr="00F80A3D">
        <w:t>Капитальный ремонт, реконструкция и ремонт  муниципального жилищного фонда городского округа город Мегион</w:t>
      </w:r>
      <w:r w:rsidRPr="00F80A3D">
        <w:rPr>
          <w:b/>
        </w:rPr>
        <w:t xml:space="preserve">» </w:t>
      </w:r>
      <w:r w:rsidRPr="00F80A3D">
        <w:t>муниципальной программы</w:t>
      </w:r>
      <w:r w:rsidRPr="00F80A3D">
        <w:rPr>
          <w:b/>
        </w:rPr>
        <w:t xml:space="preserve"> </w:t>
      </w:r>
      <w:r w:rsidRPr="00F80A3D">
        <w:t>«Развитие жилищно-коммунального комплекса и повышения энергетической эффективности в городском округе город Мегион на 2014 – 2017 годы» осуществляются мероприятия по созданию безопасных условий проживания граждан и проведение  ремонта с внедрением современных строительных материалов, в настоящее время в рамках заключенного муниципального контракта выполнены работы в 12 жилых помещениях находящихся в муниципальной собственности;</w:t>
      </w:r>
    </w:p>
    <w:p w:rsidR="00F80A3D" w:rsidRPr="00F80A3D" w:rsidRDefault="00F80A3D" w:rsidP="00F80A3D">
      <w:pPr>
        <w:shd w:val="clear" w:color="auto" w:fill="FFFFFF"/>
        <w:ind w:right="140" w:firstLine="708"/>
      </w:pPr>
      <w:r w:rsidRPr="00F80A3D">
        <w:t>в рамках Федерального закона Российской Федерации от 27.07.2010 №190-ФЗ                      «О теплоснабжении» и постановления Правительства Российской Федерации от 22.02.2012 №154 «О требованиях к схемам теплоснабжения, порядку их разработки и утверждении» утверждена и актуализирована схема теплоснабжения;</w:t>
      </w:r>
    </w:p>
    <w:p w:rsidR="00F80A3D" w:rsidRPr="00F80A3D" w:rsidRDefault="00F80A3D" w:rsidP="00F80A3D">
      <w:pPr>
        <w:ind w:right="140" w:firstLine="708"/>
      </w:pPr>
      <w:r w:rsidRPr="00F80A3D">
        <w:t>в рамках Федерального закона Российской Федерации от 07.12.2011 №416-ФЗ             «О водоснабжении и водоотведении» утверждена схема водоснабжения и водоотведения.</w:t>
      </w:r>
    </w:p>
    <w:p w:rsidR="00CB38E8" w:rsidRDefault="00CB38E8" w:rsidP="00F80A3D">
      <w:pPr>
        <w:autoSpaceDE w:val="0"/>
        <w:autoSpaceDN w:val="0"/>
        <w:adjustRightInd w:val="0"/>
        <w:ind w:right="140"/>
        <w:outlineLvl w:val="1"/>
        <w:rPr>
          <w:color w:val="000000" w:themeColor="text1"/>
        </w:rPr>
      </w:pPr>
    </w:p>
    <w:p w:rsidR="002B0EAB" w:rsidRPr="00BB556C" w:rsidRDefault="002B0EAB" w:rsidP="00F80A3D">
      <w:pPr>
        <w:autoSpaceDE w:val="0"/>
        <w:autoSpaceDN w:val="0"/>
        <w:adjustRightInd w:val="0"/>
        <w:ind w:right="140"/>
        <w:outlineLvl w:val="1"/>
        <w:rPr>
          <w:color w:val="000000" w:themeColor="text1"/>
        </w:rPr>
      </w:pPr>
      <w:r w:rsidRPr="00BB556C">
        <w:rPr>
          <w:color w:val="000000" w:themeColor="text1"/>
        </w:rPr>
        <w:t>РЕАЛИЗАЦИЯ ГОСУДАРСТВЕННЫХ И МУНИЦИПАЛЬНЫХ ПРОГРАММ</w:t>
      </w:r>
    </w:p>
    <w:p w:rsidR="002B0EAB" w:rsidRPr="00BB556C" w:rsidRDefault="002B0EAB" w:rsidP="00F80A3D">
      <w:pPr>
        <w:ind w:right="140"/>
        <w:rPr>
          <w:color w:val="000000" w:themeColor="text1"/>
        </w:rPr>
      </w:pPr>
    </w:p>
    <w:p w:rsidR="00CB3FB2" w:rsidRPr="00BB556C" w:rsidRDefault="00CB3FB2" w:rsidP="00F80A3D">
      <w:pPr>
        <w:ind w:right="140" w:firstLine="709"/>
        <w:rPr>
          <w:color w:val="000000" w:themeColor="text1"/>
        </w:rPr>
      </w:pPr>
      <w:r w:rsidRPr="00BB556C">
        <w:t xml:space="preserve">В 2016 году городской округ город Мегион включен в реализацию 12 </w:t>
      </w:r>
      <w:r w:rsidRPr="00BB556C">
        <w:rPr>
          <w:color w:val="000000" w:themeColor="text1"/>
        </w:rPr>
        <w:t>государственных программ.</w:t>
      </w:r>
    </w:p>
    <w:p w:rsidR="00CB3FB2" w:rsidRPr="00BB556C" w:rsidRDefault="00CB3FB2" w:rsidP="00F80A3D">
      <w:pPr>
        <w:ind w:right="140" w:firstLine="709"/>
        <w:rPr>
          <w:color w:val="000000" w:themeColor="text1"/>
        </w:rPr>
      </w:pPr>
      <w:r w:rsidRPr="00BB556C">
        <w:rPr>
          <w:color w:val="000000" w:themeColor="text1"/>
        </w:rPr>
        <w:t>План финансирования государственных программ за счет всех источников финансирования на 2016 год составляет 2 529 482,4 тыс. рублей, в том числе:</w:t>
      </w:r>
    </w:p>
    <w:p w:rsidR="00CB3FB2" w:rsidRPr="00BB556C" w:rsidRDefault="00CB3FB2" w:rsidP="00F80A3D">
      <w:pPr>
        <w:ind w:right="140" w:firstLine="709"/>
        <w:rPr>
          <w:color w:val="000000" w:themeColor="text1"/>
        </w:rPr>
      </w:pPr>
      <w:r w:rsidRPr="00BB556C">
        <w:rPr>
          <w:color w:val="000000" w:themeColor="text1"/>
        </w:rPr>
        <w:t>федеральный бюджет  13 918,9 тыс. рублей;</w:t>
      </w:r>
    </w:p>
    <w:p w:rsidR="00CB3FB2" w:rsidRPr="00BB556C" w:rsidRDefault="00C519AC" w:rsidP="00F80A3D">
      <w:pPr>
        <w:ind w:right="140" w:firstLine="709"/>
        <w:rPr>
          <w:color w:val="000000" w:themeColor="text1"/>
        </w:rPr>
      </w:pPr>
      <w:r>
        <w:rPr>
          <w:color w:val="000000" w:themeColor="text1"/>
        </w:rPr>
        <w:t xml:space="preserve">бюджет автономного округа </w:t>
      </w:r>
      <w:r w:rsidR="00CB3FB2" w:rsidRPr="00BB556C">
        <w:rPr>
          <w:color w:val="000000" w:themeColor="text1"/>
        </w:rPr>
        <w:t xml:space="preserve"> 2 436 962,5 тыс. рублей;</w:t>
      </w:r>
    </w:p>
    <w:p w:rsidR="00CB3FB2" w:rsidRPr="00BB556C" w:rsidRDefault="00CB3FB2" w:rsidP="00F80A3D">
      <w:pPr>
        <w:ind w:right="140" w:firstLine="709"/>
        <w:rPr>
          <w:color w:val="000000" w:themeColor="text1"/>
        </w:rPr>
      </w:pPr>
      <w:r w:rsidRPr="00BB556C">
        <w:rPr>
          <w:color w:val="000000" w:themeColor="text1"/>
        </w:rPr>
        <w:t>местный бюджет 78 601 тыс. рублей.</w:t>
      </w:r>
    </w:p>
    <w:p w:rsidR="00CB3FB2" w:rsidRPr="00BB556C" w:rsidRDefault="00CB3FB2" w:rsidP="00F80A3D">
      <w:pPr>
        <w:ind w:right="140" w:firstLine="709"/>
      </w:pPr>
      <w:r w:rsidRPr="00BB556C">
        <w:rPr>
          <w:color w:val="000000" w:themeColor="text1"/>
        </w:rPr>
        <w:t>За январь</w:t>
      </w:r>
      <w:r w:rsidRPr="00BB556C">
        <w:t>-сентябрь 2016 года в бюджет города на реализацию государственных программ поступило 1 539 620,3 тыс. рублей, или 60,9% от плановых назначений, в том числе:</w:t>
      </w:r>
    </w:p>
    <w:p w:rsidR="00CB3FB2" w:rsidRPr="00BB556C" w:rsidRDefault="00CB3FB2" w:rsidP="00F80A3D">
      <w:pPr>
        <w:ind w:right="140" w:firstLine="709"/>
      </w:pPr>
      <w:r w:rsidRPr="00BB556C">
        <w:lastRenderedPageBreak/>
        <w:t>федеральный бюджет – 8 034,2 тыс. рублей;</w:t>
      </w:r>
    </w:p>
    <w:p w:rsidR="00CB3FB2" w:rsidRPr="00BB556C" w:rsidRDefault="00CB3FB2" w:rsidP="00F80A3D">
      <w:pPr>
        <w:ind w:right="140" w:firstLine="709"/>
      </w:pPr>
      <w:r w:rsidRPr="00BB556C">
        <w:t>бюджет автономного округа – 1 494 638,9 тыс. рублей;</w:t>
      </w:r>
    </w:p>
    <w:p w:rsidR="00CB3FB2" w:rsidRPr="00BB556C" w:rsidRDefault="00CB3FB2" w:rsidP="00F80A3D">
      <w:pPr>
        <w:ind w:right="140" w:firstLine="709"/>
      </w:pPr>
      <w:r w:rsidRPr="00BB556C">
        <w:t>местный бюджет – 36 947,2  тыс. рублей.</w:t>
      </w:r>
    </w:p>
    <w:p w:rsidR="00CB3FB2" w:rsidRPr="00BB556C" w:rsidRDefault="00CB3FB2" w:rsidP="00CB3FB2">
      <w:pPr>
        <w:ind w:firstLine="709"/>
      </w:pPr>
      <w:r w:rsidRPr="00BB556C">
        <w:t>По состоянию на 01.10.2016 освоение средств, поступивших на реализацию государственных программ, составило – 1 435 089,3тыс. рублей, или 93,2% к финансированию (56,7% от плана), в том числе:</w:t>
      </w:r>
    </w:p>
    <w:p w:rsidR="00CB3FB2" w:rsidRPr="00BB556C" w:rsidRDefault="00CB3FB2" w:rsidP="00CB3FB2">
      <w:pPr>
        <w:ind w:firstLine="709"/>
      </w:pPr>
      <w:r w:rsidRPr="00BB556C">
        <w:t xml:space="preserve">федеральный бюджет – 6 680,0  тыс. рублей, или 83,1% к финансированию 2016 года (48% от плана); </w:t>
      </w:r>
    </w:p>
    <w:p w:rsidR="00CB3FB2" w:rsidRPr="00BB556C" w:rsidRDefault="00CB3FB2" w:rsidP="00CB3FB2">
      <w:pPr>
        <w:ind w:firstLine="709"/>
      </w:pPr>
      <w:r w:rsidRPr="00BB556C">
        <w:t>бюджет автономного округа – 1 391 466,7 тыс.рублей, или 93,1% к финансированию 2016 года (57,1 от плана);</w:t>
      </w:r>
    </w:p>
    <w:p w:rsidR="00CB3FB2" w:rsidRPr="00BB556C" w:rsidRDefault="00CB3FB2" w:rsidP="00CB3FB2">
      <w:pPr>
        <w:ind w:firstLine="709"/>
      </w:pPr>
      <w:r w:rsidRPr="00BB556C">
        <w:t>местный бюджет – 36 942,6  тыс. рублей, или 99,9% к финансированию 2016 года (47% от плана).</w:t>
      </w:r>
    </w:p>
    <w:p w:rsidR="00F4084B" w:rsidRDefault="00F4084B" w:rsidP="00CB3FB2">
      <w:pPr>
        <w:ind w:firstLine="709"/>
      </w:pPr>
    </w:p>
    <w:p w:rsidR="00CB3FB2" w:rsidRPr="00BB556C" w:rsidRDefault="00CB3FB2" w:rsidP="00CB3FB2">
      <w:pPr>
        <w:ind w:firstLine="709"/>
      </w:pPr>
      <w:r w:rsidRPr="00BB556C">
        <w:t xml:space="preserve">За январь-сентябрь 2016 года достигнуты следующие значения исполнения программ: </w:t>
      </w:r>
    </w:p>
    <w:p w:rsidR="00CB3FB2" w:rsidRPr="00BB556C" w:rsidRDefault="00CB3FB2" w:rsidP="00CB3FB2">
      <w:pPr>
        <w:ind w:firstLine="709"/>
        <w:rPr>
          <w:color w:val="000000" w:themeColor="text1"/>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1701"/>
        <w:gridCol w:w="1417"/>
      </w:tblGrid>
      <w:tr w:rsidR="00CB3FB2" w:rsidRPr="00BB556C" w:rsidTr="00B80128">
        <w:trPr>
          <w:tblHeader/>
        </w:trPr>
        <w:tc>
          <w:tcPr>
            <w:tcW w:w="534" w:type="dxa"/>
            <w:shd w:val="clear" w:color="auto" w:fill="auto"/>
            <w:vAlign w:val="center"/>
          </w:tcPr>
          <w:p w:rsidR="00CB3FB2" w:rsidRPr="00BB556C" w:rsidRDefault="00CB3FB2" w:rsidP="00B80128">
            <w:pPr>
              <w:jc w:val="center"/>
              <w:rPr>
                <w:color w:val="000000" w:themeColor="text1"/>
                <w:sz w:val="20"/>
                <w:szCs w:val="20"/>
              </w:rPr>
            </w:pPr>
            <w:r w:rsidRPr="00BB556C">
              <w:rPr>
                <w:color w:val="000000" w:themeColor="text1"/>
                <w:sz w:val="20"/>
                <w:szCs w:val="20"/>
              </w:rPr>
              <w:t>№ п/п</w:t>
            </w:r>
          </w:p>
        </w:tc>
        <w:tc>
          <w:tcPr>
            <w:tcW w:w="5953" w:type="dxa"/>
            <w:shd w:val="clear" w:color="auto" w:fill="auto"/>
            <w:vAlign w:val="center"/>
          </w:tcPr>
          <w:p w:rsidR="00CB3FB2" w:rsidRPr="00BB556C" w:rsidRDefault="00CB3FB2" w:rsidP="00B80128">
            <w:pPr>
              <w:jc w:val="center"/>
              <w:rPr>
                <w:color w:val="000000" w:themeColor="text1"/>
                <w:sz w:val="20"/>
                <w:szCs w:val="20"/>
              </w:rPr>
            </w:pPr>
            <w:r w:rsidRPr="00BB556C">
              <w:rPr>
                <w:color w:val="000000" w:themeColor="text1"/>
                <w:sz w:val="20"/>
                <w:szCs w:val="20"/>
              </w:rPr>
              <w:t>Наименование программы</w:t>
            </w:r>
          </w:p>
        </w:tc>
        <w:tc>
          <w:tcPr>
            <w:tcW w:w="1701" w:type="dxa"/>
            <w:shd w:val="clear" w:color="auto" w:fill="auto"/>
            <w:vAlign w:val="center"/>
          </w:tcPr>
          <w:p w:rsidR="00CB3FB2" w:rsidRPr="00BB556C" w:rsidRDefault="00CB3FB2" w:rsidP="00B80128">
            <w:pPr>
              <w:jc w:val="center"/>
              <w:rPr>
                <w:color w:val="000000" w:themeColor="text1"/>
                <w:sz w:val="20"/>
                <w:szCs w:val="20"/>
              </w:rPr>
            </w:pPr>
            <w:r w:rsidRPr="00BB556C">
              <w:rPr>
                <w:color w:val="000000" w:themeColor="text1"/>
                <w:sz w:val="20"/>
                <w:szCs w:val="20"/>
              </w:rPr>
              <w:t>% исполнения от выделенного финансирования</w:t>
            </w:r>
          </w:p>
        </w:tc>
        <w:tc>
          <w:tcPr>
            <w:tcW w:w="1417" w:type="dxa"/>
            <w:vAlign w:val="center"/>
          </w:tcPr>
          <w:p w:rsidR="00CB3FB2" w:rsidRPr="00BB556C" w:rsidRDefault="00CB3FB2" w:rsidP="00B80128">
            <w:pPr>
              <w:jc w:val="center"/>
              <w:rPr>
                <w:color w:val="000000" w:themeColor="text1"/>
                <w:sz w:val="20"/>
                <w:szCs w:val="20"/>
              </w:rPr>
            </w:pPr>
            <w:r w:rsidRPr="00BB556C">
              <w:rPr>
                <w:color w:val="000000" w:themeColor="text1"/>
                <w:sz w:val="20"/>
                <w:szCs w:val="20"/>
              </w:rPr>
              <w:t>% исполнения от плана</w:t>
            </w:r>
          </w:p>
        </w:tc>
      </w:tr>
      <w:tr w:rsidR="00CB3FB2" w:rsidRPr="00BB556C" w:rsidTr="00B80128">
        <w:trPr>
          <w:trHeight w:val="673"/>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1</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«Содействие занятости населения в Ханты - Мансийском автономном округе - Югре на 2016-2020 годы»</w:t>
            </w:r>
          </w:p>
        </w:tc>
        <w:tc>
          <w:tcPr>
            <w:tcW w:w="1701" w:type="dxa"/>
            <w:shd w:val="clear" w:color="auto" w:fill="auto"/>
            <w:vAlign w:val="center"/>
          </w:tcPr>
          <w:p w:rsidR="00CB3FB2" w:rsidRPr="00BB556C" w:rsidRDefault="00CB3FB2" w:rsidP="00B80128">
            <w:pPr>
              <w:jc w:val="center"/>
            </w:pPr>
            <w:r w:rsidRPr="00BB556C">
              <w:t>95,3</w:t>
            </w:r>
          </w:p>
        </w:tc>
        <w:tc>
          <w:tcPr>
            <w:tcW w:w="1417" w:type="dxa"/>
            <w:vAlign w:val="center"/>
          </w:tcPr>
          <w:p w:rsidR="00CB3FB2" w:rsidRPr="00BB556C" w:rsidRDefault="00CB3FB2" w:rsidP="00B80128">
            <w:pPr>
              <w:jc w:val="center"/>
              <w:rPr>
                <w:color w:val="000000" w:themeColor="text1"/>
              </w:rPr>
            </w:pPr>
            <w:r w:rsidRPr="00BB556C">
              <w:rPr>
                <w:color w:val="000000" w:themeColor="text1"/>
              </w:rPr>
              <w:t>64,5</w:t>
            </w:r>
          </w:p>
        </w:tc>
      </w:tr>
      <w:tr w:rsidR="00CB3FB2" w:rsidRPr="00BB556C" w:rsidTr="00B80128">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2</w:t>
            </w:r>
          </w:p>
        </w:tc>
        <w:tc>
          <w:tcPr>
            <w:tcW w:w="5953" w:type="dxa"/>
            <w:shd w:val="clear" w:color="auto" w:fill="auto"/>
            <w:vAlign w:val="center"/>
          </w:tcPr>
          <w:p w:rsidR="00CB3FB2" w:rsidRPr="00BB556C" w:rsidRDefault="00CB3FB2" w:rsidP="00C519AC">
            <w:pPr>
              <w:rPr>
                <w:color w:val="000000" w:themeColor="text1"/>
              </w:rPr>
            </w:pPr>
            <w:r w:rsidRPr="00BB556C">
              <w:rPr>
                <w:color w:val="000000" w:themeColor="text1"/>
              </w:rPr>
              <w:t>Программа «О гос</w:t>
            </w:r>
            <w:r w:rsidR="00C519AC">
              <w:rPr>
                <w:color w:val="000000" w:themeColor="text1"/>
              </w:rPr>
              <w:t>ударственной</w:t>
            </w:r>
            <w:r w:rsidRPr="00BB556C">
              <w:rPr>
                <w:color w:val="000000" w:themeColor="text1"/>
              </w:rPr>
              <w:t xml:space="preserve">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ХМАО-Югре в 2016-2020 годах»</w:t>
            </w:r>
          </w:p>
        </w:tc>
        <w:tc>
          <w:tcPr>
            <w:tcW w:w="1701" w:type="dxa"/>
            <w:shd w:val="clear" w:color="auto" w:fill="auto"/>
            <w:vAlign w:val="center"/>
          </w:tcPr>
          <w:p w:rsidR="00CB3FB2" w:rsidRPr="00BB556C" w:rsidRDefault="00CB3FB2" w:rsidP="00B80128">
            <w:pPr>
              <w:jc w:val="center"/>
            </w:pPr>
            <w:r w:rsidRPr="00BB556C">
              <w:t>92,5</w:t>
            </w:r>
          </w:p>
        </w:tc>
        <w:tc>
          <w:tcPr>
            <w:tcW w:w="1417" w:type="dxa"/>
            <w:vAlign w:val="center"/>
          </w:tcPr>
          <w:p w:rsidR="00CB3FB2" w:rsidRPr="00BB556C" w:rsidRDefault="00CB3FB2" w:rsidP="00B80128">
            <w:pPr>
              <w:jc w:val="center"/>
              <w:rPr>
                <w:color w:val="000000" w:themeColor="text1"/>
              </w:rPr>
            </w:pPr>
            <w:r w:rsidRPr="00BB556C">
              <w:rPr>
                <w:color w:val="000000" w:themeColor="text1"/>
              </w:rPr>
              <w:t>72,1</w:t>
            </w:r>
          </w:p>
        </w:tc>
      </w:tr>
      <w:tr w:rsidR="00CB3FB2" w:rsidRPr="00BB556C" w:rsidTr="00B80128">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3</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агропромышленного комплекса и рынков сельскохозяйственной продукции, сырья и продовольствия в Ханты- Мансийском автономном округе-Югре на 2016-2020 годы»</w:t>
            </w:r>
          </w:p>
        </w:tc>
        <w:tc>
          <w:tcPr>
            <w:tcW w:w="1701" w:type="dxa"/>
            <w:shd w:val="clear" w:color="auto" w:fill="auto"/>
            <w:vAlign w:val="center"/>
          </w:tcPr>
          <w:p w:rsidR="00CB3FB2" w:rsidRPr="00BB556C" w:rsidRDefault="00CB3FB2" w:rsidP="00B80128">
            <w:pPr>
              <w:jc w:val="center"/>
            </w:pPr>
            <w:r w:rsidRPr="00BB556C">
              <w:t>100</w:t>
            </w:r>
          </w:p>
        </w:tc>
        <w:tc>
          <w:tcPr>
            <w:tcW w:w="1417" w:type="dxa"/>
            <w:vAlign w:val="center"/>
          </w:tcPr>
          <w:p w:rsidR="00CB3FB2" w:rsidRPr="00BB556C" w:rsidRDefault="00CB3FB2" w:rsidP="00B80128">
            <w:pPr>
              <w:jc w:val="center"/>
              <w:rPr>
                <w:color w:val="000000" w:themeColor="text1"/>
              </w:rPr>
            </w:pPr>
            <w:r w:rsidRPr="00BB556C">
              <w:rPr>
                <w:color w:val="000000" w:themeColor="text1"/>
              </w:rPr>
              <w:t>76,5</w:t>
            </w:r>
          </w:p>
        </w:tc>
      </w:tr>
      <w:tr w:rsidR="00CB3FB2" w:rsidRPr="00BB556C" w:rsidTr="00B80128">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4</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транспортной системы Ханты-Мансийского автономного округа-Югры на 2016-2020 годы»</w:t>
            </w:r>
          </w:p>
        </w:tc>
        <w:tc>
          <w:tcPr>
            <w:tcW w:w="1701" w:type="dxa"/>
            <w:shd w:val="clear" w:color="auto" w:fill="auto"/>
            <w:vAlign w:val="center"/>
          </w:tcPr>
          <w:p w:rsidR="00CB3FB2" w:rsidRPr="00BB556C" w:rsidRDefault="00CB3FB2" w:rsidP="00B80128">
            <w:pPr>
              <w:jc w:val="center"/>
            </w:pPr>
            <w:r w:rsidRPr="00BB556C">
              <w:t>100</w:t>
            </w:r>
          </w:p>
        </w:tc>
        <w:tc>
          <w:tcPr>
            <w:tcW w:w="1417" w:type="dxa"/>
            <w:vAlign w:val="center"/>
          </w:tcPr>
          <w:p w:rsidR="00CB3FB2" w:rsidRPr="00BB556C" w:rsidRDefault="00CB3FB2" w:rsidP="00B80128">
            <w:pPr>
              <w:jc w:val="center"/>
              <w:rPr>
                <w:color w:val="000000" w:themeColor="text1"/>
              </w:rPr>
            </w:pPr>
            <w:r w:rsidRPr="00BB556C">
              <w:rPr>
                <w:color w:val="000000" w:themeColor="text1"/>
              </w:rPr>
              <w:t>13,1</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5</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«Обеспечение доступным и комфортным жильем жителей Ханты-Мансийского автономного округа-Югры в 2016-2020 годах»</w:t>
            </w:r>
          </w:p>
        </w:tc>
        <w:tc>
          <w:tcPr>
            <w:tcW w:w="1701" w:type="dxa"/>
            <w:shd w:val="clear" w:color="auto" w:fill="auto"/>
            <w:vAlign w:val="center"/>
          </w:tcPr>
          <w:p w:rsidR="00CB3FB2" w:rsidRPr="00BB556C" w:rsidRDefault="00CB3FB2" w:rsidP="00B80128">
            <w:pPr>
              <w:jc w:val="center"/>
              <w:rPr>
                <w:highlight w:val="yellow"/>
              </w:rPr>
            </w:pPr>
            <w:r w:rsidRPr="00BB556C">
              <w:t>93,4</w:t>
            </w:r>
          </w:p>
        </w:tc>
        <w:tc>
          <w:tcPr>
            <w:tcW w:w="1417" w:type="dxa"/>
            <w:vAlign w:val="center"/>
          </w:tcPr>
          <w:p w:rsidR="00CB3FB2" w:rsidRPr="00BB556C" w:rsidRDefault="00CB3FB2" w:rsidP="00B80128">
            <w:pPr>
              <w:jc w:val="center"/>
              <w:rPr>
                <w:color w:val="000000" w:themeColor="text1"/>
              </w:rPr>
            </w:pPr>
            <w:r w:rsidRPr="00BB556C">
              <w:rPr>
                <w:color w:val="000000" w:themeColor="text1"/>
              </w:rPr>
              <w:t>31,7</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6</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жилищно-коммунального комплекса и повышение энергетической эффективности в Ханты-Мансийском автономном округе – Югре на 2016-2020 годы»</w:t>
            </w:r>
          </w:p>
        </w:tc>
        <w:tc>
          <w:tcPr>
            <w:tcW w:w="1701" w:type="dxa"/>
            <w:shd w:val="clear" w:color="auto" w:fill="auto"/>
            <w:vAlign w:val="center"/>
          </w:tcPr>
          <w:p w:rsidR="00CB3FB2" w:rsidRPr="00BB556C" w:rsidRDefault="00CB3FB2" w:rsidP="00B80128">
            <w:pPr>
              <w:jc w:val="center"/>
              <w:rPr>
                <w:highlight w:val="yellow"/>
              </w:rPr>
            </w:pPr>
            <w:r w:rsidRPr="00BB556C">
              <w:t>93,1</w:t>
            </w:r>
          </w:p>
        </w:tc>
        <w:tc>
          <w:tcPr>
            <w:tcW w:w="1417" w:type="dxa"/>
            <w:vAlign w:val="center"/>
          </w:tcPr>
          <w:p w:rsidR="00CB3FB2" w:rsidRPr="00BB556C" w:rsidRDefault="00CB3FB2" w:rsidP="00B80128">
            <w:pPr>
              <w:jc w:val="center"/>
              <w:rPr>
                <w:color w:val="000000" w:themeColor="text1"/>
              </w:rPr>
            </w:pPr>
            <w:r w:rsidRPr="00BB556C">
              <w:rPr>
                <w:color w:val="000000" w:themeColor="text1"/>
              </w:rPr>
              <w:t>56,9</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7</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образования в Ханты- Мансийском округе-Югре на 2016-2020 годы»</w:t>
            </w:r>
          </w:p>
        </w:tc>
        <w:tc>
          <w:tcPr>
            <w:tcW w:w="1701" w:type="dxa"/>
            <w:shd w:val="clear" w:color="auto" w:fill="auto"/>
            <w:vAlign w:val="center"/>
          </w:tcPr>
          <w:p w:rsidR="00CB3FB2" w:rsidRPr="00BB556C" w:rsidRDefault="00CB3FB2" w:rsidP="00B80128">
            <w:pPr>
              <w:jc w:val="center"/>
              <w:rPr>
                <w:highlight w:val="yellow"/>
              </w:rPr>
            </w:pPr>
            <w:r w:rsidRPr="00BB556C">
              <w:t>94,1</w:t>
            </w:r>
          </w:p>
        </w:tc>
        <w:tc>
          <w:tcPr>
            <w:tcW w:w="1417" w:type="dxa"/>
            <w:vAlign w:val="center"/>
          </w:tcPr>
          <w:p w:rsidR="00CB3FB2" w:rsidRPr="00BB556C" w:rsidRDefault="00CB3FB2" w:rsidP="00B80128">
            <w:pPr>
              <w:jc w:val="center"/>
              <w:rPr>
                <w:color w:val="000000" w:themeColor="text1"/>
              </w:rPr>
            </w:pPr>
            <w:r w:rsidRPr="00BB556C">
              <w:rPr>
                <w:color w:val="000000" w:themeColor="text1"/>
              </w:rPr>
              <w:t>67,7</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8</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культуры и туризма в Ханты- Мансийском округе-Югре на 2016-2020 годы»</w:t>
            </w:r>
          </w:p>
        </w:tc>
        <w:tc>
          <w:tcPr>
            <w:tcW w:w="1701" w:type="dxa"/>
            <w:shd w:val="clear" w:color="auto" w:fill="auto"/>
            <w:vAlign w:val="center"/>
          </w:tcPr>
          <w:p w:rsidR="00CB3FB2" w:rsidRPr="00BB556C" w:rsidRDefault="00CB3FB2" w:rsidP="00B80128">
            <w:pPr>
              <w:jc w:val="center"/>
              <w:rPr>
                <w:highlight w:val="yellow"/>
              </w:rPr>
            </w:pPr>
            <w:r w:rsidRPr="00BB556C">
              <w:t>88,0</w:t>
            </w:r>
          </w:p>
        </w:tc>
        <w:tc>
          <w:tcPr>
            <w:tcW w:w="1417" w:type="dxa"/>
            <w:vAlign w:val="center"/>
          </w:tcPr>
          <w:p w:rsidR="00CB3FB2" w:rsidRPr="00BB556C" w:rsidRDefault="00CB3FB2" w:rsidP="00B80128">
            <w:pPr>
              <w:jc w:val="center"/>
              <w:rPr>
                <w:color w:val="000000" w:themeColor="text1"/>
              </w:rPr>
            </w:pPr>
            <w:r w:rsidRPr="00BB556C">
              <w:rPr>
                <w:color w:val="000000" w:themeColor="text1"/>
              </w:rPr>
              <w:t>87,0</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9</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«Социальная поддержка жителей ХМАО-Югры на 2016-2020 годы»</w:t>
            </w:r>
          </w:p>
        </w:tc>
        <w:tc>
          <w:tcPr>
            <w:tcW w:w="1701" w:type="dxa"/>
            <w:shd w:val="clear" w:color="auto" w:fill="auto"/>
            <w:vAlign w:val="center"/>
          </w:tcPr>
          <w:p w:rsidR="00CB3FB2" w:rsidRPr="00BB556C" w:rsidRDefault="00CB3FB2" w:rsidP="00B80128">
            <w:pPr>
              <w:jc w:val="center"/>
              <w:rPr>
                <w:highlight w:val="yellow"/>
              </w:rPr>
            </w:pPr>
            <w:r w:rsidRPr="00BB556C">
              <w:t>94,2</w:t>
            </w:r>
          </w:p>
        </w:tc>
        <w:tc>
          <w:tcPr>
            <w:tcW w:w="1417" w:type="dxa"/>
            <w:vAlign w:val="center"/>
          </w:tcPr>
          <w:p w:rsidR="00CB3FB2" w:rsidRPr="00BB556C" w:rsidRDefault="00CB3FB2" w:rsidP="00B80128">
            <w:pPr>
              <w:jc w:val="center"/>
              <w:rPr>
                <w:color w:val="000000" w:themeColor="text1"/>
              </w:rPr>
            </w:pPr>
            <w:r w:rsidRPr="00BB556C">
              <w:rPr>
                <w:color w:val="000000" w:themeColor="text1"/>
              </w:rPr>
              <w:t>78,4</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10</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«Развитие физической культуры и спорта в Ханты - Мансийском автономном округе-Югре на 2016-2020 годы»</w:t>
            </w:r>
          </w:p>
        </w:tc>
        <w:tc>
          <w:tcPr>
            <w:tcW w:w="1701" w:type="dxa"/>
            <w:shd w:val="clear" w:color="auto" w:fill="auto"/>
            <w:vAlign w:val="center"/>
          </w:tcPr>
          <w:p w:rsidR="00CB3FB2" w:rsidRPr="00BB556C" w:rsidRDefault="00CB3FB2" w:rsidP="00B80128">
            <w:pPr>
              <w:jc w:val="center"/>
            </w:pPr>
            <w:r w:rsidRPr="00BB556C">
              <w:t>100,0</w:t>
            </w:r>
          </w:p>
        </w:tc>
        <w:tc>
          <w:tcPr>
            <w:tcW w:w="1417" w:type="dxa"/>
            <w:vAlign w:val="center"/>
          </w:tcPr>
          <w:p w:rsidR="00CB3FB2" w:rsidRPr="00BB556C" w:rsidRDefault="00CB3FB2" w:rsidP="00B80128">
            <w:pPr>
              <w:jc w:val="center"/>
              <w:rPr>
                <w:color w:val="000000" w:themeColor="text1"/>
              </w:rPr>
            </w:pPr>
            <w:r w:rsidRPr="00BB556C">
              <w:rPr>
                <w:color w:val="000000" w:themeColor="text1"/>
              </w:rPr>
              <w:t>25,8</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lastRenderedPageBreak/>
              <w:t>11</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«Создание условий для эффективного и ответственного управления муниципальными финансами, повышение устойчивости местных бюджетов ХМАО - Югры на 2016-2020 годы»</w:t>
            </w:r>
          </w:p>
        </w:tc>
        <w:tc>
          <w:tcPr>
            <w:tcW w:w="1701" w:type="dxa"/>
            <w:shd w:val="clear" w:color="auto" w:fill="auto"/>
            <w:vAlign w:val="center"/>
          </w:tcPr>
          <w:p w:rsidR="00CB3FB2" w:rsidRPr="00BB556C" w:rsidRDefault="00CB3FB2" w:rsidP="00B80128">
            <w:pPr>
              <w:jc w:val="center"/>
            </w:pPr>
            <w:r w:rsidRPr="00BB556C">
              <w:t>74,6</w:t>
            </w:r>
          </w:p>
        </w:tc>
        <w:tc>
          <w:tcPr>
            <w:tcW w:w="1417" w:type="dxa"/>
            <w:vAlign w:val="center"/>
          </w:tcPr>
          <w:p w:rsidR="00CB3FB2" w:rsidRPr="00BB556C" w:rsidRDefault="00CB3FB2" w:rsidP="00B80128">
            <w:pPr>
              <w:jc w:val="center"/>
              <w:rPr>
                <w:color w:val="000000" w:themeColor="text1"/>
              </w:rPr>
            </w:pPr>
            <w:r w:rsidRPr="00BB556C">
              <w:rPr>
                <w:color w:val="000000" w:themeColor="text1"/>
              </w:rPr>
              <w:t>59,1</w:t>
            </w:r>
          </w:p>
        </w:tc>
      </w:tr>
      <w:tr w:rsidR="00CB3FB2" w:rsidRPr="00BB556C" w:rsidTr="00B80128">
        <w:trPr>
          <w:trHeight w:val="412"/>
        </w:trPr>
        <w:tc>
          <w:tcPr>
            <w:tcW w:w="534" w:type="dxa"/>
            <w:shd w:val="clear" w:color="auto" w:fill="auto"/>
            <w:vAlign w:val="center"/>
          </w:tcPr>
          <w:p w:rsidR="00CB3FB2" w:rsidRPr="00BB556C" w:rsidRDefault="00CB3FB2" w:rsidP="00B80128">
            <w:pPr>
              <w:jc w:val="center"/>
              <w:rPr>
                <w:color w:val="000000" w:themeColor="text1"/>
              </w:rPr>
            </w:pPr>
            <w:r w:rsidRPr="00BB556C">
              <w:rPr>
                <w:color w:val="000000" w:themeColor="text1"/>
              </w:rPr>
              <w:t>12</w:t>
            </w:r>
          </w:p>
        </w:tc>
        <w:tc>
          <w:tcPr>
            <w:tcW w:w="5953" w:type="dxa"/>
            <w:shd w:val="clear" w:color="auto" w:fill="auto"/>
            <w:vAlign w:val="center"/>
          </w:tcPr>
          <w:p w:rsidR="00CB3FB2" w:rsidRPr="00BB556C" w:rsidRDefault="00CB3FB2" w:rsidP="00B80128">
            <w:pPr>
              <w:rPr>
                <w:color w:val="000000" w:themeColor="text1"/>
              </w:rPr>
            </w:pPr>
            <w:r w:rsidRPr="00BB556C">
              <w:rPr>
                <w:color w:val="000000" w:themeColor="text1"/>
              </w:rPr>
              <w:t>Программа «Социально-экономическое развитие, инвестиции и инновации ХМАО - Югры на 2016-2020 годы»</w:t>
            </w:r>
          </w:p>
        </w:tc>
        <w:tc>
          <w:tcPr>
            <w:tcW w:w="1701" w:type="dxa"/>
            <w:shd w:val="clear" w:color="auto" w:fill="auto"/>
            <w:vAlign w:val="center"/>
          </w:tcPr>
          <w:p w:rsidR="00CB3FB2" w:rsidRPr="00BB556C" w:rsidRDefault="00CB3FB2" w:rsidP="00B80128">
            <w:pPr>
              <w:jc w:val="center"/>
              <w:rPr>
                <w:highlight w:val="yellow"/>
              </w:rPr>
            </w:pPr>
            <w:r w:rsidRPr="00BB556C">
              <w:t>97,6</w:t>
            </w:r>
          </w:p>
        </w:tc>
        <w:tc>
          <w:tcPr>
            <w:tcW w:w="1417" w:type="dxa"/>
            <w:vAlign w:val="center"/>
          </w:tcPr>
          <w:p w:rsidR="00CB3FB2" w:rsidRPr="00BB556C" w:rsidRDefault="00CB3FB2" w:rsidP="00B80128">
            <w:pPr>
              <w:jc w:val="center"/>
              <w:rPr>
                <w:color w:val="000000" w:themeColor="text1"/>
              </w:rPr>
            </w:pPr>
            <w:r w:rsidRPr="00BB556C">
              <w:rPr>
                <w:color w:val="000000" w:themeColor="text1"/>
              </w:rPr>
              <w:t>63,9</w:t>
            </w:r>
          </w:p>
        </w:tc>
      </w:tr>
    </w:tbl>
    <w:p w:rsidR="00CB3FB2" w:rsidRPr="00BB556C" w:rsidRDefault="00CB3FB2" w:rsidP="00CB3FB2">
      <w:pPr>
        <w:rPr>
          <w:color w:val="000000" w:themeColor="text1"/>
        </w:rPr>
      </w:pPr>
    </w:p>
    <w:p w:rsidR="00CB3FB2" w:rsidRPr="00BB556C" w:rsidRDefault="00CB3FB2" w:rsidP="00CB3FB2">
      <w:pPr>
        <w:ind w:firstLine="709"/>
        <w:rPr>
          <w:color w:val="000000" w:themeColor="text1"/>
        </w:rPr>
      </w:pPr>
      <w:r w:rsidRPr="00BB556C">
        <w:rPr>
          <w:color w:val="000000" w:themeColor="text1"/>
        </w:rPr>
        <w:t>1.По программе «Содействие занятости населения в Ханты - Мансийском автономном округе - Югре на 2016-2020 годы» исполнение  составило 95,3</w:t>
      </w:r>
      <w:r w:rsidR="00483C18" w:rsidRPr="00BB556C">
        <w:rPr>
          <w:color w:val="000000" w:themeColor="text1"/>
        </w:rPr>
        <w:t>%</w:t>
      </w:r>
      <w:r w:rsidRPr="00BB556C">
        <w:rPr>
          <w:color w:val="000000" w:themeColor="text1"/>
        </w:rPr>
        <w:t xml:space="preserve"> от выделенного финансирования. Денежные средства направлены на реализацию мероприятий по содействию трудоустройства граждан, а также на денежное содержание специалистов по охране труда, выполнены мероприятия по проведению специальной оценки условий труда,  обучение работников по охране труда и пожарно-техническому минимуму.</w:t>
      </w:r>
    </w:p>
    <w:p w:rsidR="00CB3FB2" w:rsidRPr="00BB556C" w:rsidRDefault="00CB3FB2" w:rsidP="00CB3FB2">
      <w:pPr>
        <w:ind w:firstLine="709"/>
        <w:rPr>
          <w:color w:val="000000" w:themeColor="text1"/>
        </w:rPr>
      </w:pPr>
      <w:r w:rsidRPr="00BB556C">
        <w:rPr>
          <w:color w:val="000000" w:themeColor="text1"/>
        </w:rPr>
        <w:t xml:space="preserve">2.Исполнение по программе «О гос.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ХМАО-Югре в 2016-2020 годах» составило 92,5%. Денежные средства направлены на выполнение мероприятий по созданию и обеспечению деятельности административных комиссий, на осуществление переданных органам государственной власти субъектов РФ в соответствии с п.1 ст. 4 ФЗ от 15.11.1997 №143-ФЗ «Об актах гражданского состояния» полномочий РФ на государственную регистрацию актов гражданского состояния. </w:t>
      </w:r>
    </w:p>
    <w:p w:rsidR="00CB3FB2" w:rsidRPr="00BB556C" w:rsidRDefault="00CB3FB2" w:rsidP="00CB3FB2">
      <w:pPr>
        <w:ind w:firstLine="709"/>
        <w:rPr>
          <w:color w:val="000000" w:themeColor="text1"/>
        </w:rPr>
      </w:pPr>
      <w:r w:rsidRPr="00BB556C">
        <w:rPr>
          <w:color w:val="000000" w:themeColor="text1"/>
        </w:rPr>
        <w:t xml:space="preserve">3.По программе «Развитие агропромышленного комплекса и рынков сельскохозяйственной продукции, сырья и продовольствия в Ханты- Мансийском автономном округе-Югре на 2016-2020 годы» исполнение составило 100%. В рамках данной программы денежные средства направлены на поддержку животноводства, переработки и реализации продукции животноводства, а также на реализацию мероприятий по предупреждению и ликвидации болезней животных, их лечению, защите населения от болезней, общих для человека и животных. За январь-сентябрь  </w:t>
      </w:r>
      <w:r w:rsidRPr="00BB556C">
        <w:t xml:space="preserve">2016 года </w:t>
      </w:r>
      <w:r w:rsidRPr="00BB556C">
        <w:rPr>
          <w:color w:val="000000" w:themeColor="text1"/>
        </w:rPr>
        <w:t xml:space="preserve">индивидуальным предпринимателям, главам КФХ выдана субсидия на сумму 3 173,6 тыс.рублей. </w:t>
      </w:r>
    </w:p>
    <w:p w:rsidR="00CB3FB2" w:rsidRPr="00BB556C" w:rsidRDefault="00CB3FB2" w:rsidP="00CB3FB2">
      <w:pPr>
        <w:ind w:firstLine="709"/>
        <w:rPr>
          <w:color w:val="000000" w:themeColor="text1"/>
        </w:rPr>
      </w:pPr>
      <w:r w:rsidRPr="00BB556C">
        <w:rPr>
          <w:color w:val="000000" w:themeColor="text1"/>
        </w:rPr>
        <w:t>Денежные средства федерал</w:t>
      </w:r>
      <w:r w:rsidR="00483C18" w:rsidRPr="00BB556C">
        <w:rPr>
          <w:color w:val="000000" w:themeColor="text1"/>
        </w:rPr>
        <w:t>ьного бюджета</w:t>
      </w:r>
      <w:r w:rsidRPr="00BB556C">
        <w:rPr>
          <w:color w:val="000000" w:themeColor="text1"/>
        </w:rPr>
        <w:t xml:space="preserve"> направлены на мероприятия по проведению Всероссийской сельскохозяйственной переписи 2016 года.</w:t>
      </w:r>
    </w:p>
    <w:p w:rsidR="00CB3FB2" w:rsidRPr="00BB556C" w:rsidRDefault="00CB3FB2" w:rsidP="00CB3FB2">
      <w:pPr>
        <w:ind w:firstLine="709"/>
        <w:rPr>
          <w:color w:val="000000" w:themeColor="text1"/>
        </w:rPr>
      </w:pPr>
      <w:r w:rsidRPr="00BB556C">
        <w:rPr>
          <w:color w:val="000000" w:themeColor="text1"/>
        </w:rPr>
        <w:t>4.По программе «Развитие транспортной системы Ханты-Мансийского автономного округа-Югры на 2016-2020 годы» выполнены работы по объекту «Строительство (реконструкция), капитальный ремонт и ремонт автомобильных дорог общего пользования местного значения (Улица Губкина)» - объект введен в эксплуатацию в сентябре 2016 года.</w:t>
      </w:r>
    </w:p>
    <w:p w:rsidR="00CB3FB2" w:rsidRPr="00BB556C" w:rsidRDefault="00CB3FB2" w:rsidP="00CB3FB2">
      <w:pPr>
        <w:ind w:firstLine="709"/>
        <w:rPr>
          <w:color w:val="000000" w:themeColor="text1"/>
        </w:rPr>
      </w:pPr>
      <w:r w:rsidRPr="00BB556C">
        <w:rPr>
          <w:color w:val="000000" w:themeColor="text1"/>
        </w:rPr>
        <w:t xml:space="preserve">«Автомобильная дорога к пристани г. Мегион (пр. Победы)» - объект включен в  Адресно-инвестиционную программу ХМАО-Югры. В октябре 2016 планируется заключение муниципального контракта. Планируемый срок выполнения работ – ноябрь 2018 года.   </w:t>
      </w:r>
    </w:p>
    <w:p w:rsidR="00CB3FB2" w:rsidRPr="00BB556C" w:rsidRDefault="00CB3FB2" w:rsidP="00CB3FB2">
      <w:pPr>
        <w:ind w:firstLine="709"/>
      </w:pPr>
      <w:r w:rsidRPr="00BB556C">
        <w:t>Также, в рамках данной программы выделены денежные средства из бюджета автономного округа в сумме 54,6 млн. руб. на софинансирование  капитальных вложений в объекты государственной (муниципальной) собственности, капитальный ремонт и ремонт автомобильных дорог общего пользования местного значения.</w:t>
      </w:r>
    </w:p>
    <w:p w:rsidR="00CB3FB2" w:rsidRPr="00BB556C" w:rsidRDefault="00CB3FB2" w:rsidP="00CB3FB2">
      <w:pPr>
        <w:ind w:firstLine="709"/>
        <w:rPr>
          <w:color w:val="000000" w:themeColor="text1"/>
        </w:rPr>
      </w:pPr>
      <w:r w:rsidRPr="00BB556C">
        <w:t>5.По программе «Обеспечение доступным и комфортным жильем</w:t>
      </w:r>
      <w:r w:rsidRPr="00BB556C">
        <w:rPr>
          <w:color w:val="000000" w:themeColor="text1"/>
        </w:rPr>
        <w:t xml:space="preserve"> жителей Ханты-Мансийского автономного округа-Югры в 2016-2020 годах» предусмотрены мероприятия по выкупу жилых помещений, ликвидации и расселения приспособленных для проживания строений, предоставлены субсидии на софинансирование капитальных вложений в объекты </w:t>
      </w:r>
      <w:r w:rsidRPr="00BB556C">
        <w:rPr>
          <w:color w:val="000000" w:themeColor="text1"/>
        </w:rPr>
        <w:lastRenderedPageBreak/>
        <w:t xml:space="preserve">государственной (муниципальной) собственности на проектирование и строительство объектов инженерной инфраструктуры территорий, предназначенных для жилищного строительства. </w:t>
      </w:r>
    </w:p>
    <w:p w:rsidR="00CB3FB2" w:rsidRPr="00BB556C" w:rsidRDefault="00CB3FB2" w:rsidP="00CB3FB2">
      <w:pPr>
        <w:ind w:firstLine="709"/>
        <w:rPr>
          <w:color w:val="000000" w:themeColor="text1"/>
        </w:rPr>
      </w:pPr>
      <w:r w:rsidRPr="00BB556C">
        <w:rPr>
          <w:color w:val="000000" w:themeColor="text1"/>
        </w:rPr>
        <w:t xml:space="preserve">По состоянию на 01.10.2016 исполнение программы составляет 93,4 </w:t>
      </w:r>
      <w:r w:rsidRPr="00BB556C">
        <w:t>%.</w:t>
      </w:r>
      <w:r w:rsidRPr="00BB556C">
        <w:rPr>
          <w:color w:val="000000" w:themeColor="text1"/>
        </w:rPr>
        <w:t xml:space="preserve"> </w:t>
      </w:r>
    </w:p>
    <w:p w:rsidR="00CB3FB2" w:rsidRPr="00BB556C" w:rsidRDefault="00CB3FB2" w:rsidP="00CB3FB2">
      <w:pPr>
        <w:ind w:firstLine="709"/>
        <w:rPr>
          <w:color w:val="000000" w:themeColor="text1"/>
        </w:rPr>
      </w:pPr>
      <w:r w:rsidRPr="00BB556C">
        <w:rPr>
          <w:color w:val="000000" w:themeColor="text1"/>
        </w:rPr>
        <w:t>За отчетный период приобретено 15 квартир общей площадью 751 кв.м на сумму 38 409,7 тыс.</w:t>
      </w:r>
      <w:r w:rsidR="00C519AC">
        <w:rPr>
          <w:color w:val="000000" w:themeColor="text1"/>
        </w:rPr>
        <w:t xml:space="preserve"> </w:t>
      </w:r>
      <w:r w:rsidRPr="00BB556C">
        <w:rPr>
          <w:color w:val="000000" w:themeColor="text1"/>
        </w:rPr>
        <w:t>рублей – участие в долевом строительстве (2015 год). Выделены средства на приобретение 3х жи</w:t>
      </w:r>
      <w:r w:rsidR="00C519AC">
        <w:rPr>
          <w:color w:val="000000" w:themeColor="text1"/>
        </w:rPr>
        <w:t>лых помещений площадью 173,6 к</w:t>
      </w:r>
      <w:r w:rsidRPr="00BB556C">
        <w:rPr>
          <w:color w:val="000000" w:themeColor="text1"/>
        </w:rPr>
        <w:t>м</w:t>
      </w:r>
      <w:r w:rsidR="00C519AC">
        <w:rPr>
          <w:color w:val="000000" w:themeColor="text1"/>
        </w:rPr>
        <w:t>². в сумме 8 900,1 тыс.рублей</w:t>
      </w:r>
      <w:r w:rsidRPr="00BB556C">
        <w:rPr>
          <w:color w:val="000000" w:themeColor="text1"/>
        </w:rPr>
        <w:t>, из них: 7921,9 тыс.</w:t>
      </w:r>
      <w:r w:rsidR="00C519AC">
        <w:rPr>
          <w:color w:val="000000" w:themeColor="text1"/>
        </w:rPr>
        <w:t xml:space="preserve"> </w:t>
      </w:r>
      <w:r w:rsidRPr="00BB556C">
        <w:rPr>
          <w:color w:val="000000" w:themeColor="text1"/>
        </w:rPr>
        <w:t>руб</w:t>
      </w:r>
      <w:r w:rsidR="00C519AC">
        <w:rPr>
          <w:color w:val="000000" w:themeColor="text1"/>
        </w:rPr>
        <w:t>лей</w:t>
      </w:r>
      <w:r w:rsidRPr="00BB556C">
        <w:rPr>
          <w:color w:val="000000" w:themeColor="text1"/>
        </w:rPr>
        <w:t xml:space="preserve"> из средств бюджета автономного округа, 978,2 тыс.руб</w:t>
      </w:r>
      <w:r w:rsidR="00C519AC">
        <w:rPr>
          <w:color w:val="000000" w:themeColor="text1"/>
        </w:rPr>
        <w:t>лей.</w:t>
      </w:r>
      <w:r w:rsidRPr="00BB556C">
        <w:rPr>
          <w:color w:val="000000" w:themeColor="text1"/>
        </w:rPr>
        <w:t xml:space="preserve"> из средств местного бюджета. Аукцион на приобретение 3х квартир опубликован 26.08.2016.</w:t>
      </w:r>
    </w:p>
    <w:p w:rsidR="00CB3FB2" w:rsidRPr="00BB556C" w:rsidRDefault="00CB3FB2" w:rsidP="00CB3FB2">
      <w:pPr>
        <w:ind w:firstLine="709"/>
        <w:rPr>
          <w:color w:val="000000" w:themeColor="text1"/>
        </w:rPr>
      </w:pPr>
      <w:r w:rsidRPr="00BB556C">
        <w:rPr>
          <w:color w:val="000000" w:themeColor="text1"/>
        </w:rPr>
        <w:t>Дополнительно доведены лимиты в рамках единой субсидии на приобретение одной 3х-ком. квартиры (в фонд служебного жилья) площадъю 74,5</w:t>
      </w:r>
      <w:r w:rsidR="00C519AC">
        <w:rPr>
          <w:color w:val="000000" w:themeColor="text1"/>
        </w:rPr>
        <w:t xml:space="preserve"> м²  в сумме 3 821,07 тыс.рублей</w:t>
      </w:r>
      <w:r w:rsidRPr="00BB556C">
        <w:rPr>
          <w:color w:val="000000" w:themeColor="text1"/>
        </w:rPr>
        <w:t>, из них:  3 400,76 тыс.руб</w:t>
      </w:r>
      <w:r w:rsidR="00C519AC">
        <w:rPr>
          <w:color w:val="000000" w:themeColor="text1"/>
        </w:rPr>
        <w:t>лей</w:t>
      </w:r>
      <w:r w:rsidRPr="00BB556C">
        <w:rPr>
          <w:color w:val="000000" w:themeColor="text1"/>
        </w:rPr>
        <w:t xml:space="preserve"> из средств бюджета автономного округа, 420,31 тыс.руб</w:t>
      </w:r>
      <w:r w:rsidR="00C519AC">
        <w:rPr>
          <w:color w:val="000000" w:themeColor="text1"/>
        </w:rPr>
        <w:t>лей</w:t>
      </w:r>
      <w:r w:rsidRPr="00BB556C">
        <w:rPr>
          <w:color w:val="000000" w:themeColor="text1"/>
        </w:rPr>
        <w:t xml:space="preserve"> из средств местного бюджета;</w:t>
      </w:r>
    </w:p>
    <w:p w:rsidR="00CB3FB2" w:rsidRPr="00BB556C" w:rsidRDefault="00CB3FB2" w:rsidP="00CB3FB2">
      <w:pPr>
        <w:ind w:firstLine="709"/>
        <w:rPr>
          <w:color w:val="000000" w:themeColor="text1"/>
        </w:rPr>
      </w:pPr>
      <w:r w:rsidRPr="00BB556C">
        <w:rPr>
          <w:color w:val="000000" w:themeColor="text1"/>
        </w:rPr>
        <w:t>Выделены средства из местного бюджета на выплату возмещений за 11 изымаемых жилых помещений общей площадью 398,0 кв.м. в сумме 9 409,8 тыс.руб. Выплачено возмещение на сумму 8773,0 тыс.руб;</w:t>
      </w:r>
    </w:p>
    <w:p w:rsidR="00CB3FB2" w:rsidRPr="00BB556C" w:rsidRDefault="00CB3FB2" w:rsidP="00CB3FB2">
      <w:pPr>
        <w:ind w:firstLine="709"/>
        <w:rPr>
          <w:color w:val="000000" w:themeColor="text1"/>
        </w:rPr>
      </w:pPr>
      <w:r w:rsidRPr="00BB556C">
        <w:rPr>
          <w:color w:val="000000" w:themeColor="text1"/>
        </w:rPr>
        <w:t>Выделены средства из местного бюджета на приобретение жилого помещения в соответствии с постановлением от 26.06.2015 №1600 в сумме 2 850,0 тыс.руб</w:t>
      </w:r>
      <w:r w:rsidR="0057433B" w:rsidRPr="00BB556C">
        <w:rPr>
          <w:color w:val="000000" w:themeColor="text1"/>
        </w:rPr>
        <w:t>лей</w:t>
      </w:r>
      <w:r w:rsidRPr="00BB556C">
        <w:rPr>
          <w:color w:val="000000" w:themeColor="text1"/>
        </w:rPr>
        <w:t>. Аукцион состоялся в августе 2016 года на сумму 2 771,5 тыс.руб.</w:t>
      </w:r>
    </w:p>
    <w:p w:rsidR="00CB3FB2" w:rsidRPr="00BB556C" w:rsidRDefault="00CB3FB2" w:rsidP="00CB3FB2">
      <w:pPr>
        <w:ind w:firstLine="709"/>
      </w:pPr>
      <w:r w:rsidRPr="00BB556C">
        <w:t xml:space="preserve">Всего в 2016 году  расселено 29 многоквартирных жилых домов, признанных непригодными для проживания, аварийными и подлежащими сносу, общей площадью 8,3 тыс. </w:t>
      </w:r>
      <w:r w:rsidR="00C519AC">
        <w:t>м²</w:t>
      </w:r>
      <w:r w:rsidRPr="00BB556C">
        <w:t>.</w:t>
      </w:r>
    </w:p>
    <w:p w:rsidR="00CB3FB2" w:rsidRPr="00BB556C" w:rsidRDefault="00CB3FB2" w:rsidP="00CB3FB2">
      <w:pPr>
        <w:ind w:firstLine="709"/>
      </w:pPr>
      <w:r w:rsidRPr="00BB556C">
        <w:t xml:space="preserve"> В рамках заключенного муниципального контракта снесено 30  приспособленных для проживания строений (балки). Гражданам выданы 34 гарантийных письма о предоставлении субсидий для приобретения жилых помещений в собственность, из которых выплачены 8 субсидий на сумму 21 748,4 тыс.рублей. </w:t>
      </w:r>
    </w:p>
    <w:p w:rsidR="00CB3FB2" w:rsidRPr="00BB556C" w:rsidRDefault="00CB3FB2" w:rsidP="00CB3FB2">
      <w:pPr>
        <w:ind w:firstLine="709"/>
      </w:pPr>
      <w:r w:rsidRPr="00BB556C">
        <w:t>Выделены средства из местного бюджета на выплату возмещений за изымаемое жилое помещение, на предоставление субсидий и снос приспособленных строений.</w:t>
      </w:r>
    </w:p>
    <w:p w:rsidR="00CB3FB2" w:rsidRPr="00BB556C" w:rsidRDefault="00CB3FB2" w:rsidP="00CB3FB2">
      <w:pPr>
        <w:ind w:firstLine="709"/>
      </w:pPr>
      <w:r w:rsidRPr="00BB556C">
        <w:rPr>
          <w:color w:val="000000" w:themeColor="text1"/>
        </w:rPr>
        <w:t xml:space="preserve">6.По программе «Развитие жилищно-коммунального комплекса и повышение энергетической эффективности в Ханты - Мансийском автономном округе – Югре на 2016-2020 годы» за отчетный период исполнение составило </w:t>
      </w:r>
      <w:r w:rsidRPr="00BB556C">
        <w:t xml:space="preserve">93,1%. </w:t>
      </w:r>
    </w:p>
    <w:p w:rsidR="00CB3FB2" w:rsidRPr="00BB556C" w:rsidRDefault="00CB3FB2" w:rsidP="00CB3FB2">
      <w:pPr>
        <w:ind w:firstLine="709"/>
        <w:rPr>
          <w:color w:val="000000" w:themeColor="text1"/>
        </w:rPr>
      </w:pPr>
      <w:r w:rsidRPr="00BB556C">
        <w:t>П</w:t>
      </w:r>
      <w:r w:rsidRPr="00BB556C">
        <w:rPr>
          <w:color w:val="000000" w:themeColor="text1"/>
        </w:rPr>
        <w:t xml:space="preserve">роведены работы по подготовке к осенне-зимнему периоду 2016-2017 годов.  </w:t>
      </w:r>
    </w:p>
    <w:p w:rsidR="00CB3FB2" w:rsidRPr="00BB556C" w:rsidRDefault="00CB3FB2" w:rsidP="00CB3FB2">
      <w:pPr>
        <w:ind w:firstLine="708"/>
        <w:rPr>
          <w:color w:val="000000" w:themeColor="text1"/>
        </w:rPr>
      </w:pPr>
      <w:r w:rsidRPr="00BB556C">
        <w:rPr>
          <w:color w:val="000000" w:themeColor="text1"/>
        </w:rPr>
        <w:t xml:space="preserve">По объекту «Газификация пгт.Высокий» 22.07.2016 заключен муниципальный контракт на выполнение ПСД. Планируемый срок выполнения работ – декабрь 2016 года.                   </w:t>
      </w:r>
    </w:p>
    <w:p w:rsidR="00CB3FB2" w:rsidRPr="00BB556C" w:rsidRDefault="00CB3FB2" w:rsidP="00CB3FB2">
      <w:pPr>
        <w:ind w:firstLine="709"/>
        <w:rPr>
          <w:color w:val="000000" w:themeColor="text1"/>
        </w:rPr>
      </w:pPr>
      <w:r w:rsidRPr="00BB556C">
        <w:rPr>
          <w:color w:val="000000" w:themeColor="text1"/>
        </w:rPr>
        <w:t>В связи с увеличением объема работ планируется заключение дополнительного соглашения в размере 10% суммы м/контракта, срок исполнения работ – 2 квартал 2017 года.</w:t>
      </w:r>
    </w:p>
    <w:p w:rsidR="00CB3FB2" w:rsidRPr="00BB556C" w:rsidRDefault="00CB3FB2" w:rsidP="00CB3FB2">
      <w:pPr>
        <w:ind w:firstLine="709"/>
        <w:rPr>
          <w:color w:val="000000" w:themeColor="text1"/>
        </w:rPr>
      </w:pPr>
      <w:r w:rsidRPr="00BB556C">
        <w:rPr>
          <w:color w:val="000000" w:themeColor="text1"/>
        </w:rPr>
        <w:t>Реконструкция 4-х КНС в пгт.Высокий  в настоящее время составляет 96,0%. Срок выполнения строительно-монтажных работ – октябрь 2016 года.</w:t>
      </w:r>
    </w:p>
    <w:p w:rsidR="00CB3FB2" w:rsidRPr="00BB556C" w:rsidRDefault="00CB3FB2" w:rsidP="00CB3FB2">
      <w:pPr>
        <w:ind w:firstLine="709"/>
      </w:pPr>
      <w:r w:rsidRPr="00BB556C">
        <w:t>31.03.2016 заключен договор между администрацией и ОАО «Мегионгазсервис» о предоставлении субсидии на поставку сжиженного газа для нужд населения городского округа город Мегион. В отчетном периоде профинансировано 6 434,4 тыс.рублей –предоставление субсидии.</w:t>
      </w:r>
    </w:p>
    <w:p w:rsidR="00CB3FB2" w:rsidRPr="00BB556C" w:rsidRDefault="00CB3FB2" w:rsidP="00CB3FB2">
      <w:pPr>
        <w:ind w:firstLine="709"/>
        <w:rPr>
          <w:color w:val="000000" w:themeColor="text1"/>
        </w:rPr>
      </w:pPr>
      <w:r w:rsidRPr="00BB556C">
        <w:rPr>
          <w:color w:val="000000" w:themeColor="text1"/>
        </w:rPr>
        <w:t>«Инженерные сети к индивидуальным жилым домам 30 мкр. г. Мегион» - размещение муниципального заказа приостановлено, данный объект исключен  из АИП и заменен на объект «Участок тепловых сетей от УТ-4 до ул. 50 лет Октября с переходом ул. Заречная, от ул. 50 лет Октября».</w:t>
      </w:r>
    </w:p>
    <w:p w:rsidR="00CB3FB2" w:rsidRPr="00BB556C" w:rsidRDefault="00CB3FB2" w:rsidP="00CB3FB2">
      <w:pPr>
        <w:ind w:firstLine="709"/>
        <w:rPr>
          <w:color w:val="000000" w:themeColor="text1"/>
        </w:rPr>
      </w:pPr>
      <w:r w:rsidRPr="00BB556C">
        <w:rPr>
          <w:color w:val="000000" w:themeColor="text1"/>
        </w:rPr>
        <w:t xml:space="preserve">7.По программе «Развитие образования в Ханты- Мансийском округе-Югре на 2016-2020 годы» исполнение  составило </w:t>
      </w:r>
      <w:r w:rsidRPr="00BB556C">
        <w:t>94,1%.</w:t>
      </w:r>
      <w:r w:rsidRPr="00BB556C">
        <w:rPr>
          <w:color w:val="000000" w:themeColor="text1"/>
        </w:rPr>
        <w:t xml:space="preserve"> Денежные средства выделены на оплату труда работников и выплату компенсации части родительской платы за присмотр и уход за детьми в образовательных организациях, реализуемых образовательные программы дошкольного образования. Денежные средства освоены за фактически отработанный период и согласно предоставленным заявлениям на выплату компенсации части родительской платы.</w:t>
      </w:r>
    </w:p>
    <w:p w:rsidR="00CB3FB2" w:rsidRPr="00BB556C" w:rsidRDefault="00CB3FB2" w:rsidP="00CB3FB2">
      <w:pPr>
        <w:ind w:firstLine="709"/>
        <w:rPr>
          <w:color w:val="000000" w:themeColor="text1"/>
        </w:rPr>
      </w:pPr>
      <w:r w:rsidRPr="00BB556C">
        <w:rPr>
          <w:color w:val="000000" w:themeColor="text1"/>
        </w:rPr>
        <w:lastRenderedPageBreak/>
        <w:t>Кроме того, по данной подпрограмме освоены дене</w:t>
      </w:r>
      <w:r w:rsidR="00483C18" w:rsidRPr="00BB556C">
        <w:rPr>
          <w:color w:val="000000" w:themeColor="text1"/>
        </w:rPr>
        <w:t xml:space="preserve">жные средства 2 575,9 </w:t>
      </w:r>
      <w:r w:rsidRPr="00BB556C">
        <w:rPr>
          <w:color w:val="000000" w:themeColor="text1"/>
        </w:rPr>
        <w:t xml:space="preserve"> тыс. рублей  - оплата стоимости питания детей в лагерях с дневным пребыванием детей. </w:t>
      </w:r>
    </w:p>
    <w:p w:rsidR="00CB3FB2" w:rsidRPr="00BB556C" w:rsidRDefault="00CB3FB2" w:rsidP="00CB3FB2">
      <w:pPr>
        <w:ind w:firstLine="709"/>
        <w:rPr>
          <w:color w:val="000000" w:themeColor="text1"/>
        </w:rPr>
      </w:pPr>
      <w:r w:rsidRPr="00BB556C">
        <w:rPr>
          <w:color w:val="000000" w:themeColor="text1"/>
        </w:rPr>
        <w:t xml:space="preserve">8.Исполнение по программе «Развитие культуры и туризма в Ханты-Мансийском округе-Югре на 2016-2020 годы» за отчетный период составило </w:t>
      </w:r>
      <w:r w:rsidRPr="00BB556C">
        <w:t>88,03</w:t>
      </w:r>
      <w:r w:rsidRPr="00BB556C">
        <w:rPr>
          <w:color w:val="000000" w:themeColor="text1"/>
        </w:rPr>
        <w:t xml:space="preserve">% от выделенного финансирования. Выполнены мероприятия по подключению общедоступных библиотек  к сети Интернет. </w:t>
      </w:r>
    </w:p>
    <w:p w:rsidR="00CB3FB2" w:rsidRPr="00BB556C" w:rsidRDefault="00CB3FB2" w:rsidP="00CB3FB2">
      <w:pPr>
        <w:ind w:firstLine="709"/>
        <w:rPr>
          <w:color w:val="000000" w:themeColor="text1"/>
        </w:rPr>
      </w:pPr>
      <w:r w:rsidRPr="00BB556C">
        <w:rPr>
          <w:color w:val="000000" w:themeColor="text1"/>
        </w:rPr>
        <w:t>Проведены аукционы на приобретение товаров, работ, услуг для ДШИ. Срок исполнения закупок – октябрь.</w:t>
      </w:r>
    </w:p>
    <w:p w:rsidR="00CB3FB2" w:rsidRPr="00BB556C" w:rsidRDefault="00CB3FB2" w:rsidP="00CB3FB2">
      <w:pPr>
        <w:ind w:firstLine="709"/>
        <w:rPr>
          <w:color w:val="000000" w:themeColor="text1"/>
        </w:rPr>
      </w:pPr>
      <w:r w:rsidRPr="00BB556C">
        <w:rPr>
          <w:color w:val="000000" w:themeColor="text1"/>
        </w:rPr>
        <w:t xml:space="preserve">9.Исполнение по программе «Социальная поддержка жителей ХМАО-Югры на 2016-2020 годы» по состоянию на 01.10.2016 составило </w:t>
      </w:r>
      <w:r w:rsidRPr="00BB556C">
        <w:t>94,2%</w:t>
      </w:r>
      <w:r w:rsidRPr="00BB556C">
        <w:rPr>
          <w:color w:val="000000" w:themeColor="text1"/>
        </w:rPr>
        <w:t xml:space="preserve"> от выделенного финансирования. Денежные средства направлены на оплату труда работников отдела опеки и попечительства, а также на осуществление полномочий по образованию и организации деятельности комиссий по делам несовершеннолетних и защите их прав. </w:t>
      </w:r>
    </w:p>
    <w:p w:rsidR="00CB3FB2" w:rsidRPr="00BB556C" w:rsidRDefault="00CB3FB2" w:rsidP="00CB3FB2">
      <w:pPr>
        <w:ind w:firstLine="709"/>
        <w:rPr>
          <w:color w:val="000000" w:themeColor="text1"/>
        </w:rPr>
      </w:pPr>
      <w:r w:rsidRPr="00BB556C">
        <w:rPr>
          <w:color w:val="000000" w:themeColor="text1"/>
        </w:rPr>
        <w:t>Также выделены субвенции на осуществление деятельности по опеке и попечительству и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p w:rsidR="00CB3FB2" w:rsidRPr="00BB556C" w:rsidRDefault="00CB3FB2" w:rsidP="00CB3FB2">
      <w:pPr>
        <w:ind w:firstLine="709"/>
        <w:rPr>
          <w:color w:val="000000" w:themeColor="text1"/>
        </w:rPr>
      </w:pPr>
      <w:r w:rsidRPr="00BB556C">
        <w:rPr>
          <w:color w:val="000000" w:themeColor="text1"/>
        </w:rPr>
        <w:t>10.По программе «Развитие физической культуры и спорта в Ханты - Мансийском автономном округе-Югре на 2016-2020 годы» исполнение составило 100,0% к финансированию. В рамках данной программы в текущем году введен в эксплуатацию ФСК с ледовой ареной в городе Мегионе. Кроме того, денежные средства в сумме 20,0 млн.рублей окружного бюджета предусмотрены на строительство объекта «Спортивный центр с универсальным игровым залом и плоскостными сооружениями в г.Мегионе».</w:t>
      </w:r>
    </w:p>
    <w:p w:rsidR="00CB3FB2" w:rsidRPr="00BB556C" w:rsidRDefault="00CB3FB2" w:rsidP="00CB3FB2">
      <w:pPr>
        <w:ind w:firstLine="709"/>
        <w:rPr>
          <w:color w:val="000000" w:themeColor="text1"/>
        </w:rPr>
      </w:pPr>
      <w:r w:rsidRPr="00BB556C">
        <w:rPr>
          <w:color w:val="000000" w:themeColor="text1"/>
        </w:rPr>
        <w:t xml:space="preserve">11.По программе «Создание условий для эффективного и ответственного управления муниципальными финансами, повышение устойчивости местных бюджетов ХМАО - Югры на 2016-2020 годы» исполнение составило </w:t>
      </w:r>
      <w:r w:rsidRPr="00BB556C">
        <w:t>74,6%.</w:t>
      </w:r>
      <w:r w:rsidRPr="00BB556C">
        <w:rPr>
          <w:color w:val="000000" w:themeColor="text1"/>
        </w:rPr>
        <w:t xml:space="preserve"> Денежные средства направлены на оплату труда работников муниципальных учреждений культуры и дополнительного образования детей, а также на строительство городского кладбища.</w:t>
      </w:r>
    </w:p>
    <w:p w:rsidR="00CB3FB2" w:rsidRPr="00BB556C" w:rsidRDefault="00CB3FB2" w:rsidP="00CB3FB2">
      <w:pPr>
        <w:ind w:firstLine="709"/>
      </w:pPr>
      <w:r w:rsidRPr="00BB556C">
        <w:t xml:space="preserve">Строительство городского кладбища ведется по графику, в рамках запланированного муниципального контракта от 24.07.2014, срок исполнения работ – октябрь 2016. </w:t>
      </w:r>
    </w:p>
    <w:p w:rsidR="00CB3FB2" w:rsidRPr="00BB556C" w:rsidRDefault="00CB3FB2" w:rsidP="00CB3FB2">
      <w:pPr>
        <w:ind w:firstLine="709"/>
        <w:rPr>
          <w:color w:val="000000" w:themeColor="text1"/>
        </w:rPr>
      </w:pPr>
      <w:r w:rsidRPr="00BB556C">
        <w:t xml:space="preserve">12.Исполнение по </w:t>
      </w:r>
      <w:r w:rsidRPr="00BB556C">
        <w:rPr>
          <w:color w:val="000000" w:themeColor="text1"/>
        </w:rPr>
        <w:t xml:space="preserve">программе «Социально-экономическое развитие, инвестиции и инновации ХМАО - Югры на 2016-2020 годы» сложилось на </w:t>
      </w:r>
      <w:r w:rsidRPr="00BB556C">
        <w:t>уровне 97%.</w:t>
      </w:r>
      <w:r w:rsidRPr="00BB556C">
        <w:rPr>
          <w:color w:val="000000" w:themeColor="text1"/>
        </w:rPr>
        <w:t xml:space="preserve"> Средства автономного округа выделены на оплату труда работников МКУ «МФЦ», а также на поддержку малого и среднего предпринимательства. </w:t>
      </w:r>
    </w:p>
    <w:p w:rsidR="002B0EAB" w:rsidRPr="00BB556C" w:rsidRDefault="002B0EAB" w:rsidP="002B0EAB">
      <w:pPr>
        <w:ind w:firstLine="709"/>
        <w:rPr>
          <w:color w:val="000000" w:themeColor="text1"/>
        </w:rPr>
      </w:pPr>
    </w:p>
    <w:p w:rsidR="002B0EAB" w:rsidRPr="00BB556C" w:rsidRDefault="002B0EAB" w:rsidP="002B0EAB">
      <w:pPr>
        <w:ind w:firstLine="709"/>
        <w:rPr>
          <w:color w:val="000000" w:themeColor="text1"/>
        </w:rPr>
      </w:pPr>
    </w:p>
    <w:p w:rsidR="002B0EAB" w:rsidRPr="00BB556C" w:rsidRDefault="002B0EAB" w:rsidP="002B0EAB">
      <w:pPr>
        <w:rPr>
          <w:color w:val="000000" w:themeColor="text1"/>
        </w:rPr>
      </w:pPr>
      <w:r w:rsidRPr="00BB556C">
        <w:rPr>
          <w:color w:val="000000" w:themeColor="text1"/>
        </w:rPr>
        <w:t>ПОТРЕБИТЕЛЬСКИЙ  РЫНОК</w:t>
      </w:r>
    </w:p>
    <w:p w:rsidR="002B0EAB" w:rsidRPr="00BB556C" w:rsidRDefault="002B0EAB" w:rsidP="002B0EAB">
      <w:pPr>
        <w:ind w:firstLine="720"/>
        <w:rPr>
          <w:color w:val="000000" w:themeColor="text1"/>
        </w:rPr>
      </w:pPr>
    </w:p>
    <w:p w:rsidR="002B0EAB" w:rsidRPr="00BB556C" w:rsidRDefault="00153D06" w:rsidP="002B0EAB">
      <w:pPr>
        <w:ind w:firstLine="720"/>
        <w:rPr>
          <w:color w:val="000000" w:themeColor="text1"/>
        </w:rPr>
      </w:pPr>
      <w:r w:rsidRPr="00BB556C">
        <w:rPr>
          <w:color w:val="000000" w:themeColor="text1"/>
        </w:rPr>
        <w:t>По состоянию на 01.10</w:t>
      </w:r>
      <w:r w:rsidR="002B0EAB" w:rsidRPr="00BB556C">
        <w:rPr>
          <w:color w:val="000000" w:themeColor="text1"/>
        </w:rPr>
        <w:t>.2016 года на территории городского округа город Мегион расположено 2</w:t>
      </w:r>
      <w:r w:rsidRPr="00BB556C">
        <w:rPr>
          <w:color w:val="000000" w:themeColor="text1"/>
        </w:rPr>
        <w:t>45</w:t>
      </w:r>
      <w:r w:rsidR="002B0EAB" w:rsidRPr="00BB556C">
        <w:rPr>
          <w:color w:val="000000" w:themeColor="text1"/>
        </w:rPr>
        <w:t xml:space="preserve"> объект</w:t>
      </w:r>
      <w:r w:rsidRPr="00BB556C">
        <w:rPr>
          <w:color w:val="000000" w:themeColor="text1"/>
        </w:rPr>
        <w:t>ов</w:t>
      </w:r>
      <w:r w:rsidR="002B0EAB" w:rsidRPr="00BB556C">
        <w:rPr>
          <w:color w:val="000000" w:themeColor="text1"/>
        </w:rPr>
        <w:t xml:space="preserve"> розничной торговли (магазины – 204 ед., киоски – </w:t>
      </w:r>
      <w:r w:rsidRPr="00BB556C">
        <w:rPr>
          <w:color w:val="000000" w:themeColor="text1"/>
        </w:rPr>
        <w:t>2</w:t>
      </w:r>
      <w:r w:rsidR="002B0EAB" w:rsidRPr="00BB556C">
        <w:rPr>
          <w:color w:val="000000" w:themeColor="text1"/>
        </w:rPr>
        <w:t xml:space="preserve"> ед., павильоны - 39 ед.), торговой площадью </w:t>
      </w:r>
      <w:r w:rsidRPr="00BB556C">
        <w:rPr>
          <w:color w:val="000000" w:themeColor="text1"/>
        </w:rPr>
        <w:t>37 793,11</w:t>
      </w:r>
      <w:r w:rsidR="002B0EAB" w:rsidRPr="00BB556C">
        <w:rPr>
          <w:color w:val="000000" w:themeColor="text1"/>
        </w:rPr>
        <w:t xml:space="preserve"> м². </w:t>
      </w:r>
    </w:p>
    <w:p w:rsidR="002B0EAB" w:rsidRPr="00BB556C" w:rsidRDefault="002B0EAB" w:rsidP="002B0EAB">
      <w:pPr>
        <w:ind w:firstLine="720"/>
        <w:rPr>
          <w:color w:val="000000" w:themeColor="text1"/>
        </w:rPr>
      </w:pPr>
      <w:r w:rsidRPr="00BB556C">
        <w:rPr>
          <w:color w:val="000000" w:themeColor="text1"/>
        </w:rPr>
        <w:t xml:space="preserve">Сегодня на потребительском рынке городского округа город Мегион преобладающей формой является частная форма собственности. Оборот розничной торговли, полученный через все каналы реализации, за </w:t>
      </w:r>
      <w:r w:rsidR="00153D06" w:rsidRPr="00BB556C">
        <w:rPr>
          <w:color w:val="000000" w:themeColor="text1"/>
        </w:rPr>
        <w:t>9 месяцев</w:t>
      </w:r>
      <w:r w:rsidRPr="00BB556C">
        <w:rPr>
          <w:color w:val="000000" w:themeColor="text1"/>
        </w:rPr>
        <w:t xml:space="preserve"> 2016 года составил </w:t>
      </w:r>
      <w:r w:rsidR="00153D06" w:rsidRPr="00BB556C">
        <w:rPr>
          <w:color w:val="000000" w:themeColor="text1"/>
        </w:rPr>
        <w:t>7 104,7</w:t>
      </w:r>
      <w:r w:rsidRPr="00BB556C">
        <w:rPr>
          <w:color w:val="000000" w:themeColor="text1"/>
        </w:rPr>
        <w:t xml:space="preserve"> млн.рублей, что в сопоставимых ценах на </w:t>
      </w:r>
      <w:r w:rsidR="00153D06" w:rsidRPr="00BB556C">
        <w:rPr>
          <w:color w:val="000000" w:themeColor="text1"/>
        </w:rPr>
        <w:t>10,6% ниже</w:t>
      </w:r>
      <w:r w:rsidRPr="00BB556C">
        <w:rPr>
          <w:color w:val="000000" w:themeColor="text1"/>
        </w:rPr>
        <w:t xml:space="preserve"> объёма аналогичного периода 2015 года. </w:t>
      </w:r>
    </w:p>
    <w:p w:rsidR="002B0EAB" w:rsidRPr="00BB556C" w:rsidRDefault="002B0EAB" w:rsidP="002B0EAB">
      <w:pPr>
        <w:ind w:firstLine="720"/>
        <w:rPr>
          <w:color w:val="000000" w:themeColor="text1"/>
        </w:rPr>
      </w:pPr>
      <w:r w:rsidRPr="00BB556C">
        <w:rPr>
          <w:color w:val="000000" w:themeColor="text1"/>
        </w:rPr>
        <w:t>В структуре товарооборота за отчетный период 2016 год удельный вес продовольственных товаров составляет более 50,0%.</w:t>
      </w:r>
    </w:p>
    <w:p w:rsidR="002B0EAB" w:rsidRPr="00BB556C" w:rsidRDefault="002B0EAB" w:rsidP="002B0EAB">
      <w:pPr>
        <w:ind w:firstLine="720"/>
        <w:rPr>
          <w:color w:val="000000" w:themeColor="text1"/>
        </w:rPr>
      </w:pPr>
      <w:r w:rsidRPr="00BB556C">
        <w:rPr>
          <w:color w:val="000000" w:themeColor="text1"/>
        </w:rPr>
        <w:t>Оборот розничной торговли городского округа город Мегион за январь-</w:t>
      </w:r>
      <w:r w:rsidR="00153D06" w:rsidRPr="00BB556C">
        <w:rPr>
          <w:color w:val="000000" w:themeColor="text1"/>
        </w:rPr>
        <w:t>сентябрь</w:t>
      </w:r>
      <w:r w:rsidRPr="00BB556C">
        <w:rPr>
          <w:color w:val="000000" w:themeColor="text1"/>
        </w:rPr>
        <w:t xml:space="preserve"> 2016 года в расчёте на душу населения составил </w:t>
      </w:r>
      <w:r w:rsidR="00153D06" w:rsidRPr="00BB556C">
        <w:rPr>
          <w:color w:val="000000" w:themeColor="text1"/>
        </w:rPr>
        <w:t>127,5</w:t>
      </w:r>
      <w:r w:rsidRPr="00BB556C">
        <w:rPr>
          <w:color w:val="000000" w:themeColor="text1"/>
        </w:rPr>
        <w:t xml:space="preserve"> тыс.рублей, что</w:t>
      </w:r>
      <w:r w:rsidR="00053D24" w:rsidRPr="00BB556C">
        <w:rPr>
          <w:color w:val="000000" w:themeColor="text1"/>
        </w:rPr>
        <w:t xml:space="preserve"> в сопоставимых ценах на 10% ниже  </w:t>
      </w:r>
      <w:r w:rsidRPr="00BB556C">
        <w:rPr>
          <w:color w:val="000000" w:themeColor="text1"/>
        </w:rPr>
        <w:t xml:space="preserve"> аналог</w:t>
      </w:r>
      <w:r w:rsidR="00053D24" w:rsidRPr="00BB556C">
        <w:rPr>
          <w:color w:val="000000" w:themeColor="text1"/>
        </w:rPr>
        <w:t>ичного периода</w:t>
      </w:r>
      <w:r w:rsidRPr="00BB556C">
        <w:rPr>
          <w:color w:val="000000" w:themeColor="text1"/>
        </w:rPr>
        <w:t xml:space="preserve"> 201</w:t>
      </w:r>
      <w:r w:rsidR="00153D06" w:rsidRPr="00BB556C">
        <w:rPr>
          <w:color w:val="000000" w:themeColor="text1"/>
        </w:rPr>
        <w:t>5</w:t>
      </w:r>
      <w:r w:rsidR="00053D24" w:rsidRPr="00BB556C">
        <w:rPr>
          <w:color w:val="000000" w:themeColor="text1"/>
        </w:rPr>
        <w:t xml:space="preserve"> года</w:t>
      </w:r>
      <w:r w:rsidRPr="00BB556C">
        <w:rPr>
          <w:color w:val="000000" w:themeColor="text1"/>
        </w:rPr>
        <w:t xml:space="preserve">. </w:t>
      </w:r>
    </w:p>
    <w:p w:rsidR="002B0EAB" w:rsidRPr="00BB556C" w:rsidRDefault="002B0EAB" w:rsidP="002B0EAB">
      <w:pPr>
        <w:ind w:firstLine="720"/>
        <w:rPr>
          <w:color w:val="000000" w:themeColor="text1"/>
        </w:rPr>
      </w:pPr>
      <w:r w:rsidRPr="00BB556C">
        <w:rPr>
          <w:color w:val="000000" w:themeColor="text1"/>
        </w:rPr>
        <w:t>Обеспеченность населения городского округа город Мегион торговыми</w:t>
      </w:r>
      <w:r w:rsidR="00053D24" w:rsidRPr="00BB556C">
        <w:rPr>
          <w:color w:val="000000" w:themeColor="text1"/>
        </w:rPr>
        <w:t xml:space="preserve"> площадями по состоянию на 01.10</w:t>
      </w:r>
      <w:r w:rsidRPr="00BB556C">
        <w:rPr>
          <w:color w:val="000000" w:themeColor="text1"/>
        </w:rPr>
        <w:t xml:space="preserve">.2016 составила </w:t>
      </w:r>
      <w:r w:rsidR="00053D24" w:rsidRPr="00BB556C">
        <w:rPr>
          <w:color w:val="000000" w:themeColor="text1"/>
        </w:rPr>
        <w:t>153,5</w:t>
      </w:r>
      <w:r w:rsidRPr="00BB556C">
        <w:rPr>
          <w:color w:val="000000" w:themeColor="text1"/>
        </w:rPr>
        <w:t>% к нормативу.</w:t>
      </w:r>
    </w:p>
    <w:p w:rsidR="002B0EAB" w:rsidRPr="00BB556C" w:rsidRDefault="002B0EAB" w:rsidP="002B0EAB">
      <w:pPr>
        <w:ind w:firstLine="720"/>
        <w:rPr>
          <w:color w:val="000000" w:themeColor="text1"/>
        </w:rPr>
      </w:pPr>
      <w:r w:rsidRPr="00BB556C">
        <w:rPr>
          <w:color w:val="000000" w:themeColor="text1"/>
        </w:rPr>
        <w:lastRenderedPageBreak/>
        <w:t xml:space="preserve">Сеть организаций общественного питания представлена в городе такими формами как кафе, столовые, рестораны. </w:t>
      </w:r>
    </w:p>
    <w:p w:rsidR="002B0EAB" w:rsidRPr="00BB556C" w:rsidRDefault="002B0EAB" w:rsidP="002B0EAB">
      <w:pPr>
        <w:ind w:firstLine="720"/>
        <w:rPr>
          <w:color w:val="000000" w:themeColor="text1"/>
        </w:rPr>
      </w:pPr>
      <w:r w:rsidRPr="00BB556C">
        <w:rPr>
          <w:color w:val="000000" w:themeColor="text1"/>
        </w:rPr>
        <w:t>Оборот обще</w:t>
      </w:r>
      <w:r w:rsidR="00053D24" w:rsidRPr="00BB556C">
        <w:rPr>
          <w:color w:val="000000" w:themeColor="text1"/>
        </w:rPr>
        <w:t>ственного питания за январь-сентябрь</w:t>
      </w:r>
      <w:r w:rsidRPr="00BB556C">
        <w:rPr>
          <w:color w:val="000000" w:themeColor="text1"/>
        </w:rPr>
        <w:t xml:space="preserve"> 2016 года составил </w:t>
      </w:r>
      <w:r w:rsidR="00090CA4">
        <w:rPr>
          <w:color w:val="000000" w:themeColor="text1"/>
        </w:rPr>
        <w:t>1 310,4 млн.рублей, и уменьшился</w:t>
      </w:r>
      <w:r w:rsidRPr="00BB556C">
        <w:rPr>
          <w:color w:val="000000" w:themeColor="text1"/>
        </w:rPr>
        <w:t xml:space="preserve"> по сравнению с аналогичным периодом 201</w:t>
      </w:r>
      <w:r w:rsidR="000F181D" w:rsidRPr="00BB556C">
        <w:rPr>
          <w:color w:val="000000" w:themeColor="text1"/>
        </w:rPr>
        <w:t>5</w:t>
      </w:r>
      <w:r w:rsidRPr="00BB556C">
        <w:rPr>
          <w:color w:val="000000" w:themeColor="text1"/>
        </w:rPr>
        <w:t xml:space="preserve"> года на </w:t>
      </w:r>
      <w:r w:rsidR="00090CA4">
        <w:rPr>
          <w:color w:val="000000" w:themeColor="text1"/>
        </w:rPr>
        <w:t>1,0</w:t>
      </w:r>
      <w:r w:rsidRPr="00BB556C">
        <w:rPr>
          <w:color w:val="000000" w:themeColor="text1"/>
        </w:rPr>
        <w:t>% в сопостави</w:t>
      </w:r>
      <w:r w:rsidR="00053D24" w:rsidRPr="00BB556C">
        <w:rPr>
          <w:color w:val="000000" w:themeColor="text1"/>
        </w:rPr>
        <w:t>мых ценах. По состоянию на 01.10</w:t>
      </w:r>
      <w:r w:rsidRPr="00BB556C">
        <w:rPr>
          <w:color w:val="000000" w:themeColor="text1"/>
        </w:rPr>
        <w:t xml:space="preserve">.2016 в городе работает </w:t>
      </w:r>
      <w:r w:rsidR="00053D24" w:rsidRPr="00BB556C">
        <w:rPr>
          <w:color w:val="000000" w:themeColor="text1"/>
        </w:rPr>
        <w:t>109</w:t>
      </w:r>
      <w:r w:rsidRPr="00BB556C">
        <w:rPr>
          <w:color w:val="000000" w:themeColor="text1"/>
        </w:rPr>
        <w:t xml:space="preserve"> предприятий общественного питания на 4</w:t>
      </w:r>
      <w:r w:rsidR="00053D24" w:rsidRPr="00BB556C">
        <w:rPr>
          <w:color w:val="000000" w:themeColor="text1"/>
        </w:rPr>
        <w:t>933</w:t>
      </w:r>
      <w:r w:rsidRPr="00BB556C">
        <w:rPr>
          <w:color w:val="000000" w:themeColor="text1"/>
        </w:rPr>
        <w:t xml:space="preserve"> посадочных места, в том числе по видам:</w:t>
      </w:r>
    </w:p>
    <w:p w:rsidR="002B0EAB" w:rsidRPr="00BB556C" w:rsidRDefault="002B0EAB" w:rsidP="002B0EAB">
      <w:pPr>
        <w:ind w:firstLine="720"/>
        <w:rPr>
          <w:color w:val="000000" w:themeColor="text1"/>
        </w:rPr>
      </w:pPr>
      <w:r w:rsidRPr="00BB556C">
        <w:rPr>
          <w:color w:val="000000" w:themeColor="text1"/>
        </w:rPr>
        <w:t>- рестораны – 2 ед., 220 пос.мест;</w:t>
      </w:r>
    </w:p>
    <w:p w:rsidR="002B0EAB" w:rsidRPr="00BB556C" w:rsidRDefault="002B0EAB" w:rsidP="002B0EAB">
      <w:pPr>
        <w:ind w:firstLine="720"/>
        <w:rPr>
          <w:color w:val="000000" w:themeColor="text1"/>
        </w:rPr>
      </w:pPr>
      <w:r w:rsidRPr="00BB556C">
        <w:rPr>
          <w:color w:val="000000" w:themeColor="text1"/>
        </w:rPr>
        <w:t xml:space="preserve">- кафе – </w:t>
      </w:r>
      <w:r w:rsidR="00554E8D" w:rsidRPr="00BB556C">
        <w:rPr>
          <w:color w:val="000000" w:themeColor="text1"/>
        </w:rPr>
        <w:t>29</w:t>
      </w:r>
      <w:r w:rsidRPr="00BB556C">
        <w:rPr>
          <w:color w:val="000000" w:themeColor="text1"/>
        </w:rPr>
        <w:t xml:space="preserve"> ед., </w:t>
      </w:r>
      <w:r w:rsidR="00554E8D" w:rsidRPr="00BB556C">
        <w:rPr>
          <w:color w:val="000000" w:themeColor="text1"/>
        </w:rPr>
        <w:t>1382</w:t>
      </w:r>
      <w:r w:rsidRPr="00BB556C">
        <w:rPr>
          <w:color w:val="000000" w:themeColor="text1"/>
        </w:rPr>
        <w:t xml:space="preserve"> пос.места;</w:t>
      </w:r>
    </w:p>
    <w:p w:rsidR="002B0EAB" w:rsidRPr="00BB556C" w:rsidRDefault="002B0EAB" w:rsidP="002B0EAB">
      <w:pPr>
        <w:ind w:firstLine="720"/>
        <w:rPr>
          <w:color w:val="000000" w:themeColor="text1"/>
        </w:rPr>
      </w:pPr>
      <w:r w:rsidRPr="00BB556C">
        <w:rPr>
          <w:color w:val="000000" w:themeColor="text1"/>
        </w:rPr>
        <w:t xml:space="preserve">- бары – </w:t>
      </w:r>
      <w:r w:rsidR="00554E8D" w:rsidRPr="00BB556C">
        <w:rPr>
          <w:color w:val="000000" w:themeColor="text1"/>
        </w:rPr>
        <w:t>38</w:t>
      </w:r>
      <w:r w:rsidRPr="00BB556C">
        <w:rPr>
          <w:color w:val="000000" w:themeColor="text1"/>
        </w:rPr>
        <w:t xml:space="preserve"> ед., </w:t>
      </w:r>
      <w:r w:rsidR="00554E8D" w:rsidRPr="00BB556C">
        <w:rPr>
          <w:color w:val="000000" w:themeColor="text1"/>
        </w:rPr>
        <w:t>712</w:t>
      </w:r>
      <w:r w:rsidRPr="00BB556C">
        <w:rPr>
          <w:color w:val="000000" w:themeColor="text1"/>
        </w:rPr>
        <w:t xml:space="preserve"> пос.мест;</w:t>
      </w:r>
    </w:p>
    <w:p w:rsidR="002B0EAB" w:rsidRPr="00BB556C" w:rsidRDefault="002B0EAB" w:rsidP="002B0EAB">
      <w:pPr>
        <w:ind w:firstLine="720"/>
        <w:rPr>
          <w:color w:val="000000" w:themeColor="text1"/>
        </w:rPr>
      </w:pPr>
      <w:r w:rsidRPr="00BB556C">
        <w:rPr>
          <w:color w:val="000000" w:themeColor="text1"/>
        </w:rPr>
        <w:t xml:space="preserve">- иные (буфеты, закусочные, магазины-кулинарии) – 18 ед., </w:t>
      </w:r>
      <w:r w:rsidR="00554E8D" w:rsidRPr="00BB556C">
        <w:rPr>
          <w:color w:val="000000" w:themeColor="text1"/>
        </w:rPr>
        <w:t>211</w:t>
      </w:r>
      <w:r w:rsidRPr="00BB556C">
        <w:rPr>
          <w:color w:val="000000" w:themeColor="text1"/>
        </w:rPr>
        <w:t xml:space="preserve"> пос.мест;</w:t>
      </w:r>
    </w:p>
    <w:p w:rsidR="002B0EAB" w:rsidRPr="00BB556C" w:rsidRDefault="002B0EAB" w:rsidP="002B0EAB">
      <w:pPr>
        <w:ind w:firstLine="720"/>
        <w:rPr>
          <w:color w:val="000000" w:themeColor="text1"/>
        </w:rPr>
      </w:pPr>
      <w:r w:rsidRPr="00BB556C">
        <w:rPr>
          <w:color w:val="000000" w:themeColor="text1"/>
        </w:rPr>
        <w:t>- столовые – 22 ед., 2408 пос.места, из них школьные столовые – 11 ед., 1936 пос.мест.</w:t>
      </w:r>
    </w:p>
    <w:p w:rsidR="002B0EAB" w:rsidRPr="00BB556C" w:rsidRDefault="007F3320" w:rsidP="002B0EAB">
      <w:pPr>
        <w:ind w:firstLine="720"/>
        <w:rPr>
          <w:color w:val="000000" w:themeColor="text1"/>
        </w:rPr>
      </w:pPr>
      <w:r w:rsidRPr="00BB556C">
        <w:rPr>
          <w:color w:val="000000" w:themeColor="text1"/>
        </w:rPr>
        <w:t>За январь-сентябрь</w:t>
      </w:r>
      <w:r w:rsidR="002B0EAB" w:rsidRPr="00BB556C">
        <w:rPr>
          <w:color w:val="000000" w:themeColor="text1"/>
        </w:rPr>
        <w:t xml:space="preserve"> 2016 года оборот общественного питания в расчёте на душу населения составил </w:t>
      </w:r>
      <w:r w:rsidR="00090CA4">
        <w:rPr>
          <w:color w:val="000000" w:themeColor="text1"/>
        </w:rPr>
        <w:t>23516</w:t>
      </w:r>
      <w:r w:rsidR="002B0EAB" w:rsidRPr="00BB556C">
        <w:rPr>
          <w:color w:val="000000" w:themeColor="text1"/>
        </w:rPr>
        <w:t xml:space="preserve"> рублей против </w:t>
      </w:r>
      <w:r w:rsidR="008D6B21" w:rsidRPr="00BB556C">
        <w:rPr>
          <w:color w:val="000000" w:themeColor="text1"/>
        </w:rPr>
        <w:t>21918 рублей в январе-сентябре</w:t>
      </w:r>
      <w:r w:rsidR="002B0EAB" w:rsidRPr="00BB556C">
        <w:rPr>
          <w:color w:val="000000" w:themeColor="text1"/>
        </w:rPr>
        <w:t xml:space="preserve"> 2015 года. </w:t>
      </w:r>
    </w:p>
    <w:p w:rsidR="002B0EAB" w:rsidRPr="00BB556C" w:rsidRDefault="002B0EAB" w:rsidP="002B0EAB">
      <w:pPr>
        <w:ind w:firstLine="720"/>
        <w:rPr>
          <w:color w:val="000000" w:themeColor="text1"/>
        </w:rPr>
      </w:pPr>
    </w:p>
    <w:p w:rsidR="002B0EAB" w:rsidRPr="00BB556C" w:rsidRDefault="002B0EAB" w:rsidP="002B0EAB">
      <w:pPr>
        <w:ind w:firstLine="720"/>
        <w:rPr>
          <w:color w:val="000000" w:themeColor="text1"/>
        </w:rPr>
      </w:pPr>
      <w:r w:rsidRPr="00BB556C">
        <w:rPr>
          <w:color w:val="000000" w:themeColor="text1"/>
        </w:rPr>
        <w:t>Помимо торговли и общественного питания, потребительский рынок насыщают также платные услуги.</w:t>
      </w:r>
    </w:p>
    <w:p w:rsidR="002B0EAB" w:rsidRPr="00BB556C" w:rsidRDefault="002B0EAB" w:rsidP="002B0EAB">
      <w:pPr>
        <w:ind w:firstLine="720"/>
        <w:rPr>
          <w:color w:val="000000" w:themeColor="text1"/>
        </w:rPr>
      </w:pPr>
      <w:r w:rsidRPr="00BB556C">
        <w:rPr>
          <w:color w:val="000000" w:themeColor="text1"/>
        </w:rPr>
        <w:t xml:space="preserve">По предварительным данным объём платных услуг за </w:t>
      </w:r>
      <w:r w:rsidR="008D6B21" w:rsidRPr="00BB556C">
        <w:rPr>
          <w:color w:val="000000" w:themeColor="text1"/>
        </w:rPr>
        <w:t>9 месяцев</w:t>
      </w:r>
      <w:r w:rsidRPr="00BB556C">
        <w:rPr>
          <w:color w:val="000000" w:themeColor="text1"/>
        </w:rPr>
        <w:t xml:space="preserve"> 2016 года, оказанных населению городского округа город Мегион составил </w:t>
      </w:r>
      <w:r w:rsidR="008D6B21" w:rsidRPr="00BB556C">
        <w:rPr>
          <w:color w:val="000000" w:themeColor="text1"/>
        </w:rPr>
        <w:t>2</w:t>
      </w:r>
      <w:r w:rsidR="00090CA4">
        <w:rPr>
          <w:color w:val="000000" w:themeColor="text1"/>
        </w:rPr>
        <w:t> 386,2</w:t>
      </w:r>
      <w:r w:rsidRPr="00BB556C">
        <w:rPr>
          <w:color w:val="000000" w:themeColor="text1"/>
        </w:rPr>
        <w:t xml:space="preserve"> млн.рублей, или </w:t>
      </w:r>
      <w:r w:rsidR="00090CA4">
        <w:rPr>
          <w:color w:val="000000" w:themeColor="text1"/>
        </w:rPr>
        <w:t>100,8</w:t>
      </w:r>
      <w:r w:rsidRPr="00BB556C">
        <w:rPr>
          <w:color w:val="000000" w:themeColor="text1"/>
        </w:rPr>
        <w:t>% в сопоставимых ценах к аналогичному периоду 2015 года. Более 50% объёма платных услуг в январе-</w:t>
      </w:r>
      <w:r w:rsidR="008D6B21" w:rsidRPr="00BB556C">
        <w:rPr>
          <w:color w:val="000000" w:themeColor="text1"/>
        </w:rPr>
        <w:t>сентябре</w:t>
      </w:r>
      <w:r w:rsidRPr="00BB556C">
        <w:rPr>
          <w:color w:val="000000" w:themeColor="text1"/>
        </w:rPr>
        <w:t xml:space="preserve"> 2016 года формировался крупными и средними организациями.</w:t>
      </w:r>
    </w:p>
    <w:p w:rsidR="002B0EAB" w:rsidRPr="00BB556C" w:rsidRDefault="002B0EAB" w:rsidP="002B0EAB">
      <w:pPr>
        <w:pStyle w:val="ab"/>
        <w:spacing w:before="0" w:beforeAutospacing="0" w:after="0" w:afterAutospacing="0"/>
        <w:ind w:firstLine="720"/>
        <w:rPr>
          <w:color w:val="000000" w:themeColor="text1"/>
        </w:rPr>
      </w:pPr>
      <w:r w:rsidRPr="00BB556C">
        <w:rPr>
          <w:color w:val="000000" w:themeColor="text1"/>
        </w:rPr>
        <w:t>Структура платных услуг населению в отчётном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2B0EAB" w:rsidRPr="00BB556C" w:rsidRDefault="002B0EAB" w:rsidP="002B0EAB">
      <w:pPr>
        <w:ind w:firstLine="720"/>
        <w:rPr>
          <w:color w:val="000000" w:themeColor="text1"/>
        </w:rPr>
      </w:pPr>
      <w:r w:rsidRPr="00BB556C">
        <w:rPr>
          <w:color w:val="000000" w:themeColor="text1"/>
        </w:rPr>
        <w:t xml:space="preserve">Каждому жителю города за отчётный период было оказано платных услуг в среднем на </w:t>
      </w:r>
      <w:r w:rsidR="00090CA4">
        <w:rPr>
          <w:color w:val="000000" w:themeColor="text1"/>
        </w:rPr>
        <w:t>42823</w:t>
      </w:r>
      <w:r w:rsidRPr="00BB556C">
        <w:rPr>
          <w:color w:val="000000" w:themeColor="text1"/>
        </w:rPr>
        <w:t xml:space="preserve"> рублей. </w:t>
      </w:r>
    </w:p>
    <w:p w:rsidR="009A0515" w:rsidRPr="00BB556C" w:rsidRDefault="002B0EAB" w:rsidP="002B0EAB">
      <w:pPr>
        <w:ind w:firstLine="720"/>
        <w:rPr>
          <w:color w:val="000000" w:themeColor="text1"/>
        </w:rPr>
      </w:pPr>
      <w:r w:rsidRPr="00BB556C">
        <w:rPr>
          <w:color w:val="000000" w:themeColor="text1"/>
        </w:rPr>
        <w:t>Сохраняется спрос на бытов</w:t>
      </w:r>
      <w:r w:rsidR="008D6B21" w:rsidRPr="00BB556C">
        <w:rPr>
          <w:color w:val="000000" w:themeColor="text1"/>
        </w:rPr>
        <w:t>ые услуги. По состоянию на 01.10</w:t>
      </w:r>
      <w:r w:rsidRPr="00BB556C">
        <w:rPr>
          <w:color w:val="000000" w:themeColor="text1"/>
        </w:rPr>
        <w:t xml:space="preserve">.2016 бытовые услуги на территории городского округа город Мегион оказывали </w:t>
      </w:r>
      <w:r w:rsidR="008D6B21" w:rsidRPr="00BB556C">
        <w:rPr>
          <w:color w:val="000000" w:themeColor="text1"/>
        </w:rPr>
        <w:t>137</w:t>
      </w:r>
      <w:r w:rsidRPr="00BB556C">
        <w:rPr>
          <w:color w:val="000000" w:themeColor="text1"/>
        </w:rPr>
        <w:t xml:space="preserve"> предприятий (без учета станций технического обслуживания). Индивидуальные предприниматели доминируют на рынке бытовых услуг. </w:t>
      </w:r>
    </w:p>
    <w:p w:rsidR="002B0EAB" w:rsidRPr="00BB556C" w:rsidRDefault="002B0EAB" w:rsidP="002B0EAB">
      <w:pPr>
        <w:ind w:firstLine="720"/>
        <w:rPr>
          <w:color w:val="000000" w:themeColor="text1"/>
        </w:rPr>
      </w:pPr>
      <w:r w:rsidRPr="00BB556C">
        <w:rPr>
          <w:color w:val="000000" w:themeColor="text1"/>
        </w:rPr>
        <w:t>Об</w:t>
      </w:r>
      <w:r w:rsidR="008D6B21" w:rsidRPr="00BB556C">
        <w:rPr>
          <w:color w:val="000000" w:themeColor="text1"/>
        </w:rPr>
        <w:t>ъём бытовых услуг за январь-сентябрь</w:t>
      </w:r>
      <w:r w:rsidRPr="00BB556C">
        <w:rPr>
          <w:color w:val="000000" w:themeColor="text1"/>
        </w:rPr>
        <w:t xml:space="preserve"> 2016 года составил </w:t>
      </w:r>
      <w:r w:rsidR="00090CA4">
        <w:rPr>
          <w:color w:val="000000" w:themeColor="text1"/>
        </w:rPr>
        <w:t xml:space="preserve">180,2 </w:t>
      </w:r>
      <w:r w:rsidRPr="00BB556C">
        <w:rPr>
          <w:color w:val="000000" w:themeColor="text1"/>
        </w:rPr>
        <w:t xml:space="preserve">млн.рублей, что в сопоставимых ценах на </w:t>
      </w:r>
      <w:r w:rsidR="00090CA4">
        <w:rPr>
          <w:color w:val="000000" w:themeColor="text1"/>
        </w:rPr>
        <w:t>14,2</w:t>
      </w:r>
      <w:r w:rsidRPr="00BB556C">
        <w:rPr>
          <w:color w:val="000000" w:themeColor="text1"/>
        </w:rPr>
        <w:t xml:space="preserve">% </w:t>
      </w:r>
      <w:r w:rsidR="008D6B21" w:rsidRPr="00BB556C">
        <w:rPr>
          <w:color w:val="000000" w:themeColor="text1"/>
        </w:rPr>
        <w:t>ниже</w:t>
      </w:r>
      <w:r w:rsidRPr="00BB556C">
        <w:rPr>
          <w:color w:val="000000" w:themeColor="text1"/>
        </w:rPr>
        <w:t xml:space="preserve"> уровня аналогичного периода 2015 года.  В расчёте на одного жителя города объём бытовых услуг за отчетный период составил </w:t>
      </w:r>
      <w:r w:rsidR="00090CA4">
        <w:rPr>
          <w:color w:val="000000" w:themeColor="text1"/>
        </w:rPr>
        <w:t>3234</w:t>
      </w:r>
      <w:r w:rsidRPr="00BB556C">
        <w:rPr>
          <w:color w:val="000000" w:themeColor="text1"/>
        </w:rPr>
        <w:t xml:space="preserve"> рубля.</w:t>
      </w:r>
    </w:p>
    <w:p w:rsidR="002B0EAB" w:rsidRPr="00BB556C" w:rsidRDefault="002B0EAB" w:rsidP="002B0EAB">
      <w:pPr>
        <w:ind w:firstLine="720"/>
        <w:rPr>
          <w:color w:val="000000" w:themeColor="text1"/>
        </w:rPr>
      </w:pPr>
      <w:r w:rsidRPr="00BB556C">
        <w:rPr>
          <w:color w:val="000000" w:themeColor="text1"/>
        </w:rPr>
        <w:t xml:space="preserve">Из общего объёма бытовых услуг наибольшим спросом пользуются услуги парикмахерских, фотоателье, пошив и изготовление одежды. </w:t>
      </w:r>
    </w:p>
    <w:p w:rsidR="002B0EAB" w:rsidRPr="00BB556C" w:rsidRDefault="002B0EAB" w:rsidP="002B0EAB">
      <w:pPr>
        <w:ind w:firstLine="720"/>
        <w:rPr>
          <w:color w:val="000000" w:themeColor="text1"/>
        </w:rPr>
      </w:pPr>
      <w:r w:rsidRPr="00BB556C">
        <w:rPr>
          <w:color w:val="000000" w:themeColor="text1"/>
        </w:rPr>
        <w:t>Наиболее неразвитыми остаются виды бытовых услуг: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2B0EAB" w:rsidRPr="00BB556C" w:rsidRDefault="002B0EAB" w:rsidP="002B0EAB">
      <w:pPr>
        <w:ind w:firstLine="720"/>
        <w:rPr>
          <w:rStyle w:val="apple-style-span"/>
        </w:rPr>
      </w:pPr>
      <w:r w:rsidRPr="00BB556C">
        <w:t xml:space="preserve">Основными направлениями развития потребительского рынка на 2016 год является создание условий для удовлетворения спроса населения на потребительские товары и услуги, </w:t>
      </w:r>
      <w:r w:rsidRPr="00BB556C">
        <w:rPr>
          <w:rStyle w:val="apple-style-span"/>
        </w:rPr>
        <w:t>совершенствование инфраструктуры потребительского рынка, обеспечение доступа к товарам и услугам всех социальных групп населения городского округа город Мегион.</w:t>
      </w:r>
    </w:p>
    <w:p w:rsidR="002B0EAB" w:rsidRPr="00BB556C" w:rsidRDefault="002B0EAB" w:rsidP="002B0EAB">
      <w:pPr>
        <w:ind w:firstLine="720"/>
        <w:rPr>
          <w:rStyle w:val="apple-style-span"/>
        </w:rPr>
      </w:pPr>
    </w:p>
    <w:p w:rsidR="002B0EAB" w:rsidRPr="00BB556C" w:rsidRDefault="002B0EAB" w:rsidP="002B0EAB">
      <w:pPr>
        <w:pStyle w:val="a3"/>
        <w:spacing w:after="0"/>
        <w:ind w:left="0"/>
        <w:rPr>
          <w:color w:val="000000" w:themeColor="text1"/>
        </w:rPr>
      </w:pPr>
      <w:r w:rsidRPr="00BB556C">
        <w:rPr>
          <w:color w:val="000000" w:themeColor="text1"/>
        </w:rPr>
        <w:t>МАЛОЕ ПРЕДПРИНИМАТЕЛЬСТВО</w:t>
      </w:r>
    </w:p>
    <w:p w:rsidR="002B0EAB" w:rsidRPr="00BB556C" w:rsidRDefault="002B0EAB" w:rsidP="002B0EAB">
      <w:pPr>
        <w:pStyle w:val="a3"/>
        <w:spacing w:after="0"/>
        <w:ind w:left="0" w:firstLine="720"/>
        <w:rPr>
          <w:color w:val="000000" w:themeColor="text1"/>
        </w:rPr>
      </w:pPr>
    </w:p>
    <w:p w:rsidR="002B0EAB" w:rsidRPr="00BB556C" w:rsidRDefault="002B0EAB" w:rsidP="002B0EAB">
      <w:pPr>
        <w:ind w:left="200" w:right="200" w:firstLine="600"/>
        <w:rPr>
          <w:color w:val="000000" w:themeColor="text1"/>
        </w:rPr>
      </w:pPr>
      <w:bookmarkStart w:id="1" w:name="top"/>
      <w:r w:rsidRPr="00BB556C">
        <w:rPr>
          <w:color w:val="000000" w:themeColor="text1"/>
        </w:rPr>
        <w:t>Малое и среднее предпринимательство является динамично развивающимся элементом рыночной экономики. Субъекты малого и среднего предпри</w:t>
      </w:r>
      <w:r w:rsidRPr="00BB556C">
        <w:rPr>
          <w:color w:val="000000" w:themeColor="text1"/>
        </w:rPr>
        <w:softHyphen/>
        <w:t>ниматель</w:t>
      </w:r>
      <w:r w:rsidRPr="00BB556C">
        <w:rPr>
          <w:color w:val="000000" w:themeColor="text1"/>
        </w:rPr>
        <w:softHyphen/>
        <w:t>ства присутствуют практически во всех отраслях производственной и непроизводственной сфер деятельности.</w:t>
      </w:r>
    </w:p>
    <w:p w:rsidR="002B0EAB" w:rsidRPr="00BB556C" w:rsidRDefault="002B0EAB" w:rsidP="002B0EAB">
      <w:pPr>
        <w:ind w:left="200" w:right="200" w:firstLine="600"/>
        <w:rPr>
          <w:color w:val="000000" w:themeColor="text1"/>
        </w:rPr>
      </w:pPr>
      <w:r w:rsidRPr="00BB556C">
        <w:rPr>
          <w:color w:val="000000" w:themeColor="text1"/>
        </w:rPr>
        <w:lastRenderedPageBreak/>
        <w:t>Развитие малого и среднего предпри</w:t>
      </w:r>
      <w:r w:rsidRPr="00BB556C">
        <w:rPr>
          <w:color w:val="000000" w:themeColor="text1"/>
        </w:rPr>
        <w:softHyphen/>
        <w:t>ниматель</w:t>
      </w:r>
      <w:r w:rsidRPr="00BB556C">
        <w:rPr>
          <w:color w:val="000000" w:themeColor="text1"/>
        </w:rPr>
        <w:softHyphen/>
        <w:t>ства способствует повышению благосостояния граждан, созданию новых рабочих мест, увеличению доходной части бюджета.</w:t>
      </w:r>
    </w:p>
    <w:p w:rsidR="002B0EAB" w:rsidRPr="00BB556C" w:rsidRDefault="002B0EAB" w:rsidP="002B0EAB">
      <w:pPr>
        <w:pStyle w:val="ab"/>
        <w:spacing w:before="0" w:beforeAutospacing="0" w:after="0" w:afterAutospacing="0"/>
        <w:ind w:firstLine="709"/>
        <w:rPr>
          <w:color w:val="000000" w:themeColor="text1"/>
        </w:rPr>
      </w:pPr>
      <w:r w:rsidRPr="00BB556C">
        <w:rPr>
          <w:color w:val="000000" w:themeColor="text1"/>
        </w:rPr>
        <w:t xml:space="preserve">По предварительным данным </w:t>
      </w:r>
      <w:r w:rsidR="008D3C08" w:rsidRPr="00BB556C">
        <w:rPr>
          <w:color w:val="000000" w:themeColor="text1"/>
        </w:rPr>
        <w:t>по состоянию на 01.10</w:t>
      </w:r>
      <w:r w:rsidRPr="00BB556C">
        <w:rPr>
          <w:color w:val="000000" w:themeColor="text1"/>
        </w:rPr>
        <w:t xml:space="preserve">.2016 на территории городского округа город Мегион зарегистрировано </w:t>
      </w:r>
      <w:r w:rsidR="008D3C08" w:rsidRPr="00BB556C">
        <w:rPr>
          <w:color w:val="000000" w:themeColor="text1"/>
        </w:rPr>
        <w:t>526</w:t>
      </w:r>
      <w:r w:rsidR="000B688E" w:rsidRPr="00BB556C">
        <w:rPr>
          <w:color w:val="000000" w:themeColor="text1"/>
        </w:rPr>
        <w:t xml:space="preserve"> малых и средних</w:t>
      </w:r>
      <w:r w:rsidRPr="00BB556C">
        <w:rPr>
          <w:color w:val="000000" w:themeColor="text1"/>
        </w:rPr>
        <w:t xml:space="preserve"> предприятий и 2</w:t>
      </w:r>
      <w:r w:rsidR="008D3C08" w:rsidRPr="00BB556C">
        <w:rPr>
          <w:color w:val="000000" w:themeColor="text1"/>
        </w:rPr>
        <w:t>324</w:t>
      </w:r>
      <w:r w:rsidRPr="00BB556C">
        <w:rPr>
          <w:color w:val="000000" w:themeColor="text1"/>
        </w:rPr>
        <w:t xml:space="preserve"> индивидуальных предпринимателей. Из общего числа зарегистрированных субъектов малого и среднего бизнеса, постоянно осуществляют свою деятельность около 75%.</w:t>
      </w:r>
    </w:p>
    <w:p w:rsidR="002B0EAB" w:rsidRPr="00BB556C" w:rsidRDefault="002B0EAB" w:rsidP="002B0EAB">
      <w:pPr>
        <w:adjustRightInd w:val="0"/>
        <w:ind w:firstLine="720"/>
        <w:rPr>
          <w:color w:val="000000" w:themeColor="text1"/>
        </w:rPr>
      </w:pPr>
      <w:r w:rsidRPr="00BB556C">
        <w:rPr>
          <w:color w:val="000000" w:themeColor="text1"/>
        </w:rPr>
        <w:t xml:space="preserve">По оценке общая численность занятых в малом бизнесе составляет 8,1 тыс.человек, или </w:t>
      </w:r>
      <w:r w:rsidR="008D3C08" w:rsidRPr="00BB556C">
        <w:rPr>
          <w:color w:val="000000" w:themeColor="text1"/>
        </w:rPr>
        <w:t>24,2</w:t>
      </w:r>
      <w:r w:rsidRPr="00BB556C">
        <w:rPr>
          <w:color w:val="000000" w:themeColor="text1"/>
        </w:rPr>
        <w:t xml:space="preserve">% от общего числа занятых в экономике города (33502 человека). </w:t>
      </w:r>
      <w:bookmarkEnd w:id="1"/>
    </w:p>
    <w:p w:rsidR="002B0EAB" w:rsidRPr="00BB556C" w:rsidRDefault="002B0EAB" w:rsidP="002B0EAB">
      <w:pPr>
        <w:ind w:right="200" w:firstLine="709"/>
        <w:rPr>
          <w:color w:val="000000" w:themeColor="text1"/>
        </w:rPr>
      </w:pPr>
      <w:r w:rsidRPr="00BB556C">
        <w:rPr>
          <w:color w:val="000000" w:themeColor="text1"/>
        </w:rPr>
        <w:t xml:space="preserve">В целом на тысячу человек населения городского округа город Мегион приходится </w:t>
      </w:r>
      <w:r w:rsidR="008D3C08" w:rsidRPr="00BB556C">
        <w:rPr>
          <w:color w:val="000000" w:themeColor="text1"/>
        </w:rPr>
        <w:t>9,5</w:t>
      </w:r>
      <w:r w:rsidRPr="00BB556C">
        <w:rPr>
          <w:color w:val="000000" w:themeColor="text1"/>
        </w:rPr>
        <w:t xml:space="preserve"> малых и средних предприятий и </w:t>
      </w:r>
      <w:r w:rsidR="008D3C08" w:rsidRPr="00BB556C">
        <w:rPr>
          <w:color w:val="000000" w:themeColor="text1"/>
        </w:rPr>
        <w:t>41,8</w:t>
      </w:r>
      <w:r w:rsidRPr="00BB556C">
        <w:rPr>
          <w:color w:val="000000" w:themeColor="text1"/>
        </w:rPr>
        <w:t xml:space="preserve"> индивидуальных предпринимателя. </w:t>
      </w:r>
    </w:p>
    <w:p w:rsidR="002B0EAB" w:rsidRPr="00BB556C" w:rsidRDefault="002B0EAB" w:rsidP="002B0EAB">
      <w:pPr>
        <w:pStyle w:val="ab"/>
        <w:spacing w:before="0" w:beforeAutospacing="0" w:after="0" w:afterAutospacing="0"/>
        <w:ind w:firstLine="709"/>
        <w:rPr>
          <w:color w:val="000000" w:themeColor="text1"/>
        </w:rPr>
      </w:pPr>
      <w:r w:rsidRPr="00BB556C">
        <w:rPr>
          <w:color w:val="000000" w:themeColor="text1"/>
        </w:rPr>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2B0EAB" w:rsidRPr="00BB556C" w:rsidRDefault="002B0EAB" w:rsidP="002B0EAB">
      <w:pPr>
        <w:ind w:firstLine="720"/>
        <w:rPr>
          <w:color w:val="000000" w:themeColor="text1"/>
        </w:rPr>
      </w:pPr>
      <w:r w:rsidRPr="00BB556C">
        <w:rPr>
          <w:color w:val="000000" w:themeColor="text1"/>
        </w:rPr>
        <w:t>Объем налоговых поступлений в городской бюджет от субъект</w:t>
      </w:r>
      <w:r w:rsidR="008D3C08" w:rsidRPr="00BB556C">
        <w:rPr>
          <w:color w:val="000000" w:themeColor="text1"/>
        </w:rPr>
        <w:t>ов малого бизнеса за январь-сентябрь</w:t>
      </w:r>
      <w:r w:rsidRPr="00BB556C">
        <w:rPr>
          <w:color w:val="000000" w:themeColor="text1"/>
        </w:rPr>
        <w:t xml:space="preserve"> 2016 года составил </w:t>
      </w:r>
      <w:r w:rsidR="008D3C08" w:rsidRPr="00BB556C">
        <w:rPr>
          <w:color w:val="000000" w:themeColor="text1"/>
        </w:rPr>
        <w:t>104 879,4</w:t>
      </w:r>
      <w:r w:rsidRPr="00BB556C">
        <w:rPr>
          <w:color w:val="000000" w:themeColor="text1"/>
        </w:rPr>
        <w:t xml:space="preserve"> тыс.рублей, в том числе:</w:t>
      </w:r>
    </w:p>
    <w:p w:rsidR="002B0EAB" w:rsidRPr="00BB556C" w:rsidRDefault="002B0EAB" w:rsidP="002B0EAB">
      <w:pPr>
        <w:ind w:firstLine="720"/>
        <w:rPr>
          <w:rFonts w:ascii="Times New Roman CYR" w:hAnsi="Times New Roman CYR" w:cs="Times New Roman CYR"/>
          <w:color w:val="000000" w:themeColor="text1"/>
        </w:rPr>
      </w:pPr>
      <w:r w:rsidRPr="00BB556C">
        <w:rPr>
          <w:rFonts w:ascii="Times New Roman CYR" w:hAnsi="Times New Roman CYR" w:cs="Times New Roman CYR"/>
          <w:color w:val="000000" w:themeColor="text1"/>
        </w:rPr>
        <w:t xml:space="preserve">- в виде единого налога на вменённый доход – </w:t>
      </w:r>
      <w:r w:rsidR="008D3C08" w:rsidRPr="00BB556C">
        <w:rPr>
          <w:rFonts w:ascii="Times New Roman CYR" w:hAnsi="Times New Roman CYR" w:cs="Times New Roman CYR"/>
          <w:color w:val="000000" w:themeColor="text1"/>
        </w:rPr>
        <w:t>35 422,9</w:t>
      </w:r>
      <w:r w:rsidRPr="00BB556C">
        <w:rPr>
          <w:rFonts w:ascii="Times New Roman CYR" w:hAnsi="Times New Roman CYR" w:cs="Times New Roman CYR"/>
          <w:color w:val="000000" w:themeColor="text1"/>
        </w:rPr>
        <w:t xml:space="preserve"> </w:t>
      </w:r>
      <w:r w:rsidR="00E315F5" w:rsidRPr="00BB556C">
        <w:rPr>
          <w:rFonts w:ascii="Times New Roman CYR" w:hAnsi="Times New Roman CYR" w:cs="Times New Roman CYR"/>
          <w:color w:val="000000" w:themeColor="text1"/>
        </w:rPr>
        <w:t>тыс</w:t>
      </w:r>
      <w:r w:rsidRPr="00BB556C">
        <w:rPr>
          <w:rFonts w:ascii="Times New Roman CYR" w:hAnsi="Times New Roman CYR" w:cs="Times New Roman CYR"/>
          <w:color w:val="000000" w:themeColor="text1"/>
        </w:rPr>
        <w:t>.рублей;</w:t>
      </w:r>
    </w:p>
    <w:p w:rsidR="002B0EAB" w:rsidRPr="00BB556C" w:rsidRDefault="002B0EAB" w:rsidP="002B0EAB">
      <w:pPr>
        <w:ind w:firstLine="720"/>
        <w:rPr>
          <w:rFonts w:ascii="Times New Roman CYR" w:hAnsi="Times New Roman CYR" w:cs="Times New Roman CYR"/>
          <w:color w:val="000000" w:themeColor="text1"/>
        </w:rPr>
      </w:pPr>
      <w:r w:rsidRPr="00BB556C">
        <w:rPr>
          <w:rFonts w:ascii="Times New Roman CYR" w:hAnsi="Times New Roman CYR" w:cs="Times New Roman CYR"/>
          <w:color w:val="000000" w:themeColor="text1"/>
        </w:rPr>
        <w:t xml:space="preserve">- по упрощённой системе налогообложения – </w:t>
      </w:r>
      <w:r w:rsidR="008D3C08" w:rsidRPr="00BB556C">
        <w:rPr>
          <w:rFonts w:ascii="Times New Roman CYR" w:hAnsi="Times New Roman CYR" w:cs="Times New Roman CYR"/>
          <w:color w:val="000000" w:themeColor="text1"/>
        </w:rPr>
        <w:t>65 260,9</w:t>
      </w:r>
      <w:r w:rsidRPr="00BB556C">
        <w:rPr>
          <w:rFonts w:ascii="Times New Roman CYR" w:hAnsi="Times New Roman CYR" w:cs="Times New Roman CYR"/>
          <w:color w:val="000000" w:themeColor="text1"/>
        </w:rPr>
        <w:t xml:space="preserve"> </w:t>
      </w:r>
      <w:r w:rsidR="00E315F5" w:rsidRPr="00BB556C">
        <w:rPr>
          <w:rFonts w:ascii="Times New Roman CYR" w:hAnsi="Times New Roman CYR" w:cs="Times New Roman CYR"/>
          <w:color w:val="000000" w:themeColor="text1"/>
        </w:rPr>
        <w:t>тыс</w:t>
      </w:r>
      <w:r w:rsidRPr="00BB556C">
        <w:rPr>
          <w:rFonts w:ascii="Times New Roman CYR" w:hAnsi="Times New Roman CYR" w:cs="Times New Roman CYR"/>
          <w:color w:val="000000" w:themeColor="text1"/>
        </w:rPr>
        <w:t>.рублей;</w:t>
      </w:r>
    </w:p>
    <w:p w:rsidR="002B0EAB" w:rsidRPr="00BB556C" w:rsidRDefault="002B0EAB" w:rsidP="002B0EAB">
      <w:pPr>
        <w:ind w:firstLine="720"/>
        <w:rPr>
          <w:rFonts w:ascii="Times New Roman CYR" w:hAnsi="Times New Roman CYR" w:cs="Times New Roman CYR"/>
          <w:color w:val="000000" w:themeColor="text1"/>
        </w:rPr>
      </w:pPr>
      <w:r w:rsidRPr="00BB556C">
        <w:rPr>
          <w:rFonts w:ascii="Times New Roman CYR" w:hAnsi="Times New Roman CYR" w:cs="Times New Roman CYR"/>
          <w:color w:val="000000" w:themeColor="text1"/>
        </w:rPr>
        <w:t xml:space="preserve">-в виде стоимости патента в связи с применением упрощенной системы налогообложения – </w:t>
      </w:r>
      <w:r w:rsidR="008D3C08" w:rsidRPr="00BB556C">
        <w:rPr>
          <w:rFonts w:ascii="Times New Roman CYR" w:hAnsi="Times New Roman CYR" w:cs="Times New Roman CYR"/>
          <w:color w:val="000000" w:themeColor="text1"/>
        </w:rPr>
        <w:t>4 195,6</w:t>
      </w:r>
      <w:r w:rsidRPr="00BB556C">
        <w:rPr>
          <w:rFonts w:ascii="Times New Roman CYR" w:hAnsi="Times New Roman CYR" w:cs="Times New Roman CYR"/>
          <w:color w:val="000000" w:themeColor="text1"/>
        </w:rPr>
        <w:t xml:space="preserve"> тыс.рублей</w:t>
      </w:r>
    </w:p>
    <w:p w:rsidR="002B0EAB" w:rsidRPr="00BB556C" w:rsidRDefault="002B0EAB" w:rsidP="002B0EAB">
      <w:pPr>
        <w:ind w:firstLine="720"/>
        <w:rPr>
          <w:color w:val="000000" w:themeColor="text1"/>
        </w:rPr>
      </w:pPr>
      <w:r w:rsidRPr="00BB556C">
        <w:rPr>
          <w:color w:val="000000" w:themeColor="text1"/>
        </w:rPr>
        <w:t xml:space="preserve">Удельный вес налогов на совокупный доход в общем объёме поступивших налоговых доходов в бюджет городского округа город Мегион снизился с </w:t>
      </w:r>
      <w:r w:rsidR="008D3C08" w:rsidRPr="00BB556C">
        <w:rPr>
          <w:color w:val="000000" w:themeColor="text1"/>
        </w:rPr>
        <w:t>17,7% в январе-сентябре</w:t>
      </w:r>
      <w:r w:rsidRPr="00BB556C">
        <w:rPr>
          <w:color w:val="000000" w:themeColor="text1"/>
        </w:rPr>
        <w:t xml:space="preserve"> 2015 года до </w:t>
      </w:r>
      <w:r w:rsidR="008D3C08" w:rsidRPr="00BB556C">
        <w:rPr>
          <w:color w:val="000000" w:themeColor="text1"/>
        </w:rPr>
        <w:t>16,4% в январе-сентябре</w:t>
      </w:r>
      <w:r w:rsidRPr="00BB556C">
        <w:rPr>
          <w:color w:val="000000" w:themeColor="text1"/>
        </w:rPr>
        <w:t xml:space="preserve"> 2016 года.</w:t>
      </w:r>
    </w:p>
    <w:p w:rsidR="002B0EAB" w:rsidRPr="00BB556C" w:rsidRDefault="002B0EAB" w:rsidP="002B0EAB">
      <w:pPr>
        <w:pStyle w:val="ab"/>
        <w:spacing w:before="0" w:beforeAutospacing="0" w:after="0" w:afterAutospacing="0"/>
        <w:ind w:firstLine="709"/>
        <w:rPr>
          <w:color w:val="auto"/>
        </w:rPr>
      </w:pPr>
      <w:r w:rsidRPr="00BB556C">
        <w:rPr>
          <w:color w:val="auto"/>
        </w:rPr>
        <w:t>Основным источником финансирования деятельности сферы малого и среднего предпринимательства по-прежнему остаются личные сбережения предпринимателей. Привлечение заемных и кредитных ресурсов остаётся для  предпринимателей достаточно проблематичным.</w:t>
      </w:r>
    </w:p>
    <w:p w:rsidR="002B0EAB" w:rsidRPr="00BB556C" w:rsidRDefault="002B0EAB" w:rsidP="002B0EAB">
      <w:pPr>
        <w:ind w:firstLine="709"/>
      </w:pPr>
      <w:r w:rsidRPr="00BB556C">
        <w:rPr>
          <w:rStyle w:val="apple-style-span"/>
        </w:rPr>
        <w:t xml:space="preserve">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 </w:t>
      </w:r>
      <w:r w:rsidR="00E315F5" w:rsidRPr="00BB556C">
        <w:t>На территории городского округа город Мегион осуществляет деятельность представитель Фонда поддержки предпринимательства Югры.</w:t>
      </w:r>
      <w:r w:rsidRPr="00BB556C">
        <w:t xml:space="preserve"> </w:t>
      </w:r>
    </w:p>
    <w:p w:rsidR="002B0EAB" w:rsidRPr="00BB556C" w:rsidRDefault="002B0EAB" w:rsidP="002B0EAB">
      <w:pPr>
        <w:ind w:firstLine="709"/>
      </w:pPr>
      <w:r w:rsidRPr="00BB556C">
        <w:t>В течение отчетного периода органами администрации совместно с Фондом поддержки предпринимательства проводились мероприятия по повышению образовательного уровня предпринимателей, проводились консультации и семинары, субъектам малого и среднего бизнеса предоставлялись целевые займы на льготных условиях, а также выдача поручительств по займам и кредитам перед банками и лизинговыми компаниями.</w:t>
      </w:r>
    </w:p>
    <w:p w:rsidR="002B0EAB" w:rsidRDefault="002B0EAB" w:rsidP="002B0EAB">
      <w:pPr>
        <w:pStyle w:val="a3"/>
        <w:spacing w:after="0"/>
        <w:ind w:left="0"/>
        <w:rPr>
          <w:color w:val="FF0000"/>
        </w:rPr>
      </w:pPr>
    </w:p>
    <w:p w:rsidR="001A078E" w:rsidRPr="00BB556C" w:rsidRDefault="001A078E" w:rsidP="002B0EAB">
      <w:pPr>
        <w:pStyle w:val="a3"/>
        <w:spacing w:after="0"/>
        <w:ind w:left="0"/>
        <w:rPr>
          <w:color w:val="FF0000"/>
        </w:rPr>
      </w:pPr>
    </w:p>
    <w:p w:rsidR="00F47DF1" w:rsidRPr="00BB556C" w:rsidRDefault="00F47DF1" w:rsidP="00F47DF1">
      <w:r w:rsidRPr="00BB556C">
        <w:t xml:space="preserve">ТРУД, ЗАНЯТОСТЬ, ОПЛАТА ТРУДА </w:t>
      </w:r>
    </w:p>
    <w:p w:rsidR="00F47DF1" w:rsidRPr="00BB556C" w:rsidRDefault="00F47DF1" w:rsidP="00F47DF1">
      <w:pPr>
        <w:ind w:firstLine="709"/>
        <w:jc w:val="center"/>
      </w:pPr>
    </w:p>
    <w:p w:rsidR="00F47DF1" w:rsidRPr="00BB556C" w:rsidRDefault="00F47DF1" w:rsidP="00F47DF1">
      <w:pPr>
        <w:ind w:firstLine="709"/>
      </w:pPr>
      <w:r w:rsidRPr="00BB556C">
        <w:t>Численность населения городского округа город Мегион в экономически активном возрасте составляет 39274 человека или же 70,7% от общей численности населения. Из них 33502 человека (85,3%) заняты на рынке труда городского округа.</w:t>
      </w:r>
    </w:p>
    <w:p w:rsidR="00F47DF1" w:rsidRPr="00BB556C" w:rsidRDefault="00F47DF1" w:rsidP="00F47DF1">
      <w:pPr>
        <w:ind w:firstLine="709"/>
        <w:jc w:val="center"/>
      </w:pPr>
    </w:p>
    <w:p w:rsidR="00F47DF1" w:rsidRPr="00BB556C" w:rsidRDefault="00F47DF1" w:rsidP="00F47DF1">
      <w:pPr>
        <w:ind w:firstLine="709"/>
        <w:jc w:val="center"/>
      </w:pPr>
      <w:r w:rsidRPr="00BB556C">
        <w:t>Показатели занятости населения за январь-сентябрь 2015-2016 годов</w:t>
      </w:r>
    </w:p>
    <w:p w:rsidR="00F47DF1" w:rsidRPr="00BB556C" w:rsidRDefault="00F47DF1" w:rsidP="00F47DF1">
      <w:pPr>
        <w:ind w:firstLine="709"/>
        <w:jc w:val="right"/>
        <w:rPr>
          <w:sz w:val="16"/>
          <w:szCs w:val="16"/>
        </w:rPr>
      </w:pPr>
      <w:r w:rsidRPr="00BB556C">
        <w:rPr>
          <w:sz w:val="16"/>
          <w:szCs w:val="16"/>
        </w:rPr>
        <w:t>человек</w:t>
      </w:r>
    </w:p>
    <w:tbl>
      <w:tblPr>
        <w:tblW w:w="9654" w:type="dxa"/>
        <w:tblInd w:w="108" w:type="dxa"/>
        <w:tblLayout w:type="fixed"/>
        <w:tblLook w:val="01E0" w:firstRow="1" w:lastRow="1" w:firstColumn="1" w:lastColumn="1" w:noHBand="0" w:noVBand="0"/>
      </w:tblPr>
      <w:tblGrid>
        <w:gridCol w:w="5529"/>
        <w:gridCol w:w="1630"/>
        <w:gridCol w:w="1630"/>
        <w:gridCol w:w="865"/>
      </w:tblGrid>
      <w:tr w:rsidR="00F47DF1" w:rsidRPr="00BB556C" w:rsidTr="001A078E">
        <w:trPr>
          <w:trHeight w:val="187"/>
          <w:tblHeader/>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jc w:val="center"/>
              <w:rPr>
                <w:sz w:val="20"/>
                <w:szCs w:val="20"/>
              </w:rPr>
            </w:pPr>
            <w:r w:rsidRPr="00BB556C">
              <w:rPr>
                <w:sz w:val="20"/>
                <w:szCs w:val="20"/>
              </w:rPr>
              <w:t>Показатели</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Январь-сентябрь  2015 года</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Январь-сентябрь  2016 года</w:t>
            </w:r>
          </w:p>
        </w:tc>
        <w:tc>
          <w:tcPr>
            <w:tcW w:w="865"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jc w:val="center"/>
              <w:rPr>
                <w:sz w:val="20"/>
                <w:szCs w:val="20"/>
              </w:rPr>
            </w:pPr>
            <w:r w:rsidRPr="00BB556C">
              <w:rPr>
                <w:sz w:val="20"/>
                <w:szCs w:val="20"/>
              </w:rPr>
              <w:t>%</w:t>
            </w:r>
          </w:p>
        </w:tc>
      </w:tr>
      <w:tr w:rsidR="00F47DF1" w:rsidRPr="00BB556C" w:rsidTr="001A078E">
        <w:trPr>
          <w:trHeight w:val="84"/>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Численность экономически активного населения</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pPr>
            <w:r w:rsidRPr="00BB556C">
              <w:t>39 704</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pPr>
            <w:r w:rsidRPr="00BB556C">
              <w:t>39274</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30"/>
              <w:jc w:val="center"/>
            </w:pPr>
            <w:r w:rsidRPr="00BB556C">
              <w:t>98,9</w:t>
            </w:r>
          </w:p>
        </w:tc>
      </w:tr>
      <w:tr w:rsidR="00F47DF1" w:rsidRPr="00BB556C" w:rsidTr="001A078E">
        <w:trPr>
          <w:trHeight w:val="89"/>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lastRenderedPageBreak/>
              <w:t>Численность занятого в экономике населения</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33 958</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33502</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98,7</w:t>
            </w:r>
          </w:p>
        </w:tc>
      </w:tr>
      <w:tr w:rsidR="00F47DF1" w:rsidRPr="00BB556C" w:rsidTr="001A078E">
        <w:trPr>
          <w:trHeight w:val="8"/>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ind w:firstLine="120"/>
              <w:rPr>
                <w:sz w:val="20"/>
                <w:szCs w:val="20"/>
              </w:rPr>
            </w:pPr>
            <w:r w:rsidRPr="00BB556C">
              <w:rPr>
                <w:sz w:val="20"/>
                <w:szCs w:val="20"/>
              </w:rPr>
              <w:t>из них:</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rPr>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rPr>
                <w:sz w:val="20"/>
                <w:szCs w:val="20"/>
              </w:rPr>
            </w:pPr>
          </w:p>
        </w:tc>
      </w:tr>
      <w:tr w:rsidR="00F47DF1" w:rsidRPr="00BB556C" w:rsidTr="001A078E">
        <w:trPr>
          <w:trHeight w:val="154"/>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численность занятых на крупных и средних предприятиях по данным отдела Госстатистики</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20442</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19682</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96,3</w:t>
            </w:r>
          </w:p>
        </w:tc>
      </w:tr>
      <w:tr w:rsidR="00F47DF1" w:rsidRPr="00BB556C" w:rsidTr="001A078E">
        <w:trPr>
          <w:trHeight w:val="81"/>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численность занятых в малых и микропредприятиях</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4899</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4912</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100,3</w:t>
            </w:r>
          </w:p>
        </w:tc>
      </w:tr>
      <w:tr w:rsidR="00F47DF1" w:rsidRPr="00BB556C" w:rsidTr="001A078E">
        <w:trPr>
          <w:trHeight w:val="159"/>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численность занятых индивидуальным предпринимательством</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2170</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2307</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106,3</w:t>
            </w:r>
          </w:p>
        </w:tc>
      </w:tr>
      <w:tr w:rsidR="00F47DF1" w:rsidRPr="00BB556C" w:rsidTr="001A078E">
        <w:trPr>
          <w:trHeight w:val="165"/>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численность наёмных работников индивидуальных предпринимателей</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890</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902</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101,4</w:t>
            </w:r>
          </w:p>
        </w:tc>
      </w:tr>
      <w:tr w:rsidR="00F47DF1" w:rsidRPr="00BB556C" w:rsidTr="001A078E">
        <w:trPr>
          <w:trHeight w:val="165"/>
        </w:trPr>
        <w:tc>
          <w:tcPr>
            <w:tcW w:w="5529"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r w:rsidRPr="00BB556C">
              <w:t>неучтённый сектор</w:t>
            </w:r>
          </w:p>
          <w:p w:rsidR="00F47DF1" w:rsidRPr="00BB556C" w:rsidRDefault="00F47DF1" w:rsidP="00B80128">
            <w:r w:rsidRPr="00BB556C">
              <w:rPr>
                <w:sz w:val="20"/>
                <w:szCs w:val="20"/>
              </w:rPr>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 других городах вахтовым методом; скрытая занятость и т.д.)</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5557</w:t>
            </w:r>
          </w:p>
        </w:tc>
        <w:tc>
          <w:tcPr>
            <w:tcW w:w="1630"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5699</w:t>
            </w:r>
          </w:p>
        </w:tc>
        <w:tc>
          <w:tcPr>
            <w:tcW w:w="865"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ind w:hanging="24"/>
              <w:jc w:val="center"/>
            </w:pPr>
            <w:r w:rsidRPr="00BB556C">
              <w:t>102,6</w:t>
            </w:r>
          </w:p>
        </w:tc>
      </w:tr>
    </w:tbl>
    <w:p w:rsidR="00F47DF1" w:rsidRPr="00BB556C" w:rsidRDefault="00F47DF1" w:rsidP="00F47DF1">
      <w:pPr>
        <w:ind w:firstLine="709"/>
        <w:jc w:val="center"/>
        <w:rPr>
          <w:color w:val="FF0000"/>
        </w:rPr>
      </w:pPr>
    </w:p>
    <w:p w:rsidR="005E7AF6" w:rsidRPr="00BB556C" w:rsidRDefault="00996B08" w:rsidP="00F47DF1">
      <w:pPr>
        <w:ind w:firstLine="709"/>
      </w:pPr>
      <w:r w:rsidRPr="00BB556C">
        <w:t xml:space="preserve">Численность экономически активного населения, соответственно и численность занятого в экономике населения, постепенно снижаются на фоне </w:t>
      </w:r>
      <w:r w:rsidR="00144114" w:rsidRPr="00BB556C">
        <w:t>уменьшения</w:t>
      </w:r>
      <w:r w:rsidRPr="00BB556C">
        <w:t xml:space="preserve"> общей </w:t>
      </w:r>
      <w:r w:rsidR="005E7AF6" w:rsidRPr="00BB556C">
        <w:t>численности населения.</w:t>
      </w:r>
    </w:p>
    <w:p w:rsidR="00F47DF1" w:rsidRPr="00BB556C" w:rsidRDefault="00F47DF1" w:rsidP="00F47DF1">
      <w:pPr>
        <w:ind w:firstLine="709"/>
      </w:pPr>
      <w:r w:rsidRPr="00BB556C">
        <w:t>Наиболее значимы</w:t>
      </w:r>
      <w:r w:rsidR="005E7AF6" w:rsidRPr="00BB556C">
        <w:t>е</w:t>
      </w:r>
      <w:r w:rsidRPr="00BB556C">
        <w:t xml:space="preserve"> </w:t>
      </w:r>
      <w:r w:rsidR="0057433B" w:rsidRPr="00BB556C">
        <w:t xml:space="preserve">изменения </w:t>
      </w:r>
      <w:r w:rsidR="00144114" w:rsidRPr="00BB556C">
        <w:t xml:space="preserve">численности </w:t>
      </w:r>
      <w:r w:rsidR="005E7AF6" w:rsidRPr="00BB556C">
        <w:t>произошли в следующих сферах:</w:t>
      </w:r>
    </w:p>
    <w:p w:rsidR="00F47DF1" w:rsidRPr="00BB556C" w:rsidRDefault="00F47DF1" w:rsidP="00F47DF1">
      <w:pPr>
        <w:ind w:left="142" w:firstLine="566"/>
      </w:pPr>
      <w:r w:rsidRPr="00BB556C">
        <w:t xml:space="preserve">на 6,3% </w:t>
      </w:r>
      <w:r w:rsidR="001764B6" w:rsidRPr="00BB556C">
        <w:t>выросло число</w:t>
      </w:r>
      <w:r w:rsidRPr="00BB556C">
        <w:t xml:space="preserve"> занятых индивидуальным предпринимательством, что носит закономерный характер, так как данный сектор экономики является более гибким;</w:t>
      </w:r>
    </w:p>
    <w:p w:rsidR="00F47DF1" w:rsidRPr="00BB556C" w:rsidRDefault="00F47DF1" w:rsidP="00F47DF1">
      <w:pPr>
        <w:ind w:firstLine="709"/>
      </w:pPr>
      <w:r w:rsidRPr="00BB556C">
        <w:t xml:space="preserve">на 3,7% </w:t>
      </w:r>
      <w:r w:rsidR="001764B6" w:rsidRPr="00BB556C">
        <w:t xml:space="preserve">снизилась </w:t>
      </w:r>
      <w:r w:rsidRPr="00BB556C">
        <w:t>численност</w:t>
      </w:r>
      <w:r w:rsidR="001764B6" w:rsidRPr="00BB556C">
        <w:t>ь</w:t>
      </w:r>
      <w:r w:rsidRPr="00BB556C">
        <w:t xml:space="preserve"> работников</w:t>
      </w:r>
      <w:r w:rsidR="00144114" w:rsidRPr="00BB556C">
        <w:t xml:space="preserve"> крупных и средних предприятий в связи с переходом на статистический у</w:t>
      </w:r>
      <w:r w:rsidRPr="00BB556C">
        <w:t xml:space="preserve">чёт </w:t>
      </w:r>
      <w:r w:rsidR="00144114" w:rsidRPr="00BB556C">
        <w:t>на другие территории</w:t>
      </w:r>
      <w:r w:rsidRPr="00BB556C">
        <w:t xml:space="preserve">. </w:t>
      </w:r>
    </w:p>
    <w:p w:rsidR="00F47DF1" w:rsidRPr="00BB556C" w:rsidRDefault="00F47DF1" w:rsidP="00F47DF1">
      <w:pPr>
        <w:tabs>
          <w:tab w:val="left" w:pos="2856"/>
        </w:tabs>
        <w:ind w:firstLine="709"/>
      </w:pPr>
      <w:r w:rsidRPr="00BB556C">
        <w:t xml:space="preserve">Ощутимых изменений до конца текущего года в сфере занятости населения, как в целом, так и по отраслевым признакам, не произойдет, так как за счёт собственных ресурсов пополнение будет незначительное по причине снижения численности населения трудоспособного возраста, равно как и по миграционному сальдо, который имеет отрицательный знак. </w:t>
      </w:r>
    </w:p>
    <w:p w:rsidR="00F47DF1" w:rsidRPr="00BB556C" w:rsidRDefault="00F47DF1" w:rsidP="00F47DF1">
      <w:pPr>
        <w:tabs>
          <w:tab w:val="left" w:pos="2856"/>
        </w:tabs>
        <w:ind w:firstLine="709"/>
      </w:pPr>
      <w:r w:rsidRPr="00BB556C">
        <w:t>Незначительное изменение численности работающих  может произойти в сфере малого предпринимательства, как наиболее подверженной к изменениям отрасли, и в численности работников крупных и средних предприятий в рамках ротации кадров.</w:t>
      </w:r>
    </w:p>
    <w:p w:rsidR="00F47DF1" w:rsidRPr="00BB556C" w:rsidRDefault="00F47DF1" w:rsidP="00F47DF1">
      <w:pPr>
        <w:tabs>
          <w:tab w:val="left" w:pos="2856"/>
        </w:tabs>
        <w:ind w:firstLine="709"/>
        <w:rPr>
          <w:color w:val="FF0000"/>
        </w:rPr>
      </w:pPr>
    </w:p>
    <w:p w:rsidR="00F47DF1" w:rsidRPr="00BB556C" w:rsidRDefault="00F47DF1" w:rsidP="00F47DF1">
      <w:pPr>
        <w:tabs>
          <w:tab w:val="left" w:pos="2856"/>
        </w:tabs>
        <w:ind w:firstLine="709"/>
      </w:pPr>
      <w:r w:rsidRPr="00BB556C">
        <w:t>Безработица</w:t>
      </w:r>
    </w:p>
    <w:p w:rsidR="00F47DF1" w:rsidRPr="00BB556C" w:rsidRDefault="00F47DF1" w:rsidP="00F47DF1">
      <w:pPr>
        <w:rPr>
          <w:sz w:val="20"/>
          <w:szCs w:val="20"/>
        </w:rPr>
      </w:pPr>
      <w:r w:rsidRPr="00BB556C">
        <w:rPr>
          <w:sz w:val="20"/>
          <w:szCs w:val="20"/>
        </w:rPr>
        <w:tab/>
      </w:r>
    </w:p>
    <w:p w:rsidR="00F47DF1" w:rsidRPr="00BB556C" w:rsidRDefault="00F47DF1" w:rsidP="00F47DF1">
      <w:pPr>
        <w:ind w:firstLine="708"/>
      </w:pPr>
      <w:r w:rsidRPr="00BB556C">
        <w:t>По состоянию на 01.10.2016 численность официально признанных безработными граждан составляет 148 человек против 150 на 01.10.2015. Показатель снизился на 1,3%.</w:t>
      </w:r>
    </w:p>
    <w:p w:rsidR="00F47DF1" w:rsidRPr="00BB556C" w:rsidRDefault="00F47DF1" w:rsidP="00F47DF1">
      <w:pPr>
        <w:tabs>
          <w:tab w:val="left" w:pos="2856"/>
        </w:tabs>
        <w:ind w:firstLine="709"/>
        <w:rPr>
          <w:rFonts w:eastAsia="Calibri"/>
        </w:rPr>
      </w:pPr>
      <w:r w:rsidRPr="00BB556C">
        <w:rPr>
          <w:rFonts w:eastAsia="Calibri"/>
        </w:rPr>
        <w:t>Уровень зарегистрированной безработицы на 01.10.2016 составляет 0,38%.</w:t>
      </w:r>
    </w:p>
    <w:p w:rsidR="00F47DF1" w:rsidRPr="00BB556C" w:rsidRDefault="00F47DF1" w:rsidP="00F47DF1">
      <w:pPr>
        <w:autoSpaceDE w:val="0"/>
        <w:autoSpaceDN w:val="0"/>
        <w:adjustRightInd w:val="0"/>
        <w:ind w:firstLine="709"/>
      </w:pPr>
      <w:r w:rsidRPr="00BB556C">
        <w:t>В  целях снижения уровня безработицы и организации занятости населения на территории городского округа город Мегион реализуется программа «Содействие занятости населения в Ханты-Мансийском автономном округе – Югре на 2014-2020 годы». В рамках мероприятий данной программы:</w:t>
      </w:r>
    </w:p>
    <w:p w:rsidR="00F47DF1" w:rsidRPr="00BB556C" w:rsidRDefault="00F47DF1" w:rsidP="00F47DF1">
      <w:pPr>
        <w:autoSpaceDE w:val="0"/>
        <w:autoSpaceDN w:val="0"/>
        <w:adjustRightInd w:val="0"/>
        <w:ind w:firstLine="709"/>
      </w:pPr>
      <w:r w:rsidRPr="00BB556C">
        <w:t>направлены на выполнение общественных работ 75 человек;</w:t>
      </w:r>
    </w:p>
    <w:p w:rsidR="00F47DF1" w:rsidRPr="00BB556C" w:rsidRDefault="00F47DF1" w:rsidP="00F47DF1">
      <w:pPr>
        <w:autoSpaceDE w:val="0"/>
        <w:autoSpaceDN w:val="0"/>
        <w:adjustRightInd w:val="0"/>
        <w:ind w:firstLine="709"/>
      </w:pPr>
      <w:r w:rsidRPr="00BB556C">
        <w:t>временно трудоустроены 4 человека предпенсионного и пенсионного возраста  ;</w:t>
      </w:r>
    </w:p>
    <w:p w:rsidR="00F47DF1" w:rsidRPr="00BB556C" w:rsidRDefault="00F47DF1" w:rsidP="00F47DF1">
      <w:pPr>
        <w:ind w:firstLine="709"/>
      </w:pPr>
      <w:r w:rsidRPr="00BB556C">
        <w:t>трудоустроены временно 24 выпускника образовательных учреждений;</w:t>
      </w:r>
    </w:p>
    <w:p w:rsidR="00F47DF1" w:rsidRPr="00BB556C" w:rsidRDefault="00F47DF1" w:rsidP="00F47DF1">
      <w:pPr>
        <w:ind w:firstLine="708"/>
      </w:pPr>
      <w:r w:rsidRPr="00BB556C">
        <w:t>временно трудоустроены 9 человек из числа испытывающих трудности в поиске работ;</w:t>
      </w:r>
    </w:p>
    <w:p w:rsidR="00F47DF1" w:rsidRPr="00BB556C" w:rsidRDefault="00F47DF1" w:rsidP="00F47DF1">
      <w:pPr>
        <w:ind w:firstLine="709"/>
      </w:pPr>
      <w:r w:rsidRPr="00BB556C">
        <w:t>временно трудоустроены</w:t>
      </w:r>
      <w:r w:rsidR="00BB556C" w:rsidRPr="00BB556C">
        <w:t xml:space="preserve"> </w:t>
      </w:r>
      <w:r w:rsidRPr="00BB556C">
        <w:t>1109 подростков;</w:t>
      </w:r>
    </w:p>
    <w:p w:rsidR="00F47DF1" w:rsidRPr="00BB556C" w:rsidRDefault="00F47DF1" w:rsidP="00F47DF1">
      <w:pPr>
        <w:ind w:firstLine="709"/>
      </w:pPr>
      <w:r w:rsidRPr="00BB556C">
        <w:lastRenderedPageBreak/>
        <w:t>трудоустроены 3 человека из числа незанятых инвалидов;</w:t>
      </w:r>
    </w:p>
    <w:p w:rsidR="00F47DF1" w:rsidRPr="00BB556C" w:rsidRDefault="00F47DF1" w:rsidP="00F47DF1">
      <w:pPr>
        <w:ind w:firstLine="709"/>
      </w:pPr>
      <w:r w:rsidRPr="00BB556C">
        <w:t>трудоустроен 1 человек, освобожденный из мест лишения свободы;</w:t>
      </w:r>
    </w:p>
    <w:p w:rsidR="00F47DF1" w:rsidRPr="00BB556C" w:rsidRDefault="00F47DF1" w:rsidP="00F47DF1">
      <w:pPr>
        <w:ind w:firstLine="709"/>
      </w:pPr>
      <w:r w:rsidRPr="00BB556C">
        <w:t>22 безработным оказано содействие в организации самозанятотсти;</w:t>
      </w:r>
    </w:p>
    <w:p w:rsidR="00F47DF1" w:rsidRPr="00BB556C" w:rsidRDefault="00F47DF1" w:rsidP="00F47DF1">
      <w:pPr>
        <w:ind w:firstLine="709"/>
      </w:pPr>
      <w:r w:rsidRPr="00BB556C">
        <w:t>9 безработным  гражданам оказана помощь в организации дополнительных рабочих мест для трудоустройства граждан так же из числа безработных;</w:t>
      </w:r>
    </w:p>
    <w:p w:rsidR="00F47DF1" w:rsidRPr="00BB556C" w:rsidRDefault="00F47DF1" w:rsidP="00F47DF1">
      <w:pPr>
        <w:ind w:firstLine="709"/>
      </w:pPr>
      <w:r w:rsidRPr="00BB556C">
        <w:t xml:space="preserve"> По данным территориального органа Федеральной службы государственной статистики по Ханты-Мансийскому автономному округу - Югре официально зарегистрированной просроченной задолженности по заработной плате по состоянию на 01.10.2016  крупные и средние предприятия городского округа не имеют.</w:t>
      </w:r>
    </w:p>
    <w:p w:rsidR="00F47DF1" w:rsidRPr="00BB556C" w:rsidRDefault="00F47DF1" w:rsidP="00F47DF1">
      <w:pPr>
        <w:ind w:firstLine="709"/>
        <w:rPr>
          <w:color w:val="FF0000"/>
        </w:rPr>
      </w:pPr>
      <w:r w:rsidRPr="00BB556C">
        <w:t xml:space="preserve">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01.10.2016 задолженности по заработной плате не выявлено.         </w:t>
      </w:r>
    </w:p>
    <w:p w:rsidR="00F47DF1" w:rsidRPr="00BB556C" w:rsidRDefault="00F47DF1" w:rsidP="00F47DF1">
      <w:pPr>
        <w:ind w:firstLine="708"/>
      </w:pPr>
    </w:p>
    <w:p w:rsidR="00F47DF1" w:rsidRPr="00BB556C" w:rsidRDefault="00F47DF1" w:rsidP="00F47DF1">
      <w:pPr>
        <w:ind w:firstLine="708"/>
      </w:pPr>
      <w:r w:rsidRPr="00BB556C">
        <w:t>Оплата труда</w:t>
      </w:r>
    </w:p>
    <w:p w:rsidR="00F47DF1" w:rsidRPr="00BB556C" w:rsidRDefault="00F47DF1" w:rsidP="00F47DF1">
      <w:pPr>
        <w:ind w:firstLine="708"/>
      </w:pPr>
    </w:p>
    <w:p w:rsidR="00F47DF1" w:rsidRPr="00BB556C" w:rsidRDefault="00F47DF1" w:rsidP="00F47DF1">
      <w:pPr>
        <w:ind w:firstLine="708"/>
      </w:pPr>
      <w:r w:rsidRPr="00BB556C">
        <w:t xml:space="preserve">Уровень среднемесячной заработной платы работников крупных и средних предприятий имеет тенденцию к приросту и за январь-сентябрь 2016 года, увеличившись к показателю января-сентября 2015 года на 8,2%, составил 57193 рубля. </w:t>
      </w:r>
    </w:p>
    <w:p w:rsidR="00F47DF1" w:rsidRPr="00BB556C" w:rsidRDefault="00F47DF1" w:rsidP="00F47DF1">
      <w:pPr>
        <w:ind w:firstLine="708"/>
      </w:pPr>
    </w:p>
    <w:p w:rsidR="00F47DF1" w:rsidRPr="00BB556C" w:rsidRDefault="00F47DF1" w:rsidP="00F47DF1">
      <w:pPr>
        <w:ind w:firstLine="709"/>
        <w:jc w:val="center"/>
      </w:pPr>
      <w:r w:rsidRPr="00BB556C">
        <w:t>Среднемесячная поотраслевая заработная плата работников крупных и средних предприятий городского округа город Мегион за январь-сентябрь 2015-2016 годов</w:t>
      </w:r>
    </w:p>
    <w:p w:rsidR="00F47DF1" w:rsidRPr="00BB556C" w:rsidRDefault="00F47DF1" w:rsidP="00F47DF1">
      <w:pPr>
        <w:ind w:firstLine="709"/>
        <w:jc w:val="center"/>
        <w:rPr>
          <w:color w:val="FF0000"/>
        </w:rPr>
      </w:pPr>
    </w:p>
    <w:tbl>
      <w:tblPr>
        <w:tblW w:w="9534" w:type="dxa"/>
        <w:tblInd w:w="108" w:type="dxa"/>
        <w:tblLayout w:type="fixed"/>
        <w:tblLook w:val="01E0" w:firstRow="1" w:lastRow="1" w:firstColumn="1" w:lastColumn="1" w:noHBand="0" w:noVBand="0"/>
      </w:tblPr>
      <w:tblGrid>
        <w:gridCol w:w="5483"/>
        <w:gridCol w:w="1582"/>
        <w:gridCol w:w="1582"/>
        <w:gridCol w:w="887"/>
      </w:tblGrid>
      <w:tr w:rsidR="00F47DF1" w:rsidRPr="00BB556C" w:rsidTr="009A0515">
        <w:trPr>
          <w:tblHeader/>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Показатели</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 xml:space="preserve">9 месяцев </w:t>
            </w:r>
          </w:p>
          <w:p w:rsidR="00F47DF1" w:rsidRPr="00BB556C" w:rsidRDefault="00F47DF1" w:rsidP="00B80128">
            <w:pPr>
              <w:jc w:val="center"/>
              <w:rPr>
                <w:sz w:val="20"/>
                <w:szCs w:val="20"/>
              </w:rPr>
            </w:pPr>
            <w:r w:rsidRPr="00BB556C">
              <w:rPr>
                <w:sz w:val="20"/>
                <w:szCs w:val="20"/>
              </w:rPr>
              <w:t xml:space="preserve"> 2015 года</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 xml:space="preserve">9 месяцев  </w:t>
            </w:r>
          </w:p>
          <w:p w:rsidR="00F47DF1" w:rsidRPr="00BB556C" w:rsidRDefault="00F47DF1" w:rsidP="00B80128">
            <w:pPr>
              <w:jc w:val="center"/>
              <w:rPr>
                <w:sz w:val="20"/>
                <w:szCs w:val="20"/>
              </w:rPr>
            </w:pPr>
            <w:r w:rsidRPr="00BB556C">
              <w:rPr>
                <w:sz w:val="20"/>
                <w:szCs w:val="20"/>
              </w:rPr>
              <w:t>2016 года</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jc w:val="center"/>
              <w:rPr>
                <w:sz w:val="20"/>
                <w:szCs w:val="20"/>
              </w:rPr>
            </w:pPr>
            <w:r w:rsidRPr="00BB556C">
              <w:rPr>
                <w:sz w:val="20"/>
                <w:szCs w:val="20"/>
              </w:rPr>
              <w:t xml:space="preserve"> %</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 xml:space="preserve">Номинальная начисленная среднемесячная заработная плата работников крупных и средних предприятий среднесписочного состава            (по данным отдела Госстатистики), </w:t>
            </w:r>
            <w:r w:rsidRPr="00BB556C">
              <w:rPr>
                <w:sz w:val="20"/>
                <w:szCs w:val="20"/>
              </w:rPr>
              <w:t>рублей на 1 работника в месяц</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52866</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57193</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108,2</w:t>
            </w:r>
          </w:p>
        </w:tc>
      </w:tr>
      <w:tr w:rsidR="00F47DF1" w:rsidRPr="00BB556C" w:rsidTr="009A0515">
        <w:trPr>
          <w:trHeight w:val="43"/>
        </w:trPr>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rPr>
                <w:sz w:val="20"/>
                <w:szCs w:val="20"/>
              </w:rPr>
            </w:pPr>
            <w:r w:rsidRPr="00BB556C">
              <w:rPr>
                <w:sz w:val="20"/>
                <w:szCs w:val="20"/>
              </w:rPr>
              <w:t>в том числе по отраслям:</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добыча полезных ископаемых</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74459</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83479</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112,1</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обрабатывающие производства</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41658</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43563</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104,6</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производство и распределение электроэнергии, газа и воды</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51563</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51663</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100,2</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 xml:space="preserve">строительство </w:t>
            </w:r>
            <w:r w:rsidRPr="00BB556C">
              <w:tab/>
            </w:r>
            <w:r w:rsidRPr="00BB556C">
              <w:tab/>
            </w:r>
            <w:r w:rsidRPr="00BB556C">
              <w:tab/>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43284</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46945</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108,5</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торговля</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25129</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27959</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111,3</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гостиницы и рестораны</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30027</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30587</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101,9</w:t>
            </w:r>
          </w:p>
        </w:tc>
      </w:tr>
      <w:tr w:rsidR="00F47DF1" w:rsidRPr="00BB556C" w:rsidTr="009A0515">
        <w:tc>
          <w:tcPr>
            <w:tcW w:w="5483"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транспорт и связь</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37893</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42949</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113,3</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финансовая деятельность</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47728</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48916</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102,5</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операции с недвижимым имуществом, аренда и предоставление услуг</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52394</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53187</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101,5</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государственное управление и обеспечение военной безопасности, социальное страхование</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63331</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65410</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103,3</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образование</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41618</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45538</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109,4</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здравоохранение и предоставление социальных услуг</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49160</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52433</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106,7</w:t>
            </w:r>
          </w:p>
        </w:tc>
      </w:tr>
      <w:tr w:rsidR="00F47DF1" w:rsidRPr="00BB556C" w:rsidTr="009A0515">
        <w:trPr>
          <w:trHeight w:val="1"/>
        </w:trPr>
        <w:tc>
          <w:tcPr>
            <w:tcW w:w="5483"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pPr>
            <w:r w:rsidRPr="00BB556C">
              <w:t>предоставление прочих социальных, коммунальных и персональных услуг</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32343</w:t>
            </w:r>
          </w:p>
        </w:tc>
        <w:tc>
          <w:tcPr>
            <w:tcW w:w="158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33959</w:t>
            </w:r>
          </w:p>
        </w:tc>
        <w:tc>
          <w:tcPr>
            <w:tcW w:w="887"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105,0</w:t>
            </w:r>
          </w:p>
        </w:tc>
      </w:tr>
    </w:tbl>
    <w:p w:rsidR="00F47DF1" w:rsidRPr="00BB556C" w:rsidRDefault="00F47DF1" w:rsidP="00F47DF1">
      <w:pPr>
        <w:ind w:firstLine="708"/>
        <w:rPr>
          <w:color w:val="FF0000"/>
        </w:rPr>
      </w:pPr>
    </w:p>
    <w:p w:rsidR="00F47DF1" w:rsidRPr="00BB556C" w:rsidRDefault="00F47DF1" w:rsidP="00F47DF1">
      <w:pPr>
        <w:ind w:firstLine="708"/>
      </w:pPr>
      <w:r w:rsidRPr="00BB556C">
        <w:t xml:space="preserve">В целом по экономике среднемесячная заработная плата работников  учтенного круга предприятий за анализируемые периоды выросла на 8,2%, а поотраслевое изменение уровня </w:t>
      </w:r>
      <w:r w:rsidRPr="00BB556C">
        <w:lastRenderedPageBreak/>
        <w:t xml:space="preserve">заработной платы складывается в пределах 100,2-113,3%. </w:t>
      </w:r>
      <w:r w:rsidRPr="00BB556C">
        <w:rPr>
          <w:rFonts w:eastAsia="Calibri"/>
        </w:rPr>
        <w:t>Прирост уровня заработной платы</w:t>
      </w:r>
      <w:r w:rsidRPr="00BB556C">
        <w:t xml:space="preserve"> обеспечивается за счёт планомерного роста в соответствии с отраслевыми нормативными требованиями.</w:t>
      </w:r>
    </w:p>
    <w:p w:rsidR="00F47DF1" w:rsidRPr="00BB556C" w:rsidRDefault="00F47DF1" w:rsidP="00F47DF1">
      <w:pPr>
        <w:ind w:firstLine="709"/>
      </w:pPr>
      <w:r w:rsidRPr="00BB556C">
        <w:t>Уровень заработной платы в бюджетных учреждениях также прирастает и за анализируемы</w:t>
      </w:r>
      <w:r w:rsidR="00BB556C" w:rsidRPr="00BB556C">
        <w:t>й</w:t>
      </w:r>
      <w:r w:rsidRPr="00BB556C">
        <w:t xml:space="preserve"> период составляет 14,7%.</w:t>
      </w:r>
    </w:p>
    <w:p w:rsidR="00F47DF1" w:rsidRPr="00BB556C" w:rsidRDefault="00F47DF1" w:rsidP="00F47DF1">
      <w:pPr>
        <w:ind w:firstLine="709"/>
      </w:pPr>
    </w:p>
    <w:tbl>
      <w:tblPr>
        <w:tblpPr w:leftFromText="180" w:rightFromText="180" w:vertAnchor="text" w:horzAnchor="margin" w:tblpY="78"/>
        <w:tblW w:w="9896" w:type="dxa"/>
        <w:tblLayout w:type="fixed"/>
        <w:tblLook w:val="01E0" w:firstRow="1" w:lastRow="1" w:firstColumn="1" w:lastColumn="1" w:noHBand="0" w:noVBand="0"/>
      </w:tblPr>
      <w:tblGrid>
        <w:gridCol w:w="5691"/>
        <w:gridCol w:w="1642"/>
        <w:gridCol w:w="1642"/>
        <w:gridCol w:w="921"/>
      </w:tblGrid>
      <w:tr w:rsidR="00F47DF1" w:rsidRPr="00BB556C" w:rsidTr="00B80128">
        <w:trPr>
          <w:trHeight w:val="1"/>
        </w:trPr>
        <w:tc>
          <w:tcPr>
            <w:tcW w:w="5691"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r w:rsidRPr="00BB556C">
              <w:rPr>
                <w:sz w:val="20"/>
                <w:szCs w:val="20"/>
              </w:rPr>
              <w:t>Показатели</w:t>
            </w:r>
          </w:p>
        </w:tc>
        <w:tc>
          <w:tcPr>
            <w:tcW w:w="164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r w:rsidRPr="00BB556C">
              <w:rPr>
                <w:sz w:val="20"/>
                <w:szCs w:val="20"/>
              </w:rPr>
              <w:t xml:space="preserve">9 месяцев </w:t>
            </w:r>
          </w:p>
          <w:p w:rsidR="00F47DF1" w:rsidRPr="00BB556C" w:rsidRDefault="00F47DF1" w:rsidP="00B80128">
            <w:pPr>
              <w:tabs>
                <w:tab w:val="center" w:pos="4677"/>
                <w:tab w:val="right" w:pos="9355"/>
              </w:tabs>
              <w:jc w:val="center"/>
              <w:rPr>
                <w:sz w:val="20"/>
                <w:szCs w:val="20"/>
              </w:rPr>
            </w:pPr>
            <w:r w:rsidRPr="00BB556C">
              <w:rPr>
                <w:sz w:val="20"/>
                <w:szCs w:val="20"/>
              </w:rPr>
              <w:t xml:space="preserve"> 2015 года</w:t>
            </w:r>
          </w:p>
        </w:tc>
        <w:tc>
          <w:tcPr>
            <w:tcW w:w="164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r w:rsidRPr="00BB556C">
              <w:rPr>
                <w:sz w:val="20"/>
                <w:szCs w:val="20"/>
              </w:rPr>
              <w:t xml:space="preserve">9 месяцев  </w:t>
            </w:r>
          </w:p>
          <w:p w:rsidR="00F47DF1" w:rsidRPr="00BB556C" w:rsidRDefault="00F47DF1" w:rsidP="00B80128">
            <w:pPr>
              <w:tabs>
                <w:tab w:val="center" w:pos="4677"/>
                <w:tab w:val="right" w:pos="9355"/>
              </w:tabs>
              <w:jc w:val="center"/>
              <w:rPr>
                <w:sz w:val="20"/>
                <w:szCs w:val="20"/>
              </w:rPr>
            </w:pPr>
            <w:r w:rsidRPr="00BB556C">
              <w:rPr>
                <w:sz w:val="20"/>
                <w:szCs w:val="20"/>
              </w:rPr>
              <w:t>2016 года</w:t>
            </w:r>
          </w:p>
        </w:tc>
        <w:tc>
          <w:tcPr>
            <w:tcW w:w="921"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rPr>
                <w:sz w:val="20"/>
                <w:szCs w:val="20"/>
              </w:rPr>
            </w:pPr>
            <w:r w:rsidRPr="00BB556C">
              <w:rPr>
                <w:sz w:val="20"/>
                <w:szCs w:val="20"/>
              </w:rPr>
              <w:t xml:space="preserve"> %</w:t>
            </w:r>
          </w:p>
        </w:tc>
      </w:tr>
      <w:tr w:rsidR="00F47DF1" w:rsidRPr="00BB556C" w:rsidTr="00B80128">
        <w:trPr>
          <w:trHeight w:val="1"/>
        </w:trPr>
        <w:tc>
          <w:tcPr>
            <w:tcW w:w="5691" w:type="dxa"/>
            <w:tcBorders>
              <w:top w:val="single" w:sz="4" w:space="0" w:color="auto"/>
              <w:left w:val="single" w:sz="4" w:space="0" w:color="auto"/>
              <w:bottom w:val="single" w:sz="4" w:space="0" w:color="auto"/>
              <w:right w:val="single" w:sz="4" w:space="0" w:color="auto"/>
            </w:tcBorders>
            <w:vAlign w:val="center"/>
            <w:hideMark/>
          </w:tcPr>
          <w:p w:rsidR="00F47DF1" w:rsidRPr="00BB556C" w:rsidRDefault="00F47DF1" w:rsidP="00B80128">
            <w:pPr>
              <w:tabs>
                <w:tab w:val="center" w:pos="4677"/>
                <w:tab w:val="right" w:pos="9355"/>
              </w:tabs>
            </w:pPr>
            <w:r w:rsidRPr="00BB556C">
              <w:t xml:space="preserve">Основные отрасли социальной сферы </w:t>
            </w:r>
            <w:r w:rsidRPr="00BB556C">
              <w:rPr>
                <w:sz w:val="20"/>
                <w:szCs w:val="20"/>
              </w:rPr>
              <w:t>(образование,  культура, физическая культура и спорт, молодёжная политика)</w:t>
            </w:r>
          </w:p>
        </w:tc>
        <w:tc>
          <w:tcPr>
            <w:tcW w:w="164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35903</w:t>
            </w:r>
          </w:p>
        </w:tc>
        <w:tc>
          <w:tcPr>
            <w:tcW w:w="1642"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41174</w:t>
            </w:r>
          </w:p>
        </w:tc>
        <w:tc>
          <w:tcPr>
            <w:tcW w:w="921" w:type="dxa"/>
            <w:tcBorders>
              <w:top w:val="single" w:sz="4" w:space="0" w:color="auto"/>
              <w:left w:val="single" w:sz="4" w:space="0" w:color="auto"/>
              <w:bottom w:val="single" w:sz="4" w:space="0" w:color="auto"/>
              <w:right w:val="single" w:sz="4" w:space="0" w:color="auto"/>
            </w:tcBorders>
            <w:vAlign w:val="center"/>
          </w:tcPr>
          <w:p w:rsidR="00F47DF1" w:rsidRPr="00BB556C" w:rsidRDefault="00F47DF1" w:rsidP="00B80128">
            <w:pPr>
              <w:tabs>
                <w:tab w:val="center" w:pos="4677"/>
                <w:tab w:val="right" w:pos="9355"/>
              </w:tabs>
              <w:jc w:val="center"/>
            </w:pPr>
            <w:r w:rsidRPr="00BB556C">
              <w:t>114,7</w:t>
            </w:r>
          </w:p>
        </w:tc>
      </w:tr>
    </w:tbl>
    <w:p w:rsidR="00F47DF1" w:rsidRPr="00BB556C" w:rsidRDefault="00F47DF1" w:rsidP="00F47DF1">
      <w:pPr>
        <w:ind w:firstLine="709"/>
      </w:pPr>
    </w:p>
    <w:p w:rsidR="00F47DF1" w:rsidRPr="00BB556C" w:rsidRDefault="00F47DF1" w:rsidP="00F47DF1">
      <w:pPr>
        <w:ind w:firstLine="709"/>
      </w:pPr>
      <w:r w:rsidRPr="00BB556C">
        <w:t xml:space="preserve">Социально ориентированная политика территории, и положительная в ряде последних лет тенденция роста денежных доходов населения, позволит обеспечить рост уровня жизни населения и в дальнейшем.  </w:t>
      </w:r>
    </w:p>
    <w:p w:rsidR="00F47DF1" w:rsidRPr="00BB556C" w:rsidRDefault="00F47DF1" w:rsidP="00F47DF1">
      <w:pPr>
        <w:ind w:firstLine="708"/>
        <w:rPr>
          <w:color w:val="FF0000"/>
        </w:rPr>
      </w:pPr>
    </w:p>
    <w:p w:rsidR="003F7751" w:rsidRPr="00BB556C" w:rsidRDefault="003F7751" w:rsidP="002B0EAB">
      <w:pPr>
        <w:pStyle w:val="ab"/>
        <w:spacing w:before="0" w:beforeAutospacing="0" w:after="0" w:afterAutospacing="0"/>
        <w:ind w:firstLine="708"/>
        <w:rPr>
          <w:color w:val="000000" w:themeColor="text1"/>
        </w:rPr>
      </w:pPr>
    </w:p>
    <w:p w:rsidR="002B0EAB" w:rsidRPr="00BB556C" w:rsidRDefault="002B0EAB" w:rsidP="002B0EAB">
      <w:pPr>
        <w:rPr>
          <w:color w:val="000000" w:themeColor="text1"/>
        </w:rPr>
      </w:pPr>
      <w:r w:rsidRPr="00BB556C">
        <w:rPr>
          <w:color w:val="000000" w:themeColor="text1"/>
        </w:rPr>
        <w:t>ДОХОДЫ И РАСХОДЫ МЕСТНОГО БЮДЖЕТА.</w:t>
      </w:r>
    </w:p>
    <w:p w:rsidR="002B0EAB" w:rsidRPr="00BB556C" w:rsidRDefault="002B0EAB" w:rsidP="002B0EAB">
      <w:pPr>
        <w:pStyle w:val="a3"/>
        <w:spacing w:after="0"/>
        <w:ind w:left="0" w:firstLine="720"/>
        <w:rPr>
          <w:color w:val="000000" w:themeColor="text1"/>
        </w:rPr>
      </w:pPr>
    </w:p>
    <w:p w:rsidR="002B0EAB" w:rsidRPr="00BB556C" w:rsidRDefault="002B0EAB" w:rsidP="002B0EAB">
      <w:pPr>
        <w:ind w:firstLine="709"/>
        <w:rPr>
          <w:color w:val="000000" w:themeColor="text1"/>
        </w:rPr>
      </w:pPr>
      <w:r w:rsidRPr="00BB556C">
        <w:rPr>
          <w:rStyle w:val="af3"/>
          <w:b w:val="0"/>
          <w:color w:val="000000" w:themeColor="text1"/>
        </w:rPr>
        <w:t>Исполнение </w:t>
      </w:r>
      <w:r w:rsidRPr="00BB556C">
        <w:rPr>
          <w:rStyle w:val="apple-converted-space"/>
          <w:color w:val="000000" w:themeColor="text1"/>
        </w:rPr>
        <w:t> </w:t>
      </w:r>
      <w:r w:rsidRPr="00BB556C">
        <w:rPr>
          <w:rStyle w:val="af3"/>
          <w:b w:val="0"/>
          <w:color w:val="000000" w:themeColor="text1"/>
        </w:rPr>
        <w:t>местного бюджета </w:t>
      </w:r>
      <w:r w:rsidRPr="00BB556C">
        <w:rPr>
          <w:rStyle w:val="apple-converted-space"/>
          <w:color w:val="000000" w:themeColor="text1"/>
        </w:rPr>
        <w:t> </w:t>
      </w:r>
      <w:r w:rsidRPr="00BB556C">
        <w:rPr>
          <w:rStyle w:val="af3"/>
          <w:b w:val="0"/>
          <w:color w:val="000000" w:themeColor="text1"/>
        </w:rPr>
        <w:t>по доходам</w:t>
      </w:r>
    </w:p>
    <w:p w:rsidR="002B0EAB" w:rsidRPr="00BB556C" w:rsidRDefault="002B0EAB" w:rsidP="002B0EAB">
      <w:pPr>
        <w:ind w:firstLine="709"/>
        <w:rPr>
          <w:color w:val="000000" w:themeColor="text1"/>
        </w:rPr>
      </w:pPr>
    </w:p>
    <w:p w:rsidR="002B0EAB" w:rsidRPr="00BB556C" w:rsidRDefault="002B0EAB" w:rsidP="002B0EAB">
      <w:pPr>
        <w:ind w:firstLine="709"/>
        <w:rPr>
          <w:color w:val="000000" w:themeColor="text1"/>
        </w:rPr>
      </w:pPr>
      <w:r w:rsidRPr="00BB556C">
        <w:rPr>
          <w:color w:val="000000" w:themeColor="text1"/>
        </w:rPr>
        <w:t>Доходы</w:t>
      </w:r>
      <w:r w:rsidRPr="00BB556C">
        <w:rPr>
          <w:rStyle w:val="apple-converted-space"/>
          <w:color w:val="000000" w:themeColor="text1"/>
        </w:rPr>
        <w:t> </w:t>
      </w:r>
      <w:r w:rsidRPr="00BB556C">
        <w:rPr>
          <w:color w:val="000000" w:themeColor="text1"/>
        </w:rPr>
        <w:t>местного бюджета на 2016 год утверждены в сумме 3640,9</w:t>
      </w:r>
      <w:r w:rsidR="008D6B21" w:rsidRPr="00BB556C">
        <w:rPr>
          <w:color w:val="000000" w:themeColor="text1"/>
        </w:rPr>
        <w:t xml:space="preserve"> млн.рублей. За январь-сентябрь</w:t>
      </w:r>
      <w:r w:rsidRPr="00BB556C">
        <w:rPr>
          <w:color w:val="000000" w:themeColor="text1"/>
        </w:rPr>
        <w:t xml:space="preserve"> 2016 года в местный бюджет</w:t>
      </w:r>
      <w:r w:rsidR="006E599D" w:rsidRPr="00BB556C">
        <w:rPr>
          <w:color w:val="000000" w:themeColor="text1"/>
        </w:rPr>
        <w:t xml:space="preserve"> поступило</w:t>
      </w:r>
      <w:r w:rsidRPr="00BB556C">
        <w:rPr>
          <w:color w:val="000000" w:themeColor="text1"/>
        </w:rPr>
        <w:t xml:space="preserve"> </w:t>
      </w:r>
      <w:r w:rsidR="008D6B21" w:rsidRPr="00BB556C">
        <w:rPr>
          <w:color w:val="000000" w:themeColor="text1"/>
        </w:rPr>
        <w:t>2 695 569,6</w:t>
      </w:r>
      <w:r w:rsidRPr="00BB556C">
        <w:rPr>
          <w:color w:val="000000" w:themeColor="text1"/>
        </w:rPr>
        <w:t xml:space="preserve"> тыс. рублей. По сравнению с аналогичным периодом 2015 годом поступления снизились на </w:t>
      </w:r>
      <w:r w:rsidR="008D6B21" w:rsidRPr="00BB556C">
        <w:rPr>
          <w:color w:val="000000" w:themeColor="text1"/>
        </w:rPr>
        <w:t xml:space="preserve">177 721,5 </w:t>
      </w:r>
      <w:r w:rsidRPr="00BB556C">
        <w:rPr>
          <w:color w:val="000000" w:themeColor="text1"/>
        </w:rPr>
        <w:t xml:space="preserve">тыс.рублей или на </w:t>
      </w:r>
      <w:r w:rsidR="008D6B21" w:rsidRPr="00BB556C">
        <w:rPr>
          <w:color w:val="000000" w:themeColor="text1"/>
        </w:rPr>
        <w:t>6,2</w:t>
      </w:r>
      <w:r w:rsidRPr="00BB556C">
        <w:rPr>
          <w:color w:val="000000" w:themeColor="text1"/>
        </w:rPr>
        <w:t>%.</w:t>
      </w:r>
    </w:p>
    <w:p w:rsidR="00BB556C" w:rsidRDefault="00BB556C" w:rsidP="002B0EAB">
      <w:pPr>
        <w:ind w:firstLine="709"/>
        <w:rPr>
          <w:color w:val="000000" w:themeColor="text1"/>
        </w:rPr>
      </w:pPr>
    </w:p>
    <w:p w:rsidR="00BB556C" w:rsidRDefault="00BB556C" w:rsidP="002B0EAB">
      <w:pPr>
        <w:ind w:firstLine="709"/>
        <w:rPr>
          <w:color w:val="000000" w:themeColor="text1"/>
        </w:rPr>
      </w:pPr>
    </w:p>
    <w:p w:rsidR="002B0EAB" w:rsidRPr="00BB556C" w:rsidRDefault="002B0EAB" w:rsidP="002B0EAB">
      <w:pPr>
        <w:ind w:firstLine="709"/>
        <w:rPr>
          <w:color w:val="000000" w:themeColor="text1"/>
        </w:rPr>
      </w:pPr>
      <w:r w:rsidRPr="00BB556C">
        <w:rPr>
          <w:color w:val="000000" w:themeColor="text1"/>
        </w:rPr>
        <w:t>Структура доходов местного бюджета характеризуется следующими показателями:</w:t>
      </w:r>
    </w:p>
    <w:p w:rsidR="002B0EAB" w:rsidRPr="00BB556C" w:rsidRDefault="002B0EAB" w:rsidP="002B0EAB">
      <w:pPr>
        <w:ind w:firstLine="709"/>
        <w:rPr>
          <w:color w:val="000000" w:themeColor="text1"/>
          <w:sz w:val="16"/>
          <w:szCs w:val="16"/>
        </w:rPr>
      </w:pPr>
    </w:p>
    <w:p w:rsidR="002B0EAB" w:rsidRPr="00BB556C" w:rsidRDefault="002B0EAB" w:rsidP="002B0EAB">
      <w:pPr>
        <w:ind w:firstLine="709"/>
        <w:jc w:val="right"/>
        <w:rPr>
          <w:color w:val="000000" w:themeColor="text1"/>
          <w:sz w:val="20"/>
          <w:szCs w:val="20"/>
        </w:rPr>
      </w:pPr>
      <w:r w:rsidRPr="00BB556C">
        <w:rPr>
          <w:color w:val="000000" w:themeColor="text1"/>
          <w:sz w:val="20"/>
          <w:szCs w:val="20"/>
        </w:rPr>
        <w:t>тыс.рублей</w:t>
      </w:r>
    </w:p>
    <w:tbl>
      <w:tblPr>
        <w:tblW w:w="0" w:type="auto"/>
        <w:tblInd w:w="108" w:type="dxa"/>
        <w:tblLayout w:type="fixed"/>
        <w:tblCellMar>
          <w:left w:w="0" w:type="dxa"/>
          <w:right w:w="0" w:type="dxa"/>
        </w:tblCellMar>
        <w:tblLook w:val="00A0" w:firstRow="1" w:lastRow="0" w:firstColumn="1" w:lastColumn="0" w:noHBand="0" w:noVBand="0"/>
      </w:tblPr>
      <w:tblGrid>
        <w:gridCol w:w="4400"/>
        <w:gridCol w:w="1778"/>
        <w:gridCol w:w="1778"/>
        <w:gridCol w:w="1778"/>
      </w:tblGrid>
      <w:tr w:rsidR="002B0EAB" w:rsidRPr="00BB556C" w:rsidTr="009A0515">
        <w:trPr>
          <w:trHeight w:val="75"/>
          <w:tblHeader/>
        </w:trPr>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center"/>
              <w:rPr>
                <w:color w:val="000000" w:themeColor="text1"/>
                <w:sz w:val="20"/>
                <w:szCs w:val="20"/>
              </w:rPr>
            </w:pPr>
            <w:r w:rsidRPr="00BB556C">
              <w:rPr>
                <w:rStyle w:val="af3"/>
                <w:b w:val="0"/>
                <w:color w:val="000000" w:themeColor="text1"/>
                <w:sz w:val="20"/>
                <w:szCs w:val="20"/>
              </w:rPr>
              <w:t>Наименование доходов</w:t>
            </w:r>
          </w:p>
        </w:tc>
        <w:tc>
          <w:tcPr>
            <w:tcW w:w="1778" w:type="dxa"/>
            <w:tcBorders>
              <w:top w:val="single" w:sz="8" w:space="0" w:color="auto"/>
              <w:left w:val="nil"/>
              <w:bottom w:val="single" w:sz="8" w:space="0" w:color="auto"/>
              <w:right w:val="single" w:sz="4" w:space="0" w:color="auto"/>
            </w:tcBorders>
            <w:vAlign w:val="center"/>
          </w:tcPr>
          <w:p w:rsidR="002B0EAB" w:rsidRPr="00BB556C" w:rsidRDefault="008D6B21" w:rsidP="002B0EAB">
            <w:pPr>
              <w:jc w:val="center"/>
              <w:rPr>
                <w:rStyle w:val="af3"/>
                <w:b w:val="0"/>
                <w:color w:val="000000" w:themeColor="text1"/>
                <w:sz w:val="20"/>
                <w:szCs w:val="20"/>
              </w:rPr>
            </w:pPr>
            <w:r w:rsidRPr="00BB556C">
              <w:rPr>
                <w:rStyle w:val="af3"/>
                <w:b w:val="0"/>
                <w:color w:val="000000" w:themeColor="text1"/>
                <w:sz w:val="20"/>
                <w:szCs w:val="20"/>
              </w:rPr>
              <w:t>9 месяцев</w:t>
            </w:r>
          </w:p>
          <w:p w:rsidR="002B0EAB" w:rsidRPr="00BB556C" w:rsidRDefault="002B0EAB" w:rsidP="002B0EAB">
            <w:pPr>
              <w:jc w:val="center"/>
              <w:rPr>
                <w:color w:val="000000" w:themeColor="text1"/>
                <w:sz w:val="20"/>
                <w:szCs w:val="20"/>
              </w:rPr>
            </w:pPr>
            <w:r w:rsidRPr="00BB556C">
              <w:rPr>
                <w:rStyle w:val="af3"/>
                <w:b w:val="0"/>
                <w:color w:val="000000" w:themeColor="text1"/>
                <w:sz w:val="20"/>
                <w:szCs w:val="20"/>
              </w:rPr>
              <w:t>2015 года</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B0EAB" w:rsidRPr="00BB556C" w:rsidRDefault="008D6B21" w:rsidP="002B0EAB">
            <w:pPr>
              <w:jc w:val="center"/>
              <w:rPr>
                <w:rStyle w:val="af3"/>
                <w:b w:val="0"/>
                <w:color w:val="000000" w:themeColor="text1"/>
                <w:sz w:val="20"/>
                <w:szCs w:val="20"/>
              </w:rPr>
            </w:pPr>
            <w:r w:rsidRPr="00BB556C">
              <w:rPr>
                <w:rStyle w:val="af3"/>
                <w:b w:val="0"/>
                <w:color w:val="000000" w:themeColor="text1"/>
                <w:sz w:val="20"/>
                <w:szCs w:val="20"/>
              </w:rPr>
              <w:t>9 месяцев</w:t>
            </w:r>
          </w:p>
          <w:p w:rsidR="002B0EAB" w:rsidRPr="00BB556C" w:rsidRDefault="008D6B21" w:rsidP="002B0EAB">
            <w:pPr>
              <w:jc w:val="center"/>
              <w:rPr>
                <w:color w:val="000000" w:themeColor="text1"/>
                <w:sz w:val="20"/>
                <w:szCs w:val="20"/>
              </w:rPr>
            </w:pPr>
            <w:r w:rsidRPr="00BB556C">
              <w:rPr>
                <w:rStyle w:val="af3"/>
                <w:b w:val="0"/>
                <w:color w:val="000000" w:themeColor="text1"/>
                <w:sz w:val="20"/>
                <w:szCs w:val="20"/>
              </w:rPr>
              <w:t>2016</w:t>
            </w:r>
            <w:r w:rsidR="002B0EAB" w:rsidRPr="00BB556C">
              <w:rPr>
                <w:rStyle w:val="af3"/>
                <w:b w:val="0"/>
                <w:color w:val="000000" w:themeColor="text1"/>
                <w:sz w:val="20"/>
                <w:szCs w:val="20"/>
              </w:rPr>
              <w:t xml:space="preserve"> года</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center"/>
              <w:rPr>
                <w:color w:val="000000" w:themeColor="text1"/>
                <w:sz w:val="20"/>
                <w:szCs w:val="20"/>
              </w:rPr>
            </w:pPr>
            <w:r w:rsidRPr="00BB556C">
              <w:rPr>
                <w:rStyle w:val="af3"/>
                <w:b w:val="0"/>
                <w:color w:val="000000" w:themeColor="text1"/>
                <w:sz w:val="20"/>
                <w:szCs w:val="20"/>
              </w:rPr>
              <w:t>Темп роста (снижения), %</w:t>
            </w:r>
          </w:p>
        </w:tc>
      </w:tr>
      <w:tr w:rsidR="002B0EAB" w:rsidRPr="00BB556C" w:rsidTr="002B0EAB">
        <w:trPr>
          <w:trHeight w:val="439"/>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left"/>
              <w:rPr>
                <w:color w:val="000000" w:themeColor="text1"/>
              </w:rPr>
            </w:pPr>
            <w:r w:rsidRPr="00BB556C">
              <w:rPr>
                <w:color w:val="000000" w:themeColor="text1"/>
              </w:rPr>
              <w:t>Всего налоговых и неналоговых доходов</w:t>
            </w:r>
          </w:p>
        </w:tc>
        <w:tc>
          <w:tcPr>
            <w:tcW w:w="1778" w:type="dxa"/>
            <w:tcBorders>
              <w:top w:val="nil"/>
              <w:left w:val="nil"/>
              <w:bottom w:val="single" w:sz="8" w:space="0" w:color="auto"/>
              <w:right w:val="single" w:sz="4" w:space="0" w:color="auto"/>
            </w:tcBorders>
            <w:vAlign w:val="center"/>
          </w:tcPr>
          <w:p w:rsidR="002B0EAB" w:rsidRPr="00BB556C" w:rsidRDefault="005A16CA" w:rsidP="002B0EAB">
            <w:pPr>
              <w:jc w:val="center"/>
              <w:rPr>
                <w:color w:val="000000" w:themeColor="text1"/>
              </w:rPr>
            </w:pPr>
            <w:r w:rsidRPr="00BB556C">
              <w:rPr>
                <w:color w:val="000000" w:themeColor="text1"/>
              </w:rPr>
              <w:t>797 080,1</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B0EAB" w:rsidRPr="00BB556C" w:rsidRDefault="005A16CA" w:rsidP="002B0EAB">
            <w:pPr>
              <w:jc w:val="center"/>
              <w:rPr>
                <w:color w:val="000000" w:themeColor="text1"/>
              </w:rPr>
            </w:pPr>
            <w:r w:rsidRPr="00BB556C">
              <w:rPr>
                <w:color w:val="000000" w:themeColor="text1"/>
              </w:rPr>
              <w:t>852 208,9</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2B0EAB" w:rsidRPr="00BB556C" w:rsidRDefault="005A16CA" w:rsidP="002B0EAB">
            <w:pPr>
              <w:jc w:val="center"/>
              <w:rPr>
                <w:color w:val="000000" w:themeColor="text1"/>
              </w:rPr>
            </w:pPr>
            <w:r w:rsidRPr="00BB556C">
              <w:rPr>
                <w:color w:val="000000" w:themeColor="text1"/>
              </w:rPr>
              <w:t>106,9</w:t>
            </w:r>
          </w:p>
        </w:tc>
      </w:tr>
      <w:tr w:rsidR="002B0EAB" w:rsidRPr="00BB556C" w:rsidTr="002B0EAB">
        <w:trPr>
          <w:trHeight w:val="233"/>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left"/>
              <w:rPr>
                <w:color w:val="000000" w:themeColor="text1"/>
              </w:rPr>
            </w:pPr>
            <w:r w:rsidRPr="00BB556C">
              <w:rPr>
                <w:color w:val="000000" w:themeColor="text1"/>
              </w:rPr>
              <w:t>в том числе:</w:t>
            </w:r>
          </w:p>
          <w:p w:rsidR="002B0EAB" w:rsidRPr="00BB556C" w:rsidRDefault="002B0EAB" w:rsidP="002B0EAB">
            <w:pPr>
              <w:jc w:val="left"/>
              <w:rPr>
                <w:i/>
                <w:color w:val="000000" w:themeColor="text1"/>
              </w:rPr>
            </w:pPr>
            <w:r w:rsidRPr="00BB556C">
              <w:rPr>
                <w:i/>
                <w:color w:val="000000" w:themeColor="text1"/>
              </w:rPr>
              <w:t>Налоговые доходы</w:t>
            </w:r>
          </w:p>
        </w:tc>
        <w:tc>
          <w:tcPr>
            <w:tcW w:w="1778" w:type="dxa"/>
            <w:tcBorders>
              <w:top w:val="nil"/>
              <w:left w:val="nil"/>
              <w:bottom w:val="single" w:sz="8" w:space="0" w:color="auto"/>
              <w:right w:val="single" w:sz="4" w:space="0" w:color="auto"/>
            </w:tcBorders>
            <w:vAlign w:val="bottom"/>
          </w:tcPr>
          <w:p w:rsidR="002B0EAB" w:rsidRPr="00BB556C" w:rsidRDefault="005A16CA" w:rsidP="002B0EAB">
            <w:pPr>
              <w:jc w:val="center"/>
              <w:rPr>
                <w:i/>
                <w:color w:val="000000" w:themeColor="text1"/>
              </w:rPr>
            </w:pPr>
            <w:r w:rsidRPr="00BB556C">
              <w:rPr>
                <w:i/>
                <w:color w:val="000000" w:themeColor="text1"/>
              </w:rPr>
              <w:t>607 388,7</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bottom"/>
          </w:tcPr>
          <w:p w:rsidR="002B0EAB" w:rsidRPr="00BB556C" w:rsidRDefault="005A16CA" w:rsidP="002B0EAB">
            <w:pPr>
              <w:jc w:val="center"/>
              <w:rPr>
                <w:i/>
                <w:color w:val="000000" w:themeColor="text1"/>
              </w:rPr>
            </w:pPr>
            <w:r w:rsidRPr="00BB556C">
              <w:rPr>
                <w:i/>
                <w:color w:val="000000" w:themeColor="text1"/>
              </w:rPr>
              <w:t>641 286,8</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bottom"/>
          </w:tcPr>
          <w:p w:rsidR="002B0EAB" w:rsidRPr="00BB556C" w:rsidRDefault="005A16CA" w:rsidP="002B0EAB">
            <w:pPr>
              <w:jc w:val="center"/>
              <w:rPr>
                <w:i/>
                <w:color w:val="000000" w:themeColor="text1"/>
              </w:rPr>
            </w:pPr>
            <w:r w:rsidRPr="00BB556C">
              <w:rPr>
                <w:i/>
                <w:color w:val="000000" w:themeColor="text1"/>
              </w:rPr>
              <w:t>105,6</w:t>
            </w:r>
          </w:p>
        </w:tc>
      </w:tr>
      <w:tr w:rsidR="002B0EAB" w:rsidRPr="00BB556C" w:rsidTr="002B0EAB">
        <w:trPr>
          <w:trHeight w:val="381"/>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left"/>
              <w:rPr>
                <w:i/>
                <w:color w:val="000000" w:themeColor="text1"/>
              </w:rPr>
            </w:pPr>
            <w:r w:rsidRPr="00BB556C">
              <w:rPr>
                <w:i/>
                <w:color w:val="000000" w:themeColor="text1"/>
              </w:rPr>
              <w:t>Неналоговые доходы</w:t>
            </w:r>
          </w:p>
        </w:tc>
        <w:tc>
          <w:tcPr>
            <w:tcW w:w="1778" w:type="dxa"/>
            <w:tcBorders>
              <w:top w:val="nil"/>
              <w:left w:val="nil"/>
              <w:bottom w:val="single" w:sz="8" w:space="0" w:color="auto"/>
              <w:right w:val="single" w:sz="4" w:space="0" w:color="auto"/>
            </w:tcBorders>
            <w:vAlign w:val="center"/>
          </w:tcPr>
          <w:p w:rsidR="002B0EAB" w:rsidRPr="00BB556C" w:rsidRDefault="005A16CA" w:rsidP="002B0EAB">
            <w:pPr>
              <w:jc w:val="center"/>
              <w:rPr>
                <w:i/>
                <w:color w:val="000000" w:themeColor="text1"/>
              </w:rPr>
            </w:pPr>
            <w:r w:rsidRPr="00BB556C">
              <w:rPr>
                <w:i/>
                <w:color w:val="000000" w:themeColor="text1"/>
              </w:rPr>
              <w:t>189 691,3</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B0EAB" w:rsidRPr="00BB556C" w:rsidRDefault="005A16CA" w:rsidP="002B0EAB">
            <w:pPr>
              <w:jc w:val="center"/>
              <w:rPr>
                <w:i/>
                <w:color w:val="000000" w:themeColor="text1"/>
              </w:rPr>
            </w:pPr>
            <w:r w:rsidRPr="00BB556C">
              <w:rPr>
                <w:i/>
                <w:color w:val="000000" w:themeColor="text1"/>
              </w:rPr>
              <w:t>210 922,1</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2B0EAB" w:rsidRPr="00BB556C" w:rsidRDefault="005A16CA" w:rsidP="002B0EAB">
            <w:pPr>
              <w:jc w:val="center"/>
              <w:rPr>
                <w:i/>
                <w:color w:val="000000" w:themeColor="text1"/>
              </w:rPr>
            </w:pPr>
            <w:r w:rsidRPr="00BB556C">
              <w:rPr>
                <w:i/>
                <w:color w:val="000000" w:themeColor="text1"/>
              </w:rPr>
              <w:t>111,2</w:t>
            </w:r>
          </w:p>
        </w:tc>
      </w:tr>
      <w:tr w:rsidR="002B0EAB" w:rsidRPr="00BB556C" w:rsidTr="002B0EAB">
        <w:trPr>
          <w:trHeight w:val="2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left"/>
              <w:rPr>
                <w:color w:val="000000" w:themeColor="text1"/>
              </w:rPr>
            </w:pPr>
            <w:r w:rsidRPr="00BB556C">
              <w:rPr>
                <w:color w:val="000000" w:themeColor="text1"/>
              </w:rPr>
              <w:t xml:space="preserve">Безвозмездные поступления </w:t>
            </w:r>
          </w:p>
        </w:tc>
        <w:tc>
          <w:tcPr>
            <w:tcW w:w="1778" w:type="dxa"/>
            <w:tcBorders>
              <w:top w:val="nil"/>
              <w:left w:val="nil"/>
              <w:bottom w:val="single" w:sz="8" w:space="0" w:color="auto"/>
              <w:right w:val="single" w:sz="4" w:space="0" w:color="auto"/>
            </w:tcBorders>
            <w:vAlign w:val="center"/>
          </w:tcPr>
          <w:p w:rsidR="002B0EAB" w:rsidRPr="00BB556C" w:rsidRDefault="005A16CA" w:rsidP="002B0EAB">
            <w:pPr>
              <w:jc w:val="center"/>
              <w:rPr>
                <w:color w:val="000000" w:themeColor="text1"/>
              </w:rPr>
            </w:pPr>
            <w:r w:rsidRPr="00BB556C">
              <w:rPr>
                <w:color w:val="000000" w:themeColor="text1"/>
              </w:rPr>
              <w:t>2 076 211,1</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B0EAB" w:rsidRPr="00BB556C" w:rsidRDefault="005A16CA" w:rsidP="002B0EAB">
            <w:pPr>
              <w:jc w:val="center"/>
              <w:rPr>
                <w:color w:val="000000" w:themeColor="text1"/>
              </w:rPr>
            </w:pPr>
            <w:r w:rsidRPr="00BB556C">
              <w:rPr>
                <w:color w:val="000000" w:themeColor="text1"/>
              </w:rPr>
              <w:t>1 843 360,8</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2B0EAB" w:rsidRPr="00BB556C" w:rsidRDefault="005A16CA" w:rsidP="002B0EAB">
            <w:pPr>
              <w:jc w:val="center"/>
              <w:rPr>
                <w:color w:val="000000" w:themeColor="text1"/>
              </w:rPr>
            </w:pPr>
            <w:r w:rsidRPr="00BB556C">
              <w:rPr>
                <w:color w:val="000000" w:themeColor="text1"/>
              </w:rPr>
              <w:t>88,8</w:t>
            </w:r>
          </w:p>
        </w:tc>
      </w:tr>
      <w:tr w:rsidR="002B0EAB" w:rsidRPr="00BB556C" w:rsidTr="002B0EAB">
        <w:trPr>
          <w:trHeight w:val="75"/>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B0EAB" w:rsidRPr="00BB556C" w:rsidRDefault="002B0EAB" w:rsidP="002B0EAB">
            <w:pPr>
              <w:jc w:val="left"/>
              <w:rPr>
                <w:bCs/>
                <w:color w:val="000000" w:themeColor="text1"/>
              </w:rPr>
            </w:pPr>
            <w:r w:rsidRPr="00BB556C">
              <w:rPr>
                <w:rStyle w:val="af3"/>
                <w:b w:val="0"/>
                <w:color w:val="000000" w:themeColor="text1"/>
              </w:rPr>
              <w:t>Всего доходов</w:t>
            </w:r>
          </w:p>
        </w:tc>
        <w:tc>
          <w:tcPr>
            <w:tcW w:w="1778" w:type="dxa"/>
            <w:tcBorders>
              <w:top w:val="nil"/>
              <w:left w:val="nil"/>
              <w:bottom w:val="single" w:sz="8" w:space="0" w:color="auto"/>
              <w:right w:val="single" w:sz="4" w:space="0" w:color="auto"/>
            </w:tcBorders>
            <w:vAlign w:val="center"/>
          </w:tcPr>
          <w:p w:rsidR="002B0EAB" w:rsidRPr="00BB556C" w:rsidRDefault="005A16CA" w:rsidP="002B0EAB">
            <w:pPr>
              <w:jc w:val="center"/>
              <w:rPr>
                <w:bCs/>
                <w:color w:val="000000" w:themeColor="text1"/>
              </w:rPr>
            </w:pPr>
            <w:r w:rsidRPr="00BB556C">
              <w:rPr>
                <w:bCs/>
                <w:color w:val="000000" w:themeColor="text1"/>
              </w:rPr>
              <w:t>2 873 291,1</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B0EAB" w:rsidRPr="00BB556C" w:rsidRDefault="005A16CA" w:rsidP="002B0EAB">
            <w:pPr>
              <w:jc w:val="center"/>
              <w:rPr>
                <w:bCs/>
                <w:color w:val="000000" w:themeColor="text1"/>
              </w:rPr>
            </w:pPr>
            <w:r w:rsidRPr="00BB556C">
              <w:rPr>
                <w:bCs/>
                <w:color w:val="000000" w:themeColor="text1"/>
              </w:rPr>
              <w:t>2 695 569,6</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2B0EAB" w:rsidRPr="00BB556C" w:rsidRDefault="005A16CA" w:rsidP="002B0EAB">
            <w:pPr>
              <w:jc w:val="center"/>
              <w:rPr>
                <w:bCs/>
                <w:color w:val="000000" w:themeColor="text1"/>
              </w:rPr>
            </w:pPr>
            <w:r w:rsidRPr="00BB556C">
              <w:rPr>
                <w:bCs/>
                <w:color w:val="000000" w:themeColor="text1"/>
              </w:rPr>
              <w:t>93,8</w:t>
            </w:r>
          </w:p>
        </w:tc>
      </w:tr>
    </w:tbl>
    <w:p w:rsidR="002B0EAB" w:rsidRPr="00BB556C" w:rsidRDefault="002B0EAB" w:rsidP="002B0EAB">
      <w:pPr>
        <w:ind w:firstLine="709"/>
        <w:rPr>
          <w:color w:val="000000" w:themeColor="text1"/>
        </w:rPr>
      </w:pPr>
      <w:r w:rsidRPr="00BB556C">
        <w:rPr>
          <w:color w:val="000000" w:themeColor="text1"/>
        </w:rPr>
        <w:t>           </w:t>
      </w:r>
    </w:p>
    <w:p w:rsidR="002B0EAB" w:rsidRPr="00BB556C" w:rsidRDefault="002B0EAB" w:rsidP="002B0EAB">
      <w:pPr>
        <w:rPr>
          <w:color w:val="000000" w:themeColor="text1"/>
        </w:rPr>
      </w:pPr>
      <w:r w:rsidRPr="00BB556C">
        <w:rPr>
          <w:noProof/>
          <w:color w:val="000000" w:themeColor="text1"/>
        </w:rPr>
        <w:drawing>
          <wp:inline distT="0" distB="0" distL="0" distR="0" wp14:anchorId="3034E529" wp14:editId="7848247E">
            <wp:extent cx="5867400" cy="2268187"/>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EAB" w:rsidRPr="00BB556C" w:rsidRDefault="002B0EAB" w:rsidP="002B0EAB">
      <w:pPr>
        <w:ind w:firstLine="709"/>
        <w:rPr>
          <w:color w:val="000000" w:themeColor="text1"/>
        </w:rPr>
      </w:pPr>
    </w:p>
    <w:p w:rsidR="002B0EAB" w:rsidRPr="00BB556C" w:rsidRDefault="002B0EAB" w:rsidP="002B0EAB">
      <w:pPr>
        <w:ind w:firstLine="709"/>
        <w:rPr>
          <w:color w:val="000000" w:themeColor="text1"/>
        </w:rPr>
      </w:pPr>
    </w:p>
    <w:p w:rsidR="002B0EAB" w:rsidRPr="00BB556C" w:rsidRDefault="002B0EAB" w:rsidP="002B0EAB">
      <w:pPr>
        <w:ind w:firstLine="709"/>
        <w:rPr>
          <w:color w:val="000000" w:themeColor="text1"/>
        </w:rPr>
      </w:pPr>
      <w:r w:rsidRPr="00BB556C">
        <w:rPr>
          <w:color w:val="000000" w:themeColor="text1"/>
        </w:rPr>
        <w:t xml:space="preserve">В отчетном периоде собственные доходы составили </w:t>
      </w:r>
      <w:r w:rsidR="005A16CA" w:rsidRPr="00BB556C">
        <w:rPr>
          <w:color w:val="000000" w:themeColor="text1"/>
        </w:rPr>
        <w:t>852 208,9</w:t>
      </w:r>
      <w:r w:rsidRPr="00BB556C">
        <w:rPr>
          <w:color w:val="000000" w:themeColor="text1"/>
        </w:rPr>
        <w:t xml:space="preserve"> тыс.рублей и увеличились на </w:t>
      </w:r>
      <w:r w:rsidR="005A16CA" w:rsidRPr="00BB556C">
        <w:rPr>
          <w:color w:val="000000" w:themeColor="text1"/>
        </w:rPr>
        <w:t>6,9% по отношению к январю-сентябрю</w:t>
      </w:r>
      <w:r w:rsidRPr="00BB556C">
        <w:rPr>
          <w:color w:val="000000" w:themeColor="text1"/>
        </w:rPr>
        <w:t xml:space="preserve"> 2015 года. Основными источниками формирования собственных доходов местного бюджета </w:t>
      </w:r>
      <w:r w:rsidR="005A16CA" w:rsidRPr="00BB556C">
        <w:rPr>
          <w:color w:val="000000" w:themeColor="text1"/>
        </w:rPr>
        <w:t>за 9 месяцев</w:t>
      </w:r>
      <w:r w:rsidRPr="00BB556C">
        <w:rPr>
          <w:rStyle w:val="af3"/>
          <w:b w:val="0"/>
          <w:color w:val="000000" w:themeColor="text1"/>
        </w:rPr>
        <w:t xml:space="preserve"> 2016 года</w:t>
      </w:r>
      <w:r w:rsidRPr="00BB556C">
        <w:rPr>
          <w:color w:val="000000" w:themeColor="text1"/>
        </w:rPr>
        <w:t xml:space="preserve"> явились: налог на доходы физических лиц (</w:t>
      </w:r>
      <w:r w:rsidR="005A16CA" w:rsidRPr="00BB556C">
        <w:rPr>
          <w:color w:val="000000" w:themeColor="text1"/>
        </w:rPr>
        <w:t>58,6</w:t>
      </w:r>
      <w:r w:rsidRPr="00BB556C">
        <w:rPr>
          <w:color w:val="000000" w:themeColor="text1"/>
        </w:rPr>
        <w:t xml:space="preserve">% от суммы собственных доходов), налоги на </w:t>
      </w:r>
      <w:r w:rsidR="005A16CA" w:rsidRPr="00BB556C">
        <w:rPr>
          <w:color w:val="000000" w:themeColor="text1"/>
        </w:rPr>
        <w:t>имущество (2,4</w:t>
      </w:r>
      <w:r w:rsidRPr="00BB556C">
        <w:rPr>
          <w:color w:val="000000" w:themeColor="text1"/>
        </w:rPr>
        <w:t>%), налоги на совокупный доход (</w:t>
      </w:r>
      <w:r w:rsidR="005A16CA" w:rsidRPr="00BB556C">
        <w:rPr>
          <w:color w:val="000000" w:themeColor="text1"/>
        </w:rPr>
        <w:t>12</w:t>
      </w:r>
      <w:r w:rsidRPr="00BB556C">
        <w:rPr>
          <w:color w:val="000000" w:themeColor="text1"/>
        </w:rPr>
        <w:t>,3%),  доходы от использования имущества, находящегося в муниципальной собственности (</w:t>
      </w:r>
      <w:r w:rsidR="00A01FCF" w:rsidRPr="00BB556C">
        <w:rPr>
          <w:color w:val="000000" w:themeColor="text1"/>
        </w:rPr>
        <w:t>16,9</w:t>
      </w:r>
      <w:r w:rsidRPr="00BB556C">
        <w:rPr>
          <w:color w:val="000000" w:themeColor="text1"/>
        </w:rPr>
        <w:t>%), доходы от продажи материальных и нематериальных активов (</w:t>
      </w:r>
      <w:r w:rsidR="00A01FCF" w:rsidRPr="00BB556C">
        <w:rPr>
          <w:color w:val="000000" w:themeColor="text1"/>
        </w:rPr>
        <w:t>5,2</w:t>
      </w:r>
      <w:r w:rsidRPr="00BB556C">
        <w:rPr>
          <w:color w:val="000000" w:themeColor="text1"/>
        </w:rPr>
        <w:t xml:space="preserve">%). </w:t>
      </w:r>
    </w:p>
    <w:p w:rsidR="002B0EAB" w:rsidRPr="00BB556C" w:rsidRDefault="002B0EAB" w:rsidP="002B0EAB">
      <w:pPr>
        <w:ind w:firstLine="709"/>
        <w:rPr>
          <w:color w:val="000000" w:themeColor="text1"/>
        </w:rPr>
      </w:pPr>
    </w:p>
    <w:p w:rsidR="002B0EAB" w:rsidRPr="00BB556C" w:rsidRDefault="00A01FCF" w:rsidP="002B0EAB">
      <w:pPr>
        <w:ind w:firstLine="709"/>
        <w:rPr>
          <w:rStyle w:val="apple-converted-space"/>
          <w:color w:val="000000" w:themeColor="text1"/>
        </w:rPr>
      </w:pPr>
      <w:r w:rsidRPr="00BB556C">
        <w:rPr>
          <w:color w:val="000000" w:themeColor="text1"/>
        </w:rPr>
        <w:t>За январь-сентябрь</w:t>
      </w:r>
      <w:r w:rsidR="002B0EAB" w:rsidRPr="00BB556C">
        <w:rPr>
          <w:color w:val="000000" w:themeColor="text1"/>
        </w:rPr>
        <w:t xml:space="preserve"> 2016 года в бюджет города поступило </w:t>
      </w:r>
      <w:r w:rsidRPr="00BB556C">
        <w:rPr>
          <w:rStyle w:val="apple-style-span"/>
          <w:color w:val="000000" w:themeColor="text1"/>
        </w:rPr>
        <w:t>641 286,8</w:t>
      </w:r>
      <w:r w:rsidR="002B0EAB" w:rsidRPr="00BB556C">
        <w:rPr>
          <w:rStyle w:val="apple-style-span"/>
          <w:color w:val="000000" w:themeColor="text1"/>
        </w:rPr>
        <w:t xml:space="preserve"> тыс.рублей налоговых доходов. В общей сумме доходов консолидированного бюджета городского округа налоговые доходы составляют </w:t>
      </w:r>
      <w:r w:rsidRPr="00BB556C">
        <w:rPr>
          <w:rStyle w:val="apple-style-span"/>
          <w:color w:val="000000" w:themeColor="text1"/>
        </w:rPr>
        <w:t>75,2</w:t>
      </w:r>
      <w:r w:rsidR="002B0EAB" w:rsidRPr="00BB556C">
        <w:rPr>
          <w:rStyle w:val="apple-style-span"/>
          <w:color w:val="000000" w:themeColor="text1"/>
        </w:rPr>
        <w:t xml:space="preserve">%. По сравнению с аналогичным периодом 2015 года налоговые доходы увеличились на </w:t>
      </w:r>
      <w:r w:rsidRPr="00BB556C">
        <w:rPr>
          <w:rStyle w:val="apple-style-span"/>
          <w:color w:val="000000" w:themeColor="text1"/>
        </w:rPr>
        <w:t>5,6</w:t>
      </w:r>
      <w:r w:rsidR="002B0EAB" w:rsidRPr="00BB556C">
        <w:rPr>
          <w:rStyle w:val="apple-style-span"/>
          <w:color w:val="000000" w:themeColor="text1"/>
        </w:rPr>
        <w:t xml:space="preserve">%, или на </w:t>
      </w:r>
      <w:r w:rsidRPr="00BB556C">
        <w:rPr>
          <w:rStyle w:val="apple-style-span"/>
          <w:color w:val="000000" w:themeColor="text1"/>
        </w:rPr>
        <w:t>33 898,1</w:t>
      </w:r>
      <w:r w:rsidR="002B0EAB" w:rsidRPr="00BB556C">
        <w:rPr>
          <w:rStyle w:val="apple-style-span"/>
          <w:color w:val="000000" w:themeColor="text1"/>
        </w:rPr>
        <w:t xml:space="preserve"> тыс.рублей.</w:t>
      </w:r>
      <w:r w:rsidR="002B0EAB" w:rsidRPr="00BB556C">
        <w:rPr>
          <w:rStyle w:val="apple-converted-space"/>
          <w:color w:val="000000" w:themeColor="text1"/>
        </w:rPr>
        <w:t> </w:t>
      </w:r>
    </w:p>
    <w:p w:rsidR="002B0EAB" w:rsidRPr="00BB556C" w:rsidRDefault="002B0EAB" w:rsidP="002B0EAB">
      <w:pPr>
        <w:ind w:firstLine="709"/>
        <w:rPr>
          <w:rStyle w:val="apple-converted-space"/>
          <w:color w:val="000000" w:themeColor="text1"/>
        </w:rPr>
      </w:pPr>
    </w:p>
    <w:p w:rsidR="002B0EAB" w:rsidRPr="00BB556C" w:rsidRDefault="002B0EAB" w:rsidP="002B0EAB">
      <w:pPr>
        <w:rPr>
          <w:color w:val="000000" w:themeColor="text1"/>
        </w:rPr>
      </w:pPr>
      <w:r w:rsidRPr="00BB556C">
        <w:rPr>
          <w:noProof/>
          <w:color w:val="000000" w:themeColor="text1"/>
        </w:rPr>
        <w:drawing>
          <wp:inline distT="0" distB="0" distL="0" distR="0" wp14:anchorId="02ACE45F" wp14:editId="3DC1C7E2">
            <wp:extent cx="6124575" cy="2514600"/>
            <wp:effectExtent l="0" t="0" r="0" b="3810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B556C">
        <w:rPr>
          <w:color w:val="000000" w:themeColor="text1"/>
        </w:rPr>
        <w:t xml:space="preserve"> </w:t>
      </w:r>
    </w:p>
    <w:p w:rsidR="002B0EAB" w:rsidRPr="00BB556C" w:rsidRDefault="002B0EAB" w:rsidP="002B0EAB">
      <w:pPr>
        <w:ind w:firstLine="709"/>
        <w:rPr>
          <w:color w:val="000000" w:themeColor="text1"/>
        </w:rPr>
      </w:pPr>
    </w:p>
    <w:p w:rsidR="002B0EAB" w:rsidRPr="00BB556C" w:rsidRDefault="002B0EAB" w:rsidP="002B0EAB">
      <w:pPr>
        <w:ind w:firstLine="709"/>
        <w:rPr>
          <w:rStyle w:val="apple-style-span"/>
          <w:color w:val="000000" w:themeColor="text1"/>
        </w:rPr>
      </w:pPr>
      <w:r w:rsidRPr="00BB556C">
        <w:rPr>
          <w:color w:val="000000" w:themeColor="text1"/>
        </w:rPr>
        <w:t xml:space="preserve">Основную долю налоговых поступлений бюджета городского округа город Мегион составляет налог на доходы физических лиц – </w:t>
      </w:r>
      <w:r w:rsidR="00A01FCF" w:rsidRPr="00BB556C">
        <w:rPr>
          <w:color w:val="000000" w:themeColor="text1"/>
        </w:rPr>
        <w:t>77,8</w:t>
      </w:r>
      <w:r w:rsidRPr="00BB556C">
        <w:rPr>
          <w:color w:val="000000" w:themeColor="text1"/>
        </w:rPr>
        <w:t xml:space="preserve">%. </w:t>
      </w:r>
      <w:r w:rsidRPr="00BB556C">
        <w:rPr>
          <w:rStyle w:val="apple-style-span"/>
          <w:color w:val="000000" w:themeColor="text1"/>
        </w:rPr>
        <w:t xml:space="preserve">По сравнению с аналогичным периодом 2015 года налог на доходы физических лиц увеличился на </w:t>
      </w:r>
      <w:r w:rsidR="00A01FCF" w:rsidRPr="00BB556C">
        <w:rPr>
          <w:rStyle w:val="apple-style-span"/>
          <w:color w:val="000000" w:themeColor="text1"/>
        </w:rPr>
        <w:t>8,6</w:t>
      </w:r>
      <w:r w:rsidRPr="00BB556C">
        <w:rPr>
          <w:rStyle w:val="apple-style-span"/>
          <w:color w:val="000000" w:themeColor="text1"/>
        </w:rPr>
        <w:t xml:space="preserve">% и составил </w:t>
      </w:r>
      <w:r w:rsidR="00A01FCF" w:rsidRPr="00BB556C">
        <w:rPr>
          <w:rStyle w:val="apple-style-span"/>
          <w:color w:val="000000" w:themeColor="text1"/>
        </w:rPr>
        <w:t>499 109,3</w:t>
      </w:r>
      <w:r w:rsidRPr="00BB556C">
        <w:rPr>
          <w:rStyle w:val="apple-style-span"/>
          <w:color w:val="000000" w:themeColor="text1"/>
        </w:rPr>
        <w:t xml:space="preserve"> тыс.рублей.</w:t>
      </w:r>
    </w:p>
    <w:p w:rsidR="002B0EAB" w:rsidRPr="00BB556C" w:rsidRDefault="00A01FCF" w:rsidP="002B0EAB">
      <w:pPr>
        <w:autoSpaceDE w:val="0"/>
        <w:autoSpaceDN w:val="0"/>
        <w:adjustRightInd w:val="0"/>
        <w:ind w:firstLine="709"/>
        <w:rPr>
          <w:color w:val="000000" w:themeColor="text1"/>
        </w:rPr>
      </w:pPr>
      <w:r w:rsidRPr="00BB556C">
        <w:rPr>
          <w:color w:val="000000" w:themeColor="text1"/>
        </w:rPr>
        <w:t>За январь-сентябрь</w:t>
      </w:r>
      <w:r w:rsidR="002B0EAB" w:rsidRPr="00BB556C">
        <w:rPr>
          <w:color w:val="000000" w:themeColor="text1"/>
        </w:rPr>
        <w:t xml:space="preserve"> 2016 года в бюджет города поступило </w:t>
      </w:r>
      <w:r w:rsidRPr="00BB556C">
        <w:rPr>
          <w:color w:val="000000" w:themeColor="text1"/>
        </w:rPr>
        <w:t>10 224,4</w:t>
      </w:r>
      <w:r w:rsidR="002B0EAB" w:rsidRPr="00BB556C">
        <w:rPr>
          <w:color w:val="000000" w:themeColor="text1"/>
        </w:rPr>
        <w:t xml:space="preserve"> тыс.рублей налога на товары (работы, услуги) реализуемые на территории РФ, что на </w:t>
      </w:r>
      <w:r w:rsidRPr="00BB556C">
        <w:rPr>
          <w:color w:val="000000" w:themeColor="text1"/>
        </w:rPr>
        <w:t>45,3</w:t>
      </w:r>
      <w:r w:rsidR="002B0EAB" w:rsidRPr="00BB556C">
        <w:rPr>
          <w:color w:val="000000" w:themeColor="text1"/>
        </w:rPr>
        <w:t>% больше, чем за аналогичный период 2015 года.</w:t>
      </w:r>
    </w:p>
    <w:p w:rsidR="002B0EAB" w:rsidRPr="00BB556C" w:rsidRDefault="002B0EAB" w:rsidP="002B0EAB">
      <w:pPr>
        <w:ind w:firstLine="709"/>
        <w:rPr>
          <w:rStyle w:val="apple-style-span"/>
          <w:color w:val="000000" w:themeColor="text1"/>
        </w:rPr>
      </w:pPr>
      <w:r w:rsidRPr="00BB556C">
        <w:rPr>
          <w:rStyle w:val="apple-style-span"/>
          <w:color w:val="000000" w:themeColor="text1"/>
        </w:rPr>
        <w:t xml:space="preserve">В отчетном периоде на </w:t>
      </w:r>
      <w:r w:rsidR="00A01FCF" w:rsidRPr="00BB556C">
        <w:rPr>
          <w:rStyle w:val="apple-style-span"/>
          <w:color w:val="000000" w:themeColor="text1"/>
        </w:rPr>
        <w:t>2,3</w:t>
      </w:r>
      <w:r w:rsidRPr="00BB556C">
        <w:rPr>
          <w:rStyle w:val="apple-style-span"/>
          <w:color w:val="000000" w:themeColor="text1"/>
        </w:rPr>
        <w:t xml:space="preserve">% снизились налоги на совокупный доход. Единый налог на вмененный доход составил </w:t>
      </w:r>
      <w:r w:rsidR="00A01FCF" w:rsidRPr="00BB556C">
        <w:rPr>
          <w:rStyle w:val="apple-style-span"/>
          <w:color w:val="000000" w:themeColor="text1"/>
        </w:rPr>
        <w:t>35 422,9</w:t>
      </w:r>
      <w:r w:rsidRPr="00BB556C">
        <w:rPr>
          <w:rStyle w:val="apple-style-span"/>
          <w:color w:val="000000" w:themeColor="text1"/>
        </w:rPr>
        <w:t xml:space="preserve"> тыс.рублей и снизился на </w:t>
      </w:r>
      <w:r w:rsidR="00A01FCF" w:rsidRPr="00BB556C">
        <w:rPr>
          <w:rStyle w:val="apple-style-span"/>
          <w:color w:val="000000" w:themeColor="text1"/>
        </w:rPr>
        <w:t>15,1</w:t>
      </w:r>
      <w:r w:rsidRPr="00BB556C">
        <w:rPr>
          <w:rStyle w:val="apple-style-span"/>
          <w:color w:val="000000" w:themeColor="text1"/>
        </w:rPr>
        <w:t>%. Единый налог, взимаемый в связи с применением упрощенной систем</w:t>
      </w:r>
      <w:r w:rsidR="00A01FCF" w:rsidRPr="00BB556C">
        <w:rPr>
          <w:rStyle w:val="apple-style-span"/>
          <w:color w:val="000000" w:themeColor="text1"/>
        </w:rPr>
        <w:t>ы налогообложения за январь-сентябрь</w:t>
      </w:r>
      <w:r w:rsidRPr="00BB556C">
        <w:rPr>
          <w:rStyle w:val="apple-style-span"/>
          <w:color w:val="000000" w:themeColor="text1"/>
        </w:rPr>
        <w:t xml:space="preserve"> 2016 года составил </w:t>
      </w:r>
      <w:r w:rsidR="00A01FCF" w:rsidRPr="00BB556C">
        <w:rPr>
          <w:rStyle w:val="apple-style-span"/>
          <w:color w:val="000000" w:themeColor="text1"/>
        </w:rPr>
        <w:t xml:space="preserve">65 260,9 </w:t>
      </w:r>
      <w:r w:rsidRPr="00BB556C">
        <w:rPr>
          <w:rStyle w:val="apple-style-span"/>
          <w:color w:val="000000" w:themeColor="text1"/>
        </w:rPr>
        <w:t xml:space="preserve">тыс.рублей, темп роста по отношению к аналогичному периоду 2015 года составил </w:t>
      </w:r>
      <w:r w:rsidR="00A01FCF" w:rsidRPr="00BB556C">
        <w:rPr>
          <w:rStyle w:val="apple-style-span"/>
          <w:color w:val="000000" w:themeColor="text1"/>
        </w:rPr>
        <w:t>101,7</w:t>
      </w:r>
      <w:r w:rsidRPr="00BB556C">
        <w:rPr>
          <w:rStyle w:val="apple-style-span"/>
          <w:color w:val="000000" w:themeColor="text1"/>
        </w:rPr>
        <w:t>%. В отчетном периоде значительно увеличился налог взимаемый в виде стоимости патента в св</w:t>
      </w:r>
      <w:r w:rsidR="009F05DB" w:rsidRPr="00BB556C">
        <w:rPr>
          <w:rStyle w:val="apple-style-span"/>
          <w:color w:val="000000" w:themeColor="text1"/>
        </w:rPr>
        <w:t>я</w:t>
      </w:r>
      <w:r w:rsidRPr="00BB556C">
        <w:rPr>
          <w:rStyle w:val="apple-style-span"/>
          <w:color w:val="000000" w:themeColor="text1"/>
        </w:rPr>
        <w:t xml:space="preserve">зи с применением упрощенной системы налогообложения – в </w:t>
      </w:r>
      <w:r w:rsidR="00A01FCF" w:rsidRPr="00BB556C">
        <w:rPr>
          <w:rStyle w:val="apple-style-span"/>
          <w:color w:val="000000" w:themeColor="text1"/>
        </w:rPr>
        <w:t>2,5</w:t>
      </w:r>
      <w:r w:rsidRPr="00BB556C">
        <w:rPr>
          <w:rStyle w:val="apple-style-span"/>
          <w:color w:val="000000" w:themeColor="text1"/>
        </w:rPr>
        <w:t xml:space="preserve"> раза и составил </w:t>
      </w:r>
      <w:r w:rsidR="00A01FCF" w:rsidRPr="00BB556C">
        <w:rPr>
          <w:rStyle w:val="apple-style-span"/>
          <w:color w:val="000000" w:themeColor="text1"/>
        </w:rPr>
        <w:t>4 195,6</w:t>
      </w:r>
      <w:r w:rsidRPr="00BB556C">
        <w:rPr>
          <w:rStyle w:val="apple-style-span"/>
          <w:color w:val="000000" w:themeColor="text1"/>
        </w:rPr>
        <w:t xml:space="preserve"> тыс.рублей.</w:t>
      </w:r>
    </w:p>
    <w:p w:rsidR="002B0EAB" w:rsidRPr="00BB556C" w:rsidRDefault="002B0EAB" w:rsidP="002B0EAB">
      <w:pPr>
        <w:ind w:firstLine="709"/>
        <w:rPr>
          <w:color w:val="000000" w:themeColor="text1"/>
        </w:rPr>
      </w:pPr>
      <w:r w:rsidRPr="00BB556C">
        <w:rPr>
          <w:color w:val="000000" w:themeColor="text1"/>
        </w:rPr>
        <w:t xml:space="preserve">Исполнение местного бюджета по неналоговым доходам за </w:t>
      </w:r>
      <w:r w:rsidR="00D23D90" w:rsidRPr="00BB556C">
        <w:rPr>
          <w:color w:val="000000" w:themeColor="text1"/>
        </w:rPr>
        <w:t>9 месяцев</w:t>
      </w:r>
      <w:r w:rsidRPr="00BB556C">
        <w:rPr>
          <w:color w:val="000000" w:themeColor="text1"/>
        </w:rPr>
        <w:t xml:space="preserve"> 2016 года составило </w:t>
      </w:r>
      <w:r w:rsidR="00D23D90" w:rsidRPr="00BB556C">
        <w:rPr>
          <w:color w:val="000000" w:themeColor="text1"/>
        </w:rPr>
        <w:t>210 922,1</w:t>
      </w:r>
      <w:r w:rsidRPr="00BB556C">
        <w:rPr>
          <w:color w:val="000000" w:themeColor="text1"/>
        </w:rPr>
        <w:t xml:space="preserve"> тыс.рублей и по сравнению с аналогичным периодом 2015 года неналоговые доходы увеличились на </w:t>
      </w:r>
      <w:r w:rsidR="00D23D90" w:rsidRPr="00BB556C">
        <w:rPr>
          <w:color w:val="000000" w:themeColor="text1"/>
        </w:rPr>
        <w:t>11,2</w:t>
      </w:r>
      <w:r w:rsidRPr="00BB556C">
        <w:rPr>
          <w:color w:val="000000" w:themeColor="text1"/>
        </w:rPr>
        <w:t xml:space="preserve">%. Удельный вес неналоговых доходов в собственных доходах местного бюджета составляет </w:t>
      </w:r>
      <w:r w:rsidR="00D23D90" w:rsidRPr="00BB556C">
        <w:rPr>
          <w:color w:val="000000" w:themeColor="text1"/>
        </w:rPr>
        <w:t>24,8</w:t>
      </w:r>
      <w:r w:rsidRPr="00BB556C">
        <w:rPr>
          <w:color w:val="000000" w:themeColor="text1"/>
        </w:rPr>
        <w:t xml:space="preserve">%. </w:t>
      </w:r>
    </w:p>
    <w:p w:rsidR="002B0EAB" w:rsidRPr="00BB556C" w:rsidRDefault="002B0EAB" w:rsidP="002B0EAB">
      <w:pPr>
        <w:ind w:firstLine="709"/>
        <w:rPr>
          <w:color w:val="000000" w:themeColor="text1"/>
        </w:rPr>
      </w:pPr>
    </w:p>
    <w:p w:rsidR="002B0EAB" w:rsidRPr="00BB556C" w:rsidRDefault="002B0EAB" w:rsidP="002B0EAB">
      <w:pPr>
        <w:rPr>
          <w:color w:val="000000" w:themeColor="text1"/>
        </w:rPr>
      </w:pPr>
      <w:r w:rsidRPr="00BB556C">
        <w:rPr>
          <w:noProof/>
          <w:color w:val="000000" w:themeColor="text1"/>
        </w:rPr>
        <w:lastRenderedPageBreak/>
        <w:drawing>
          <wp:inline distT="0" distB="0" distL="0" distR="0" wp14:anchorId="4E1E0BDC" wp14:editId="71B9D0D5">
            <wp:extent cx="5966460" cy="26670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B556C">
        <w:rPr>
          <w:color w:val="000000" w:themeColor="text1"/>
        </w:rPr>
        <w:br/>
      </w:r>
    </w:p>
    <w:p w:rsidR="002B0EAB" w:rsidRPr="00BB556C" w:rsidRDefault="002B0EAB" w:rsidP="002B0EAB">
      <w:pPr>
        <w:ind w:firstLine="709"/>
        <w:rPr>
          <w:color w:val="000000" w:themeColor="text1"/>
        </w:rPr>
      </w:pPr>
      <w:r w:rsidRPr="00BB556C">
        <w:rPr>
          <w:color w:val="000000" w:themeColor="text1"/>
        </w:rPr>
        <w:t xml:space="preserve">Наибольшую долю – </w:t>
      </w:r>
      <w:r w:rsidR="00ED5FEE" w:rsidRPr="00BB556C">
        <w:rPr>
          <w:color w:val="000000" w:themeColor="text1"/>
        </w:rPr>
        <w:t>68,4</w:t>
      </w:r>
      <w:r w:rsidRPr="00BB556C">
        <w:rPr>
          <w:color w:val="000000" w:themeColor="text1"/>
        </w:rPr>
        <w:t>% в неналоговых доходах местного бюджета составляют доходы от использования имущества, находящегося в государственной и муниципальной собственнос</w:t>
      </w:r>
      <w:r w:rsidR="00ED5FEE" w:rsidRPr="00BB556C">
        <w:rPr>
          <w:color w:val="000000" w:themeColor="text1"/>
        </w:rPr>
        <w:t>ти, которые за январь-сентябрь</w:t>
      </w:r>
      <w:r w:rsidRPr="00BB556C">
        <w:rPr>
          <w:color w:val="000000" w:themeColor="text1"/>
        </w:rPr>
        <w:t xml:space="preserve"> 2016 года составили </w:t>
      </w:r>
      <w:r w:rsidR="00ED5FEE" w:rsidRPr="00BB556C">
        <w:rPr>
          <w:color w:val="000000" w:themeColor="text1"/>
        </w:rPr>
        <w:t>144 290,2</w:t>
      </w:r>
      <w:r w:rsidRPr="00BB556C">
        <w:rPr>
          <w:color w:val="000000" w:themeColor="text1"/>
        </w:rPr>
        <w:t xml:space="preserve"> тыс.рублей. По сравнению с аналогичным периодом 2015 года данные поступления увеличились на </w:t>
      </w:r>
      <w:r w:rsidR="00ED5FEE" w:rsidRPr="00BB556C">
        <w:rPr>
          <w:color w:val="000000" w:themeColor="text1"/>
        </w:rPr>
        <w:t>5</w:t>
      </w:r>
      <w:r w:rsidRPr="00BB556C">
        <w:rPr>
          <w:color w:val="000000" w:themeColor="text1"/>
        </w:rPr>
        <w:t>,3%.</w:t>
      </w:r>
    </w:p>
    <w:p w:rsidR="002B0EAB" w:rsidRPr="00BB556C" w:rsidRDefault="002B0EAB" w:rsidP="002B0EAB">
      <w:pPr>
        <w:ind w:firstLine="709"/>
        <w:rPr>
          <w:color w:val="000000" w:themeColor="text1"/>
        </w:rPr>
      </w:pPr>
      <w:r w:rsidRPr="00BB556C">
        <w:rPr>
          <w:color w:val="000000" w:themeColor="text1"/>
        </w:rPr>
        <w:t xml:space="preserve">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дотационности городского округа. Доля безвозмездных поступлений за отчетный период снизилась по сравнению с </w:t>
      </w:r>
      <w:r w:rsidR="00ED5FEE" w:rsidRPr="00BB556C">
        <w:rPr>
          <w:color w:val="000000" w:themeColor="text1"/>
        </w:rPr>
        <w:t>9 месяцвми</w:t>
      </w:r>
      <w:r w:rsidRPr="00BB556C">
        <w:rPr>
          <w:color w:val="000000" w:themeColor="text1"/>
        </w:rPr>
        <w:t xml:space="preserve"> 2015 года на 3,9 процентных пункта (с </w:t>
      </w:r>
      <w:r w:rsidR="00ED5FEE" w:rsidRPr="00BB556C">
        <w:rPr>
          <w:color w:val="000000" w:themeColor="text1"/>
        </w:rPr>
        <w:t>72,3</w:t>
      </w:r>
      <w:r w:rsidRPr="00BB556C">
        <w:rPr>
          <w:color w:val="000000" w:themeColor="text1"/>
        </w:rPr>
        <w:t xml:space="preserve">% за </w:t>
      </w:r>
      <w:r w:rsidR="00ED5FEE" w:rsidRPr="00BB556C">
        <w:rPr>
          <w:color w:val="000000" w:themeColor="text1"/>
        </w:rPr>
        <w:t>9 месяцев</w:t>
      </w:r>
      <w:r w:rsidRPr="00BB556C">
        <w:rPr>
          <w:color w:val="000000" w:themeColor="text1"/>
        </w:rPr>
        <w:t xml:space="preserve"> 2015 года до </w:t>
      </w:r>
      <w:r w:rsidR="00ED5FEE" w:rsidRPr="00BB556C">
        <w:rPr>
          <w:color w:val="000000" w:themeColor="text1"/>
        </w:rPr>
        <w:t>68,4</w:t>
      </w:r>
      <w:r w:rsidRPr="00BB556C">
        <w:rPr>
          <w:color w:val="000000" w:themeColor="text1"/>
        </w:rPr>
        <w:t xml:space="preserve">% за </w:t>
      </w:r>
      <w:r w:rsidR="00ED5FEE" w:rsidRPr="00BB556C">
        <w:rPr>
          <w:color w:val="000000" w:themeColor="text1"/>
        </w:rPr>
        <w:t>9 месяцев</w:t>
      </w:r>
      <w:r w:rsidRPr="00BB556C">
        <w:rPr>
          <w:color w:val="000000" w:themeColor="text1"/>
        </w:rPr>
        <w:t xml:space="preserve"> 2016 года). Общая сумма безвозмездных поступлений за отчетный период составила </w:t>
      </w:r>
      <w:r w:rsidR="00ED5FEE" w:rsidRPr="00BB556C">
        <w:rPr>
          <w:color w:val="000000" w:themeColor="text1"/>
        </w:rPr>
        <w:t>1 843 360,8</w:t>
      </w:r>
      <w:r w:rsidRPr="00BB556C">
        <w:rPr>
          <w:color w:val="000000" w:themeColor="text1"/>
        </w:rPr>
        <w:t xml:space="preserve"> тыс.рублей, или </w:t>
      </w:r>
      <w:r w:rsidR="00ED5FEE" w:rsidRPr="00BB556C">
        <w:rPr>
          <w:color w:val="000000" w:themeColor="text1"/>
        </w:rPr>
        <w:t>88,8</w:t>
      </w:r>
      <w:r w:rsidRPr="00BB556C">
        <w:rPr>
          <w:color w:val="000000" w:themeColor="text1"/>
        </w:rPr>
        <w:t>% к аналогичному периоду 2015 года.</w:t>
      </w:r>
    </w:p>
    <w:p w:rsidR="002B0EAB" w:rsidRPr="00BB556C" w:rsidRDefault="002B0EAB" w:rsidP="002B0EAB">
      <w:pPr>
        <w:ind w:firstLine="709"/>
        <w:rPr>
          <w:color w:val="000000" w:themeColor="text1"/>
        </w:rPr>
      </w:pPr>
      <w:r w:rsidRPr="00BB556C">
        <w:rPr>
          <w:color w:val="000000" w:themeColor="text1"/>
        </w:rPr>
        <w:t>В расчете на одного жителя доходы бюджета городского округа город Мегион за январь-</w:t>
      </w:r>
      <w:r w:rsidR="00ED5FEE" w:rsidRPr="00BB556C">
        <w:rPr>
          <w:color w:val="000000" w:themeColor="text1"/>
        </w:rPr>
        <w:t>сентябрь</w:t>
      </w:r>
      <w:r w:rsidRPr="00BB556C">
        <w:rPr>
          <w:color w:val="000000" w:themeColor="text1"/>
        </w:rPr>
        <w:t xml:space="preserve"> 2016 года составили </w:t>
      </w:r>
      <w:r w:rsidR="00ED5FEE" w:rsidRPr="00BB556C">
        <w:rPr>
          <w:color w:val="000000" w:themeColor="text1"/>
        </w:rPr>
        <w:t>48374</w:t>
      </w:r>
      <w:r w:rsidRPr="00BB556C">
        <w:rPr>
          <w:color w:val="000000" w:themeColor="text1"/>
        </w:rPr>
        <w:t xml:space="preserve"> рублей.</w:t>
      </w:r>
    </w:p>
    <w:p w:rsidR="002B0EAB" w:rsidRPr="00BB556C" w:rsidRDefault="002B0EAB" w:rsidP="002B0EAB">
      <w:pPr>
        <w:ind w:firstLine="709"/>
        <w:rPr>
          <w:color w:val="000000" w:themeColor="text1"/>
        </w:rPr>
      </w:pPr>
    </w:p>
    <w:p w:rsidR="002B0EAB" w:rsidRPr="00BB556C" w:rsidRDefault="002B0EAB" w:rsidP="002B0EAB">
      <w:pPr>
        <w:pStyle w:val="af"/>
        <w:spacing w:after="0"/>
        <w:ind w:firstLine="709"/>
        <w:rPr>
          <w:rStyle w:val="af3"/>
          <w:b w:val="0"/>
          <w:color w:val="000000" w:themeColor="text1"/>
        </w:rPr>
      </w:pPr>
      <w:r w:rsidRPr="00BB556C">
        <w:rPr>
          <w:rStyle w:val="af3"/>
          <w:b w:val="0"/>
          <w:color w:val="000000" w:themeColor="text1"/>
        </w:rPr>
        <w:t>Исполнение </w:t>
      </w:r>
      <w:r w:rsidRPr="00BB556C">
        <w:rPr>
          <w:rStyle w:val="apple-converted-space"/>
          <w:color w:val="000000" w:themeColor="text1"/>
        </w:rPr>
        <w:t> </w:t>
      </w:r>
      <w:r w:rsidRPr="00BB556C">
        <w:rPr>
          <w:rStyle w:val="af3"/>
          <w:b w:val="0"/>
          <w:color w:val="000000" w:themeColor="text1"/>
        </w:rPr>
        <w:t>местного бюджета по расходам</w:t>
      </w:r>
    </w:p>
    <w:p w:rsidR="002B0EAB" w:rsidRPr="00BB556C" w:rsidRDefault="002B0EAB" w:rsidP="002B0EAB">
      <w:pPr>
        <w:pStyle w:val="af"/>
        <w:spacing w:after="0"/>
        <w:ind w:firstLine="709"/>
        <w:rPr>
          <w:color w:val="000000" w:themeColor="text1"/>
        </w:rPr>
      </w:pPr>
    </w:p>
    <w:p w:rsidR="002B0EAB" w:rsidRPr="00BB556C" w:rsidRDefault="002B0EAB" w:rsidP="002B0EAB">
      <w:pPr>
        <w:pStyle w:val="af"/>
        <w:widowControl w:val="0"/>
        <w:suppressAutoHyphens/>
        <w:spacing w:after="0"/>
        <w:ind w:firstLine="709"/>
        <w:rPr>
          <w:color w:val="000000" w:themeColor="text1"/>
        </w:rPr>
      </w:pPr>
      <w:r w:rsidRPr="00BB556C">
        <w:rPr>
          <w:color w:val="000000" w:themeColor="text1"/>
        </w:rPr>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2B0EAB" w:rsidRPr="00BB556C" w:rsidRDefault="002B0EAB" w:rsidP="002B0EAB">
      <w:pPr>
        <w:pStyle w:val="a3"/>
        <w:spacing w:after="0"/>
        <w:ind w:left="0" w:firstLine="709"/>
        <w:rPr>
          <w:color w:val="000000" w:themeColor="text1"/>
        </w:rPr>
      </w:pPr>
      <w:r w:rsidRPr="00BB556C">
        <w:rPr>
          <w:color w:val="000000" w:themeColor="text1"/>
        </w:rPr>
        <w:t>Расходная часть бюджета городского округа город Мегион на 2016 год утверждена в сумме 3 873,7 млн.рублей. Исполнение консолидированного бюджета городского ок</w:t>
      </w:r>
      <w:r w:rsidR="00ED5FEE" w:rsidRPr="00BB556C">
        <w:rPr>
          <w:color w:val="000000" w:themeColor="text1"/>
        </w:rPr>
        <w:t>руга город Мегион за январь-сентябрь</w:t>
      </w:r>
      <w:r w:rsidRPr="00BB556C">
        <w:rPr>
          <w:color w:val="000000" w:themeColor="text1"/>
        </w:rPr>
        <w:t xml:space="preserve"> 2016 года составило </w:t>
      </w:r>
      <w:r w:rsidR="00ED5FEE" w:rsidRPr="00BB556C">
        <w:rPr>
          <w:color w:val="000000" w:themeColor="text1"/>
        </w:rPr>
        <w:t xml:space="preserve">2 644 339,8 </w:t>
      </w:r>
      <w:r w:rsidRPr="00BB556C">
        <w:rPr>
          <w:color w:val="000000" w:themeColor="text1"/>
        </w:rPr>
        <w:t xml:space="preserve"> тыс.рублей. По сравнению с аналогичным периодом 2015</w:t>
      </w:r>
      <w:r w:rsidR="00ED5FEE" w:rsidRPr="00BB556C">
        <w:rPr>
          <w:color w:val="000000" w:themeColor="text1"/>
        </w:rPr>
        <w:t xml:space="preserve"> года расходы уменьшились </w:t>
      </w:r>
      <w:r w:rsidRPr="00BB556C">
        <w:rPr>
          <w:color w:val="000000" w:themeColor="text1"/>
        </w:rPr>
        <w:t xml:space="preserve"> на </w:t>
      </w:r>
      <w:r w:rsidR="00ED5FEE" w:rsidRPr="00BB556C">
        <w:rPr>
          <w:color w:val="000000" w:themeColor="text1"/>
        </w:rPr>
        <w:t>4,5</w:t>
      </w:r>
      <w:r w:rsidRPr="00BB556C">
        <w:rPr>
          <w:color w:val="000000" w:themeColor="text1"/>
        </w:rPr>
        <w:t>%.</w:t>
      </w:r>
    </w:p>
    <w:p w:rsidR="002B0EAB" w:rsidRPr="00BB556C" w:rsidRDefault="002B0EAB" w:rsidP="002B0EAB">
      <w:pPr>
        <w:rPr>
          <w:color w:val="000000" w:themeColor="text1"/>
        </w:rPr>
      </w:pPr>
      <w:r w:rsidRPr="00BB556C">
        <w:rPr>
          <w:noProof/>
          <w:color w:val="000000" w:themeColor="text1"/>
        </w:rPr>
        <w:lastRenderedPageBreak/>
        <w:drawing>
          <wp:inline distT="0" distB="0" distL="0" distR="0" wp14:anchorId="008D7A63" wp14:editId="4E9CD6F2">
            <wp:extent cx="6088380" cy="196596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EAB" w:rsidRPr="00BB556C" w:rsidRDefault="002B0EAB" w:rsidP="002B0EAB">
      <w:pPr>
        <w:pStyle w:val="a3"/>
        <w:spacing w:after="0"/>
        <w:ind w:left="0" w:firstLine="720"/>
        <w:rPr>
          <w:color w:val="000000" w:themeColor="text1"/>
        </w:rPr>
      </w:pPr>
      <w:r w:rsidRPr="00BB556C">
        <w:rPr>
          <w:color w:val="000000" w:themeColor="text1"/>
        </w:rPr>
        <w:t>В разрезе основных направлений структура расходов бюджета городского округа город Мегион сложилась следующим образом:</w:t>
      </w:r>
    </w:p>
    <w:p w:rsidR="002B0EAB" w:rsidRPr="001A078E" w:rsidRDefault="002B0EAB" w:rsidP="002B0EAB">
      <w:pPr>
        <w:pStyle w:val="a3"/>
        <w:spacing w:after="0"/>
        <w:ind w:left="0" w:firstLine="720"/>
        <w:rPr>
          <w:color w:val="000000" w:themeColor="text1"/>
          <w:sz w:val="16"/>
          <w:szCs w:val="16"/>
        </w:rPr>
      </w:pPr>
    </w:p>
    <w:tbl>
      <w:tblPr>
        <w:tblW w:w="9771" w:type="dxa"/>
        <w:tblLayout w:type="fixed"/>
        <w:tblLook w:val="01E0" w:firstRow="1" w:lastRow="1" w:firstColumn="1" w:lastColumn="1" w:noHBand="0" w:noVBand="0"/>
      </w:tblPr>
      <w:tblGrid>
        <w:gridCol w:w="3248"/>
        <w:gridCol w:w="1537"/>
        <w:gridCol w:w="1538"/>
        <w:gridCol w:w="1806"/>
        <w:gridCol w:w="1642"/>
      </w:tblGrid>
      <w:tr w:rsidR="002B0EAB" w:rsidRPr="00BB556C" w:rsidTr="001A078E">
        <w:trPr>
          <w:trHeight w:val="360"/>
          <w:tblHeader/>
        </w:trPr>
        <w:tc>
          <w:tcPr>
            <w:tcW w:w="3248" w:type="dxa"/>
            <w:vMerge w:val="restart"/>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pStyle w:val="af"/>
              <w:widowControl w:val="0"/>
              <w:tabs>
                <w:tab w:val="center" w:pos="4677"/>
                <w:tab w:val="right" w:pos="9355"/>
              </w:tabs>
              <w:suppressAutoHyphens/>
              <w:spacing w:after="0"/>
              <w:jc w:val="center"/>
              <w:rPr>
                <w:color w:val="000000" w:themeColor="text1"/>
                <w:sz w:val="20"/>
                <w:szCs w:val="20"/>
              </w:rPr>
            </w:pP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9 месяцев 2015</w:t>
            </w:r>
            <w:r w:rsidR="002B0EAB" w:rsidRPr="00BB556C">
              <w:rPr>
                <w:color w:val="000000" w:themeColor="text1"/>
                <w:sz w:val="20"/>
                <w:szCs w:val="20"/>
              </w:rPr>
              <w:t xml:space="preserve"> года</w:t>
            </w:r>
          </w:p>
        </w:tc>
        <w:tc>
          <w:tcPr>
            <w:tcW w:w="3448" w:type="dxa"/>
            <w:gridSpan w:val="2"/>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9 месяцев 2016</w:t>
            </w:r>
            <w:r w:rsidR="002B0EAB" w:rsidRPr="00BB556C">
              <w:rPr>
                <w:color w:val="000000" w:themeColor="text1"/>
                <w:sz w:val="20"/>
                <w:szCs w:val="20"/>
              </w:rPr>
              <w:t xml:space="preserve"> года</w:t>
            </w:r>
          </w:p>
        </w:tc>
      </w:tr>
      <w:tr w:rsidR="002B0EAB" w:rsidRPr="00BB556C" w:rsidTr="001A078E">
        <w:trPr>
          <w:trHeight w:val="279"/>
          <w:tblHeader/>
        </w:trPr>
        <w:tc>
          <w:tcPr>
            <w:tcW w:w="324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2B0EAB" w:rsidRPr="00BB556C" w:rsidRDefault="002B0EAB" w:rsidP="002B0EAB">
            <w:pPr>
              <w:tabs>
                <w:tab w:val="center" w:pos="4677"/>
                <w:tab w:val="right" w:pos="9355"/>
              </w:tabs>
              <w:jc w:val="center"/>
              <w:rPr>
                <w:bCs/>
                <w:color w:val="000000" w:themeColor="text1"/>
                <w:sz w:val="20"/>
                <w:szCs w:val="20"/>
              </w:rPr>
            </w:pP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сумма, тыс. руб.</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уд. вес %</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сумма, тыс. руб.</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pStyle w:val="af"/>
              <w:widowControl w:val="0"/>
              <w:tabs>
                <w:tab w:val="center" w:pos="4677"/>
                <w:tab w:val="right" w:pos="9355"/>
              </w:tabs>
              <w:suppressAutoHyphens/>
              <w:spacing w:after="0"/>
              <w:jc w:val="center"/>
              <w:rPr>
                <w:color w:val="000000" w:themeColor="text1"/>
                <w:sz w:val="20"/>
                <w:szCs w:val="20"/>
              </w:rPr>
            </w:pPr>
            <w:r w:rsidRPr="00BB556C">
              <w:rPr>
                <w:color w:val="000000" w:themeColor="text1"/>
                <w:sz w:val="20"/>
                <w:szCs w:val="20"/>
              </w:rPr>
              <w:t>уд. вес %</w:t>
            </w:r>
          </w:p>
        </w:tc>
      </w:tr>
      <w:tr w:rsidR="002B0EAB" w:rsidRPr="00BB556C" w:rsidTr="001A078E">
        <w:trPr>
          <w:trHeight w:val="245"/>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bCs/>
                <w:color w:val="000000" w:themeColor="text1"/>
              </w:rPr>
            </w:pPr>
            <w:r w:rsidRPr="00BB556C">
              <w:rPr>
                <w:bCs/>
                <w:color w:val="000000" w:themeColor="text1"/>
              </w:rPr>
              <w:t>Расходы – всего</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bCs/>
                <w:color w:val="000000" w:themeColor="text1"/>
              </w:rPr>
            </w:pPr>
            <w:r w:rsidRPr="00BB556C">
              <w:rPr>
                <w:bCs/>
                <w:color w:val="000000" w:themeColor="text1"/>
              </w:rPr>
              <w:t>2 768 390,9</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r w:rsidRPr="00BB556C">
              <w:rPr>
                <w:bCs/>
                <w:color w:val="000000" w:themeColor="text1"/>
              </w:rPr>
              <w:t>100,0</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bCs/>
                <w:color w:val="000000" w:themeColor="text1"/>
              </w:rPr>
            </w:pPr>
            <w:r w:rsidRPr="00BB556C">
              <w:rPr>
                <w:bCs/>
                <w:color w:val="000000" w:themeColor="text1"/>
              </w:rPr>
              <w:t>2 644 339,8</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r w:rsidRPr="00BB556C">
              <w:rPr>
                <w:bCs/>
                <w:color w:val="000000" w:themeColor="text1"/>
              </w:rPr>
              <w:t>100,0</w:t>
            </w:r>
          </w:p>
        </w:tc>
      </w:tr>
      <w:tr w:rsidR="002B0EAB" w:rsidRPr="00BB556C" w:rsidTr="001A078E">
        <w:trPr>
          <w:trHeight w:val="195"/>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в том числе:</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bCs/>
                <w:color w:val="000000" w:themeColor="text1"/>
              </w:rPr>
            </w:pPr>
          </w:p>
        </w:tc>
      </w:tr>
      <w:tr w:rsidR="002B0EAB" w:rsidRPr="00BB556C" w:rsidTr="001A078E">
        <w:trPr>
          <w:trHeight w:val="408"/>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Общегосударственные расходы</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305 901,7</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11,0</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290 955,2</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11,0</w:t>
            </w:r>
          </w:p>
        </w:tc>
      </w:tr>
      <w:tr w:rsidR="002B0EAB" w:rsidRPr="00BB556C" w:rsidTr="001A078E">
        <w:trPr>
          <w:trHeight w:val="259"/>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Обслуживание государственного и муниципального долга</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0,0</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0,0</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0,0</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w:t>
            </w:r>
          </w:p>
        </w:tc>
      </w:tr>
      <w:tr w:rsidR="002B0EAB" w:rsidRPr="00BB556C" w:rsidTr="001A078E">
        <w:trPr>
          <w:trHeight w:val="234"/>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Национальная безопасность и правоохранительная деятельность</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25 481,2</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0,9</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31 919,9</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B5D43" w:rsidP="002B0EAB">
            <w:pPr>
              <w:tabs>
                <w:tab w:val="center" w:pos="4677"/>
                <w:tab w:val="right" w:pos="9355"/>
              </w:tabs>
              <w:jc w:val="center"/>
              <w:rPr>
                <w:color w:val="000000" w:themeColor="text1"/>
              </w:rPr>
            </w:pPr>
            <w:r w:rsidRPr="00BB556C">
              <w:rPr>
                <w:color w:val="000000" w:themeColor="text1"/>
              </w:rPr>
              <w:t>1,2</w:t>
            </w:r>
          </w:p>
        </w:tc>
      </w:tr>
      <w:tr w:rsidR="002B0EAB" w:rsidRPr="00BB556C" w:rsidTr="001A078E">
        <w:trPr>
          <w:trHeight w:val="281"/>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Национальная экономика</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276 015,2</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10,0</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262 987,7</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B5D43" w:rsidP="002B0EAB">
            <w:pPr>
              <w:tabs>
                <w:tab w:val="center" w:pos="4677"/>
                <w:tab w:val="right" w:pos="9355"/>
              </w:tabs>
              <w:jc w:val="center"/>
              <w:rPr>
                <w:color w:val="000000" w:themeColor="text1"/>
              </w:rPr>
            </w:pPr>
            <w:r w:rsidRPr="00BB556C">
              <w:rPr>
                <w:color w:val="000000" w:themeColor="text1"/>
              </w:rPr>
              <w:t>9,9</w:t>
            </w:r>
          </w:p>
        </w:tc>
      </w:tr>
      <w:tr w:rsidR="002B0EAB" w:rsidRPr="00BB556C" w:rsidTr="001A078E">
        <w:trPr>
          <w:trHeight w:val="247"/>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Жилищно-коммунальное хозяйство</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267 316,1</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9,7</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193 275,9</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D71C3" w:rsidP="002B0EAB">
            <w:pPr>
              <w:tabs>
                <w:tab w:val="center" w:pos="4677"/>
                <w:tab w:val="right" w:pos="9355"/>
              </w:tabs>
              <w:jc w:val="center"/>
              <w:rPr>
                <w:color w:val="000000" w:themeColor="text1"/>
              </w:rPr>
            </w:pPr>
            <w:r w:rsidRPr="00BB556C">
              <w:rPr>
                <w:color w:val="000000" w:themeColor="text1"/>
              </w:rPr>
              <w:t>7,3</w:t>
            </w:r>
          </w:p>
        </w:tc>
      </w:tr>
      <w:tr w:rsidR="002B0EAB" w:rsidRPr="00BB556C" w:rsidTr="001A078E">
        <w:trPr>
          <w:trHeight w:val="195"/>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Образование</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1 450 233,2</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52,4</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1 584 263,0</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D71C3" w:rsidP="002B0EAB">
            <w:pPr>
              <w:tabs>
                <w:tab w:val="center" w:pos="4677"/>
                <w:tab w:val="right" w:pos="9355"/>
              </w:tabs>
              <w:jc w:val="center"/>
              <w:rPr>
                <w:color w:val="000000" w:themeColor="text1"/>
              </w:rPr>
            </w:pPr>
            <w:r w:rsidRPr="00BB556C">
              <w:rPr>
                <w:color w:val="000000" w:themeColor="text1"/>
              </w:rPr>
              <w:t>60,0</w:t>
            </w:r>
          </w:p>
        </w:tc>
      </w:tr>
      <w:tr w:rsidR="002B0EAB" w:rsidRPr="00BB556C" w:rsidTr="001A078E">
        <w:trPr>
          <w:trHeight w:val="232"/>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 xml:space="preserve">Культура </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114 175,2</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4,1</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132 669,3</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5,0</w:t>
            </w:r>
          </w:p>
        </w:tc>
      </w:tr>
      <w:tr w:rsidR="002B0EAB" w:rsidRPr="00BB556C" w:rsidTr="001A078E">
        <w:trPr>
          <w:trHeight w:val="236"/>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Средства массовой информации</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7 813,3</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0,3</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9 034,4</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jc w:val="center"/>
              <w:rPr>
                <w:color w:val="000000" w:themeColor="text1"/>
              </w:rPr>
            </w:pPr>
            <w:r w:rsidRPr="00BB556C">
              <w:rPr>
                <w:color w:val="000000" w:themeColor="text1"/>
              </w:rPr>
              <w:t>0,3</w:t>
            </w:r>
          </w:p>
        </w:tc>
      </w:tr>
      <w:tr w:rsidR="002B0EAB" w:rsidRPr="00BB556C" w:rsidTr="001A078E">
        <w:trPr>
          <w:trHeight w:val="117"/>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Физическая культура и спорт</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196 678,0</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7,1</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41 865,8</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D71C3" w:rsidP="002B0EAB">
            <w:pPr>
              <w:tabs>
                <w:tab w:val="center" w:pos="4677"/>
                <w:tab w:val="right" w:pos="9355"/>
              </w:tabs>
              <w:jc w:val="center"/>
              <w:rPr>
                <w:color w:val="000000" w:themeColor="text1"/>
              </w:rPr>
            </w:pPr>
            <w:r w:rsidRPr="00BB556C">
              <w:rPr>
                <w:color w:val="000000" w:themeColor="text1"/>
              </w:rPr>
              <w:t>1,6</w:t>
            </w:r>
          </w:p>
        </w:tc>
      </w:tr>
      <w:tr w:rsidR="002B0EAB" w:rsidRPr="00BB556C" w:rsidTr="001A078E">
        <w:trPr>
          <w:trHeight w:val="123"/>
        </w:trPr>
        <w:tc>
          <w:tcPr>
            <w:tcW w:w="3248" w:type="dxa"/>
            <w:tcBorders>
              <w:top w:val="single" w:sz="4" w:space="0" w:color="auto"/>
              <w:left w:val="single" w:sz="4" w:space="0" w:color="auto"/>
              <w:bottom w:val="single" w:sz="4" w:space="0" w:color="auto"/>
              <w:right w:val="single" w:sz="4" w:space="0" w:color="auto"/>
            </w:tcBorders>
            <w:vAlign w:val="center"/>
          </w:tcPr>
          <w:p w:rsidR="002B0EAB" w:rsidRPr="00BB556C" w:rsidRDefault="002B0EAB" w:rsidP="002B0EAB">
            <w:pPr>
              <w:tabs>
                <w:tab w:val="center" w:pos="4677"/>
                <w:tab w:val="right" w:pos="9355"/>
              </w:tabs>
              <w:autoSpaceDE w:val="0"/>
              <w:autoSpaceDN w:val="0"/>
              <w:adjustRightInd w:val="0"/>
              <w:ind w:firstLine="12"/>
              <w:jc w:val="left"/>
              <w:rPr>
                <w:color w:val="000000" w:themeColor="text1"/>
              </w:rPr>
            </w:pPr>
            <w:r w:rsidRPr="00BB556C">
              <w:rPr>
                <w:color w:val="000000" w:themeColor="text1"/>
              </w:rPr>
              <w:t>Социальная политика</w:t>
            </w:r>
          </w:p>
        </w:tc>
        <w:tc>
          <w:tcPr>
            <w:tcW w:w="1537"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124 776,4</w:t>
            </w:r>
          </w:p>
        </w:tc>
        <w:tc>
          <w:tcPr>
            <w:tcW w:w="1538"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4,5</w:t>
            </w:r>
          </w:p>
        </w:tc>
        <w:tc>
          <w:tcPr>
            <w:tcW w:w="1806" w:type="dxa"/>
            <w:tcBorders>
              <w:top w:val="single" w:sz="4" w:space="0" w:color="auto"/>
              <w:left w:val="single" w:sz="4" w:space="0" w:color="auto"/>
              <w:bottom w:val="single" w:sz="4" w:space="0" w:color="auto"/>
              <w:right w:val="single" w:sz="4" w:space="0" w:color="auto"/>
            </w:tcBorders>
            <w:vAlign w:val="center"/>
          </w:tcPr>
          <w:p w:rsidR="002B0EAB" w:rsidRPr="00BB556C" w:rsidRDefault="00870548" w:rsidP="002B0EAB">
            <w:pPr>
              <w:tabs>
                <w:tab w:val="center" w:pos="4677"/>
                <w:tab w:val="right" w:pos="9355"/>
              </w:tabs>
              <w:jc w:val="center"/>
              <w:rPr>
                <w:color w:val="000000" w:themeColor="text1"/>
              </w:rPr>
            </w:pPr>
            <w:r w:rsidRPr="00BB556C">
              <w:rPr>
                <w:color w:val="000000" w:themeColor="text1"/>
              </w:rPr>
              <w:t>97 368,7</w:t>
            </w:r>
          </w:p>
        </w:tc>
        <w:tc>
          <w:tcPr>
            <w:tcW w:w="1642" w:type="dxa"/>
            <w:tcBorders>
              <w:top w:val="single" w:sz="4" w:space="0" w:color="auto"/>
              <w:left w:val="single" w:sz="4" w:space="0" w:color="auto"/>
              <w:bottom w:val="single" w:sz="4" w:space="0" w:color="auto"/>
              <w:right w:val="single" w:sz="4" w:space="0" w:color="auto"/>
            </w:tcBorders>
            <w:vAlign w:val="center"/>
          </w:tcPr>
          <w:p w:rsidR="002B0EAB" w:rsidRPr="00BB556C" w:rsidRDefault="00FD71C3" w:rsidP="002B0EAB">
            <w:pPr>
              <w:tabs>
                <w:tab w:val="center" w:pos="4677"/>
                <w:tab w:val="right" w:pos="9355"/>
              </w:tabs>
              <w:jc w:val="center"/>
              <w:rPr>
                <w:color w:val="000000" w:themeColor="text1"/>
              </w:rPr>
            </w:pPr>
            <w:r w:rsidRPr="00BB556C">
              <w:rPr>
                <w:color w:val="000000" w:themeColor="text1"/>
              </w:rPr>
              <w:t>3,7</w:t>
            </w:r>
          </w:p>
        </w:tc>
      </w:tr>
    </w:tbl>
    <w:p w:rsidR="002B0EAB" w:rsidRPr="00BB556C" w:rsidRDefault="002B0EAB" w:rsidP="002B0EAB">
      <w:pPr>
        <w:ind w:firstLine="720"/>
        <w:rPr>
          <w:color w:val="000000" w:themeColor="text1"/>
        </w:rPr>
      </w:pPr>
    </w:p>
    <w:p w:rsidR="002B0EAB" w:rsidRPr="00BB556C" w:rsidRDefault="002B0EAB" w:rsidP="002B0EAB">
      <w:pPr>
        <w:ind w:firstLine="708"/>
        <w:rPr>
          <w:color w:val="000000" w:themeColor="text1"/>
        </w:rPr>
      </w:pPr>
      <w:r w:rsidRPr="00BB556C">
        <w:rPr>
          <w:color w:val="000000" w:themeColor="text1"/>
        </w:rPr>
        <w:t xml:space="preserve">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 Приоритетом являлось обеспечение населения бюджетными услугами отраслей социальной сферы. </w:t>
      </w:r>
    </w:p>
    <w:p w:rsidR="002B0EAB" w:rsidRPr="00BB556C" w:rsidRDefault="002B0EAB" w:rsidP="002B0EAB">
      <w:pPr>
        <w:ind w:firstLine="708"/>
        <w:rPr>
          <w:color w:val="000000" w:themeColor="text1"/>
        </w:rPr>
      </w:pPr>
      <w:r w:rsidRPr="00BB556C">
        <w:rPr>
          <w:color w:val="000000" w:themeColor="text1"/>
        </w:rPr>
        <w:t xml:space="preserve">На финансирование отраслей социальной сферы за </w:t>
      </w:r>
      <w:r w:rsidR="007737B1" w:rsidRPr="00BB556C">
        <w:rPr>
          <w:color w:val="000000" w:themeColor="text1"/>
        </w:rPr>
        <w:t>9 месяцев</w:t>
      </w:r>
      <w:r w:rsidRPr="00BB556C">
        <w:rPr>
          <w:color w:val="000000" w:themeColor="text1"/>
        </w:rPr>
        <w:t xml:space="preserve"> 2016 года направлено </w:t>
      </w:r>
      <w:r w:rsidR="007737B1" w:rsidRPr="00BB556C">
        <w:rPr>
          <w:color w:val="000000" w:themeColor="text1"/>
        </w:rPr>
        <w:t>1 856 166,7</w:t>
      </w:r>
      <w:r w:rsidRPr="00BB556C">
        <w:rPr>
          <w:color w:val="000000" w:themeColor="text1"/>
        </w:rPr>
        <w:t xml:space="preserve"> тыс. рублей, в том числе по разделу образование – </w:t>
      </w:r>
      <w:r w:rsidR="007737B1" w:rsidRPr="00BB556C">
        <w:rPr>
          <w:color w:val="000000" w:themeColor="text1"/>
        </w:rPr>
        <w:t>1 584 263,0</w:t>
      </w:r>
      <w:r w:rsidRPr="00BB556C">
        <w:rPr>
          <w:color w:val="000000" w:themeColor="text1"/>
        </w:rPr>
        <w:t xml:space="preserve"> тыс.рублей, культура, кинематография – </w:t>
      </w:r>
      <w:r w:rsidR="007737B1" w:rsidRPr="00BB556C">
        <w:rPr>
          <w:color w:val="000000" w:themeColor="text1"/>
        </w:rPr>
        <w:t>132 669,3</w:t>
      </w:r>
      <w:r w:rsidRPr="00BB556C">
        <w:rPr>
          <w:color w:val="000000" w:themeColor="text1"/>
        </w:rPr>
        <w:t xml:space="preserve"> тыс.рублей, физическая культура и спорт – </w:t>
      </w:r>
      <w:r w:rsidR="007737B1" w:rsidRPr="00BB556C">
        <w:rPr>
          <w:color w:val="000000" w:themeColor="text1"/>
        </w:rPr>
        <w:t>41 865,8</w:t>
      </w:r>
      <w:r w:rsidRPr="00BB556C">
        <w:rPr>
          <w:color w:val="000000" w:themeColor="text1"/>
        </w:rPr>
        <w:t xml:space="preserve"> тыс.рублей, социальная политика – </w:t>
      </w:r>
      <w:r w:rsidR="007737B1" w:rsidRPr="00BB556C">
        <w:rPr>
          <w:color w:val="000000" w:themeColor="text1"/>
        </w:rPr>
        <w:t>97 368,7</w:t>
      </w:r>
      <w:r w:rsidRPr="00BB556C">
        <w:rPr>
          <w:color w:val="000000" w:themeColor="text1"/>
        </w:rPr>
        <w:t xml:space="preserve"> тыс.рублей.</w:t>
      </w:r>
    </w:p>
    <w:p w:rsidR="002B0EAB" w:rsidRPr="00BB556C" w:rsidRDefault="002B0EAB" w:rsidP="002B0EAB">
      <w:pPr>
        <w:ind w:firstLine="708"/>
        <w:rPr>
          <w:color w:val="000000" w:themeColor="text1"/>
        </w:rPr>
      </w:pPr>
    </w:p>
    <w:p w:rsidR="002B0EAB" w:rsidRPr="00BB556C" w:rsidRDefault="002B0EAB" w:rsidP="002B0EAB">
      <w:pPr>
        <w:tabs>
          <w:tab w:val="left" w:pos="9072"/>
        </w:tabs>
        <w:rPr>
          <w:color w:val="000000" w:themeColor="text1"/>
        </w:rPr>
      </w:pPr>
      <w:r w:rsidRPr="00BB556C">
        <w:rPr>
          <w:noProof/>
          <w:color w:val="000000" w:themeColor="text1"/>
        </w:rPr>
        <w:lastRenderedPageBreak/>
        <w:drawing>
          <wp:inline distT="0" distB="0" distL="0" distR="0" wp14:anchorId="71EED77B" wp14:editId="72CD7F9E">
            <wp:extent cx="5897880" cy="2971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EAB" w:rsidRPr="00BB556C" w:rsidRDefault="002B0EAB" w:rsidP="002B0EAB">
      <w:pPr>
        <w:ind w:firstLine="709"/>
        <w:rPr>
          <w:color w:val="000000" w:themeColor="text1"/>
        </w:rPr>
      </w:pPr>
      <w:r w:rsidRPr="00BB556C">
        <w:rPr>
          <w:color w:val="000000" w:themeColor="text1"/>
        </w:rPr>
        <w:t xml:space="preserve">На финансирование других отраслей экономики направлено </w:t>
      </w:r>
      <w:r w:rsidR="00572555" w:rsidRPr="00BB556C">
        <w:rPr>
          <w:color w:val="000000" w:themeColor="text1"/>
        </w:rPr>
        <w:t>788 173,1</w:t>
      </w:r>
      <w:r w:rsidRPr="00BB556C">
        <w:rPr>
          <w:color w:val="000000" w:themeColor="text1"/>
        </w:rPr>
        <w:t xml:space="preserve"> тыс.рублей, что составляет </w:t>
      </w:r>
      <w:r w:rsidR="00572555" w:rsidRPr="00BB556C">
        <w:rPr>
          <w:color w:val="000000" w:themeColor="text1"/>
        </w:rPr>
        <w:t>29</w:t>
      </w:r>
      <w:r w:rsidRPr="00BB556C">
        <w:rPr>
          <w:color w:val="000000" w:themeColor="text1"/>
        </w:rPr>
        <w:t xml:space="preserve">,8% в общем объеме расходов. </w:t>
      </w:r>
    </w:p>
    <w:p w:rsidR="002B0EAB" w:rsidRPr="00BB556C" w:rsidRDefault="002B0EAB" w:rsidP="002B0EAB">
      <w:pPr>
        <w:ind w:firstLine="709"/>
        <w:rPr>
          <w:rStyle w:val="apple-converted-space"/>
          <w:color w:val="000000" w:themeColor="text1"/>
        </w:rPr>
      </w:pPr>
      <w:r w:rsidRPr="00BB556C">
        <w:rPr>
          <w:rStyle w:val="apple-style-span"/>
          <w:color w:val="000000" w:themeColor="text1"/>
        </w:rPr>
        <w:t xml:space="preserve">По итогам </w:t>
      </w:r>
      <w:r w:rsidR="00572555" w:rsidRPr="00BB556C">
        <w:rPr>
          <w:rStyle w:val="apple-style-span"/>
          <w:color w:val="000000" w:themeColor="text1"/>
        </w:rPr>
        <w:t>9 месяцев</w:t>
      </w:r>
      <w:r w:rsidRPr="00BB556C">
        <w:rPr>
          <w:rStyle w:val="apple-style-span"/>
          <w:color w:val="000000" w:themeColor="text1"/>
        </w:rPr>
        <w:t xml:space="preserve"> 2016 года консолидированный бюджет городского округа город Мегион исполнен с</w:t>
      </w:r>
      <w:r w:rsidRPr="00BB556C">
        <w:rPr>
          <w:rStyle w:val="apple-converted-space"/>
          <w:color w:val="000000" w:themeColor="text1"/>
        </w:rPr>
        <w:t> </w:t>
      </w:r>
      <w:r w:rsidRPr="00BB556C">
        <w:rPr>
          <w:rStyle w:val="apple-style-span"/>
          <w:color w:val="000000" w:themeColor="text1"/>
        </w:rPr>
        <w:t>профицитом</w:t>
      </w:r>
      <w:r w:rsidRPr="00BB556C">
        <w:rPr>
          <w:rStyle w:val="apple-converted-space"/>
          <w:color w:val="000000" w:themeColor="text1"/>
        </w:rPr>
        <w:t> </w:t>
      </w:r>
      <w:r w:rsidR="00572555" w:rsidRPr="00BB556C">
        <w:rPr>
          <w:rStyle w:val="apple-style-span"/>
          <w:color w:val="000000" w:themeColor="text1"/>
        </w:rPr>
        <w:t>51464,6</w:t>
      </w:r>
      <w:r w:rsidRPr="00BB556C">
        <w:rPr>
          <w:rStyle w:val="apple-style-span"/>
          <w:color w:val="000000" w:themeColor="text1"/>
        </w:rPr>
        <w:t xml:space="preserve"> тыс.рублей.</w:t>
      </w:r>
      <w:r w:rsidRPr="00BB556C">
        <w:rPr>
          <w:rStyle w:val="apple-converted-space"/>
          <w:color w:val="000000" w:themeColor="text1"/>
        </w:rPr>
        <w:t> </w:t>
      </w:r>
    </w:p>
    <w:p w:rsidR="002B0EAB" w:rsidRPr="00BB556C" w:rsidRDefault="002B0EAB" w:rsidP="002B0EAB">
      <w:pPr>
        <w:pStyle w:val="12"/>
        <w:ind w:firstLine="709"/>
        <w:rPr>
          <w:rFonts w:ascii="Times New Roman" w:hAnsi="Times New Roman" w:cs="Times New Roman"/>
          <w:color w:val="000000" w:themeColor="text1"/>
          <w:sz w:val="24"/>
          <w:szCs w:val="24"/>
        </w:rPr>
      </w:pPr>
      <w:r w:rsidRPr="00BB556C">
        <w:rPr>
          <w:rFonts w:ascii="Times New Roman" w:hAnsi="Times New Roman" w:cs="Times New Roman"/>
          <w:color w:val="000000" w:themeColor="text1"/>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2B0EAB" w:rsidRPr="00BB556C" w:rsidRDefault="002B0EAB" w:rsidP="002B0EAB">
      <w:pPr>
        <w:tabs>
          <w:tab w:val="left" w:pos="1080"/>
        </w:tabs>
        <w:ind w:firstLine="709"/>
        <w:rPr>
          <w:color w:val="000000" w:themeColor="text1"/>
        </w:rPr>
      </w:pPr>
      <w:r w:rsidRPr="00BB556C">
        <w:rPr>
          <w:color w:val="000000" w:themeColor="text1"/>
        </w:rPr>
        <w:t>Осуществляется сотрудничество и обмен информацией с крупнейшими налогоплательщиками, осуществляющими свою деятельность на территории города и Правительством Тюменской области. Согласно заключенным Соглашениям о благотворительных пожертвованиях от ОАО «Славнефть-Мегионнефтегаз» в городской бюджет в течение отчетного периода поступило 16,4 млн.рублей на решение социально значимых задач. Кроме того, в бюджет города поступили денежные средства по распоряжениям Правительства Тюменской област</w:t>
      </w:r>
      <w:r w:rsidR="00572555" w:rsidRPr="00BB556C">
        <w:rPr>
          <w:color w:val="000000" w:themeColor="text1"/>
        </w:rPr>
        <w:t>и в сумме 0,7</w:t>
      </w:r>
      <w:r w:rsidRPr="00BB556C">
        <w:rPr>
          <w:color w:val="000000" w:themeColor="text1"/>
        </w:rPr>
        <w:t xml:space="preserve"> млн.рублей.</w:t>
      </w:r>
    </w:p>
    <w:p w:rsidR="002B0EAB" w:rsidRPr="00BB556C" w:rsidRDefault="002B0EAB" w:rsidP="002B0EAB">
      <w:pPr>
        <w:pStyle w:val="12"/>
        <w:ind w:firstLine="709"/>
        <w:rPr>
          <w:rFonts w:ascii="Times New Roman" w:hAnsi="Times New Roman" w:cs="Times New Roman"/>
          <w:color w:val="000000" w:themeColor="text1"/>
          <w:sz w:val="24"/>
          <w:szCs w:val="24"/>
        </w:rPr>
      </w:pPr>
      <w:r w:rsidRPr="00BB556C">
        <w:rPr>
          <w:rFonts w:ascii="Times New Roman" w:hAnsi="Times New Roman" w:cs="Times New Roman"/>
          <w:color w:val="000000" w:themeColor="text1"/>
          <w:sz w:val="24"/>
          <w:szCs w:val="24"/>
        </w:rPr>
        <w:t>В целях осуществления мер, направленных на ликвидацию задолженности организаций и физических лиц проводятся заседания комиссии по мобилизации доходов в бюджет города. В течение</w:t>
      </w:r>
      <w:r w:rsidR="00572555" w:rsidRPr="00BB556C">
        <w:rPr>
          <w:rFonts w:ascii="Times New Roman" w:hAnsi="Times New Roman" w:cs="Times New Roman"/>
          <w:color w:val="000000" w:themeColor="text1"/>
          <w:sz w:val="24"/>
          <w:szCs w:val="24"/>
        </w:rPr>
        <w:t xml:space="preserve"> отчетного периода проведено четыре</w:t>
      </w:r>
      <w:r w:rsidRPr="00BB556C">
        <w:rPr>
          <w:rFonts w:ascii="Times New Roman" w:hAnsi="Times New Roman" w:cs="Times New Roman"/>
          <w:color w:val="000000" w:themeColor="text1"/>
          <w:sz w:val="24"/>
          <w:szCs w:val="24"/>
        </w:rPr>
        <w:t xml:space="preserve"> заседания комиссии на</w:t>
      </w:r>
      <w:r w:rsidR="00572555" w:rsidRPr="00BB556C">
        <w:rPr>
          <w:rFonts w:ascii="Times New Roman" w:hAnsi="Times New Roman" w:cs="Times New Roman"/>
          <w:color w:val="000000" w:themeColor="text1"/>
          <w:sz w:val="24"/>
          <w:szCs w:val="24"/>
        </w:rPr>
        <w:t xml:space="preserve"> которых</w:t>
      </w:r>
      <w:r w:rsidRPr="00BB556C">
        <w:rPr>
          <w:rFonts w:ascii="Times New Roman" w:hAnsi="Times New Roman" w:cs="Times New Roman"/>
          <w:color w:val="000000" w:themeColor="text1"/>
          <w:sz w:val="24"/>
          <w:szCs w:val="24"/>
        </w:rPr>
        <w:t xml:space="preserve"> рассмотрены следующие вопросы:</w:t>
      </w:r>
    </w:p>
    <w:p w:rsidR="002B0EAB" w:rsidRPr="00BB556C" w:rsidRDefault="002B0EAB" w:rsidP="002B0EAB">
      <w:pPr>
        <w:ind w:firstLine="709"/>
        <w:rPr>
          <w:color w:val="000000" w:themeColor="text1"/>
        </w:rPr>
      </w:pPr>
      <w:r w:rsidRPr="00BB556C">
        <w:rPr>
          <w:color w:val="000000" w:themeColor="text1"/>
        </w:rPr>
        <w:t xml:space="preserve">-неуплата страховых взносов организациями в пенсионный фонд; </w:t>
      </w:r>
    </w:p>
    <w:p w:rsidR="002B0EAB" w:rsidRPr="00BB556C" w:rsidRDefault="002B0EAB" w:rsidP="002B0EAB">
      <w:pPr>
        <w:ind w:firstLine="709"/>
        <w:rPr>
          <w:color w:val="000000" w:themeColor="text1"/>
        </w:rPr>
      </w:pPr>
      <w:r w:rsidRPr="00BB556C">
        <w:rPr>
          <w:color w:val="000000" w:themeColor="text1"/>
        </w:rPr>
        <w:t>-анализ сокращения или увеличения недоимки, принимаемые меры по повышению собираемости налоговых платежей на территории городского округа город Мегион;</w:t>
      </w:r>
    </w:p>
    <w:p w:rsidR="002B0EAB" w:rsidRPr="00BB556C" w:rsidRDefault="002B0EAB" w:rsidP="002B0EAB">
      <w:pPr>
        <w:ind w:firstLine="709"/>
        <w:rPr>
          <w:color w:val="000000" w:themeColor="text1"/>
        </w:rPr>
      </w:pPr>
      <w:r w:rsidRPr="00BB556C">
        <w:rPr>
          <w:color w:val="000000" w:themeColor="text1"/>
        </w:rPr>
        <w:t>-анализ сокращения или увеличения недоимки, принимаемые меры по повышению собираемости неналоговых платежей на территории городского округа;</w:t>
      </w:r>
    </w:p>
    <w:p w:rsidR="002B0EAB" w:rsidRPr="00BB556C" w:rsidRDefault="002B0EAB" w:rsidP="002B0EAB">
      <w:pPr>
        <w:ind w:firstLine="709"/>
        <w:rPr>
          <w:color w:val="000000" w:themeColor="text1"/>
        </w:rPr>
      </w:pPr>
      <w:r w:rsidRPr="00BB556C">
        <w:rPr>
          <w:color w:val="000000" w:themeColor="text1"/>
        </w:rPr>
        <w:t>-неуплата доходов, получаемых в виде арендной платы за земельные участки, государственная собственность на которые разграничена;</w:t>
      </w:r>
    </w:p>
    <w:p w:rsidR="002B0EAB" w:rsidRPr="00BB556C" w:rsidRDefault="002B0EAB" w:rsidP="002B0EAB">
      <w:pPr>
        <w:ind w:firstLine="709"/>
        <w:rPr>
          <w:color w:val="000000" w:themeColor="text1"/>
        </w:rPr>
      </w:pPr>
      <w:r w:rsidRPr="00BB556C">
        <w:rPr>
          <w:color w:val="000000" w:themeColor="text1"/>
        </w:rPr>
        <w:t xml:space="preserve">-отчет о проделанной работе с исполнительными листами, направленными в адрес отдела Федеральной службы судебных приставов по городу Мегиону.  </w:t>
      </w:r>
    </w:p>
    <w:p w:rsidR="002B0EAB" w:rsidRPr="00BB556C" w:rsidRDefault="00572555" w:rsidP="002B0EAB">
      <w:pPr>
        <w:ind w:firstLine="709"/>
        <w:rPr>
          <w:color w:val="000000" w:themeColor="text1"/>
        </w:rPr>
      </w:pPr>
      <w:r w:rsidRPr="00BB556C">
        <w:rPr>
          <w:color w:val="000000" w:themeColor="text1"/>
        </w:rPr>
        <w:t>С 3</w:t>
      </w:r>
      <w:r w:rsidR="002B0EAB" w:rsidRPr="00BB556C">
        <w:rPr>
          <w:color w:val="000000" w:themeColor="text1"/>
        </w:rPr>
        <w:t>0 индивидуальными предпринимателями и юридическими лицами проведена разъяснительная работа о необходимости своевременной уплаты платежей в бюджет.</w:t>
      </w:r>
    </w:p>
    <w:p w:rsidR="002B0EAB" w:rsidRPr="00BB556C" w:rsidRDefault="002B0EAB" w:rsidP="002B0EAB">
      <w:pPr>
        <w:pStyle w:val="a3"/>
        <w:spacing w:after="0"/>
        <w:ind w:left="0" w:firstLine="720"/>
        <w:rPr>
          <w:color w:val="000000" w:themeColor="text1"/>
        </w:rPr>
      </w:pPr>
      <w:r w:rsidRPr="00BB556C">
        <w:rPr>
          <w:color w:val="000000" w:themeColor="text1"/>
        </w:rPr>
        <w:t xml:space="preserve">В средствах массовой информации, а также на официальном сайте администрации города Мегиона  размещается информация для населения о необходимости погашения задолженности. С налогоплательщиками проведены семинары. </w:t>
      </w:r>
    </w:p>
    <w:p w:rsidR="002B0EAB" w:rsidRPr="00BB556C" w:rsidRDefault="002B0EAB" w:rsidP="002B0EAB">
      <w:pPr>
        <w:ind w:firstLine="709"/>
        <w:rPr>
          <w:color w:val="000000" w:themeColor="text1"/>
        </w:rPr>
      </w:pPr>
      <w:r w:rsidRPr="00BB556C">
        <w:rPr>
          <w:color w:val="000000" w:themeColor="text1"/>
        </w:rPr>
        <w:lastRenderedPageBreak/>
        <w:t xml:space="preserve">С целью снижения задолженности по уплате налога на доходы физических лиц в бюджет, межрайонной инспекцией Федеральной налоговой службы России №5 по Ханты-Мансийскому автономному округу – Югре налоговым агентам направлены уведомления о задолженности по налогу на доходы физических лиц.  </w:t>
      </w:r>
    </w:p>
    <w:p w:rsidR="002B0EAB" w:rsidRPr="00BB556C" w:rsidRDefault="002B0EAB" w:rsidP="002B0EAB">
      <w:pPr>
        <w:ind w:firstLine="709"/>
        <w:rPr>
          <w:color w:val="000000" w:themeColor="text1"/>
        </w:rPr>
      </w:pPr>
      <w:r w:rsidRPr="00BB556C">
        <w:rPr>
          <w:color w:val="000000" w:themeColor="text1"/>
        </w:rPr>
        <w:t xml:space="preserve">В рамках проведенных мероприятий по взысканию задолженности по оплате за муниципальное имущество, включая земельные участки, в бюджет города поступило </w:t>
      </w:r>
      <w:r w:rsidR="00572555" w:rsidRPr="00BB556C">
        <w:rPr>
          <w:color w:val="000000" w:themeColor="text1"/>
        </w:rPr>
        <w:t>19 481,3</w:t>
      </w:r>
      <w:r w:rsidRPr="00BB556C">
        <w:rPr>
          <w:color w:val="000000" w:themeColor="text1"/>
        </w:rPr>
        <w:t xml:space="preserve"> тыс.рублей.</w:t>
      </w:r>
    </w:p>
    <w:p w:rsidR="002B0EAB" w:rsidRPr="00BB556C" w:rsidRDefault="002B0EAB" w:rsidP="002B0EAB">
      <w:pPr>
        <w:ind w:firstLine="709"/>
        <w:rPr>
          <w:color w:val="000000" w:themeColor="text1"/>
        </w:rPr>
      </w:pPr>
      <w:r w:rsidRPr="00BB556C">
        <w:rPr>
          <w:color w:val="000000" w:themeColor="text1"/>
        </w:rPr>
        <w:t>В целях реализации решения Думы города Мегиона от 27.11.2015 №47 «О бюджете городского округа город Мегион на 2016 год » был разработан план мероприятий по росту доходов, оптимизации расходов и сокращению муниципального долга городского округа, утвержден постановлением администрации города от 29.01.2016 №118. Планируемый бюджетный эффект от мероприятий по ро</w:t>
      </w:r>
      <w:r w:rsidR="00572555" w:rsidRPr="00BB556C">
        <w:rPr>
          <w:color w:val="000000" w:themeColor="text1"/>
        </w:rPr>
        <w:t>сту доходов в 2016 году ожидался в размере</w:t>
      </w:r>
      <w:r w:rsidRPr="00BB556C">
        <w:rPr>
          <w:color w:val="000000" w:themeColor="text1"/>
        </w:rPr>
        <w:t xml:space="preserve"> </w:t>
      </w:r>
      <w:r w:rsidR="00572555" w:rsidRPr="00BB556C">
        <w:rPr>
          <w:color w:val="000000" w:themeColor="text1"/>
        </w:rPr>
        <w:t xml:space="preserve">        </w:t>
      </w:r>
      <w:r w:rsidRPr="00BB556C">
        <w:rPr>
          <w:color w:val="000000" w:themeColor="text1"/>
        </w:rPr>
        <w:t>32</w:t>
      </w:r>
      <w:r w:rsidR="00572555" w:rsidRPr="00BB556C">
        <w:rPr>
          <w:color w:val="000000" w:themeColor="text1"/>
        </w:rPr>
        <w:t xml:space="preserve"> </w:t>
      </w:r>
      <w:r w:rsidRPr="00BB556C">
        <w:rPr>
          <w:color w:val="000000" w:themeColor="text1"/>
        </w:rPr>
        <w:t>933,0 тыс. рублей.</w:t>
      </w:r>
      <w:r w:rsidR="00572555" w:rsidRPr="00BB556C">
        <w:rPr>
          <w:color w:val="000000" w:themeColor="text1"/>
        </w:rPr>
        <w:t xml:space="preserve"> Фактический бюджетный эффект от проведения мероприятий по росту доходов за 9 месяцев 2016 года составил 37 283,8 тыс.рублей.</w:t>
      </w:r>
    </w:p>
    <w:p w:rsidR="002B0EAB" w:rsidRPr="00BB556C" w:rsidRDefault="002B0EAB" w:rsidP="002B0EAB">
      <w:pPr>
        <w:ind w:firstLine="720"/>
        <w:rPr>
          <w:color w:val="000000" w:themeColor="text1"/>
        </w:rPr>
      </w:pPr>
      <w:r w:rsidRPr="00BB556C">
        <w:rPr>
          <w:color w:val="000000" w:themeColor="text1"/>
        </w:rPr>
        <w:t>Продолжается работа по сокращению невыяс</w:t>
      </w:r>
      <w:r w:rsidR="00227F57" w:rsidRPr="00BB556C">
        <w:rPr>
          <w:color w:val="000000" w:themeColor="text1"/>
        </w:rPr>
        <w:t>ненных платежей. За  январь-сентябрь</w:t>
      </w:r>
      <w:r w:rsidRPr="00BB556C">
        <w:rPr>
          <w:color w:val="000000" w:themeColor="text1"/>
        </w:rPr>
        <w:t xml:space="preserve"> 2016 года составлен</w:t>
      </w:r>
      <w:r w:rsidR="000D6577">
        <w:rPr>
          <w:color w:val="000000" w:themeColor="text1"/>
        </w:rPr>
        <w:t>ы</w:t>
      </w:r>
      <w:r w:rsidRPr="00BB556C">
        <w:rPr>
          <w:color w:val="000000" w:themeColor="text1"/>
        </w:rPr>
        <w:t xml:space="preserve"> и направлен</w:t>
      </w:r>
      <w:r w:rsidR="000D6577">
        <w:rPr>
          <w:color w:val="000000" w:themeColor="text1"/>
        </w:rPr>
        <w:t>ы</w:t>
      </w:r>
      <w:r w:rsidRPr="00BB556C">
        <w:rPr>
          <w:color w:val="000000" w:themeColor="text1"/>
        </w:rPr>
        <w:t xml:space="preserve"> в Управление Федерального казначейства по Ханты-Мансийск</w:t>
      </w:r>
      <w:r w:rsidR="006A0A74" w:rsidRPr="00BB556C">
        <w:rPr>
          <w:color w:val="000000" w:themeColor="text1"/>
        </w:rPr>
        <w:t>ому автономному округу – Югре  8</w:t>
      </w:r>
      <w:r w:rsidRPr="00BB556C">
        <w:rPr>
          <w:color w:val="000000" w:themeColor="text1"/>
        </w:rPr>
        <w:t>78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2B0EAB" w:rsidRPr="00BB556C" w:rsidRDefault="002B0EAB" w:rsidP="002B0EAB">
      <w:pPr>
        <w:ind w:firstLine="720"/>
        <w:rPr>
          <w:color w:val="000000" w:themeColor="text1"/>
        </w:rPr>
      </w:pPr>
      <w:r w:rsidRPr="00BB556C">
        <w:rPr>
          <w:color w:val="000000" w:themeColor="text1"/>
        </w:rPr>
        <w:t>В рамках проведения анализа обоснованности и эффективности применения налоговых льгот, было принято постановление администрации города от 26.07.2011 №1687 «О бюджетной, социальной и экономической эффективности предоставляемых налоговых льгот»,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 незащищенной категории населения, организациям и учреждениям, которые финансируются только из бюджета городского округа.</w:t>
      </w:r>
    </w:p>
    <w:p w:rsidR="002B0EAB" w:rsidRPr="00BB556C" w:rsidRDefault="002B0EAB" w:rsidP="002B0EAB">
      <w:pPr>
        <w:ind w:firstLine="720"/>
        <w:rPr>
          <w:color w:val="000000" w:themeColor="text1"/>
        </w:rPr>
      </w:pPr>
      <w:r w:rsidRPr="00BB556C">
        <w:rPr>
          <w:color w:val="000000" w:themeColor="text1"/>
        </w:rPr>
        <w:t>В целях снижения общего объема кредиторской задолженности, по итогам отчётности проводится мониторинг кредиторской задолженности. Ежемесячно проводится анализ состояния дебиторской и кредиторской задолженности учреждений городского округа город Мегион с целью выявления обоснованности возникновения сумм задолженности.</w:t>
      </w:r>
    </w:p>
    <w:p w:rsidR="002B0EAB" w:rsidRPr="00BB556C" w:rsidRDefault="002B0EAB" w:rsidP="002B0EAB">
      <w:pPr>
        <w:ind w:firstLine="709"/>
        <w:rPr>
          <w:color w:val="000000" w:themeColor="text1"/>
        </w:rPr>
      </w:pPr>
      <w:r w:rsidRPr="00BB556C">
        <w:rPr>
          <w:color w:val="000000" w:themeColor="text1"/>
        </w:rPr>
        <w:t xml:space="preserve">По всем договорам бюджетных кредитов имеются решения Арбитражных судов в пользу администрации города Мегиона. </w:t>
      </w:r>
    </w:p>
    <w:p w:rsidR="002B0EAB" w:rsidRPr="00BB556C" w:rsidRDefault="002B0EAB" w:rsidP="002B0EAB">
      <w:pPr>
        <w:ind w:firstLine="709"/>
        <w:rPr>
          <w:color w:val="000000" w:themeColor="text1"/>
        </w:rPr>
      </w:pPr>
      <w:r w:rsidRPr="00BB556C">
        <w:rPr>
          <w:color w:val="000000" w:themeColor="text1"/>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направлены письма с реквизитами для перечисления задолженности.</w:t>
      </w:r>
    </w:p>
    <w:p w:rsidR="002B0EAB" w:rsidRPr="00BB556C" w:rsidRDefault="002B0EAB" w:rsidP="002B0EAB">
      <w:pPr>
        <w:ind w:firstLine="709"/>
        <w:rPr>
          <w:color w:val="000000" w:themeColor="text1"/>
        </w:rPr>
      </w:pPr>
      <w:r w:rsidRPr="00BB556C">
        <w:rPr>
          <w:color w:val="000000" w:themeColor="text1"/>
        </w:rPr>
        <w:t>В целях осуществления финансового контроля за задолженностью по налогам и сборам, во избежание возникновения задолженности, регулярно проводится мониторинг задолженности по налогам и сборам с использованием интернет-сайта Управления Федеральной налоговой службы Ханты-Мансийского автономного округа – Югры.</w:t>
      </w:r>
    </w:p>
    <w:p w:rsidR="002B0EAB" w:rsidRPr="00BB556C" w:rsidRDefault="002B0EAB" w:rsidP="002B0EAB">
      <w:pPr>
        <w:ind w:firstLine="709"/>
        <w:rPr>
          <w:color w:val="000000" w:themeColor="text1"/>
        </w:rPr>
      </w:pPr>
      <w:r w:rsidRPr="00BB556C">
        <w:rPr>
          <w:color w:val="000000" w:themeColor="text1"/>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округу-Югре. Муниципальным учреждениям направлены письма о незамедлительном погашении имеющейся задолженности.</w:t>
      </w:r>
    </w:p>
    <w:p w:rsidR="002B0EAB" w:rsidRPr="00BB556C" w:rsidRDefault="002B0EAB" w:rsidP="002B0EAB">
      <w:pPr>
        <w:ind w:firstLine="600"/>
        <w:rPr>
          <w:color w:val="000000" w:themeColor="text1"/>
        </w:rPr>
      </w:pPr>
      <w:r w:rsidRPr="00BB556C">
        <w:rPr>
          <w:color w:val="000000" w:themeColor="text1"/>
        </w:rPr>
        <w:t>Проводится работа по восстановлению дебиторской задолженности, числящейся на балансе бюджетных у</w:t>
      </w:r>
      <w:r w:rsidR="006A0A74" w:rsidRPr="00BB556C">
        <w:rPr>
          <w:color w:val="000000" w:themeColor="text1"/>
        </w:rPr>
        <w:t>чреждений. По состоянию на 01.10</w:t>
      </w:r>
      <w:r w:rsidRPr="00BB556C">
        <w:rPr>
          <w:color w:val="000000" w:themeColor="text1"/>
        </w:rPr>
        <w:t xml:space="preserve">.2016 года в части средств местного бюджета восстановлено </w:t>
      </w:r>
      <w:r w:rsidR="006A0A74" w:rsidRPr="00BB556C">
        <w:rPr>
          <w:color w:val="000000" w:themeColor="text1"/>
        </w:rPr>
        <w:t>776,5</w:t>
      </w:r>
      <w:r w:rsidRPr="00BB556C">
        <w:rPr>
          <w:color w:val="000000" w:themeColor="text1"/>
        </w:rPr>
        <w:t> тыс.рублей, в</w:t>
      </w:r>
      <w:r w:rsidR="006A0A74" w:rsidRPr="00BB556C">
        <w:rPr>
          <w:color w:val="000000" w:themeColor="text1"/>
        </w:rPr>
        <w:t xml:space="preserve"> части средств ХМАО-Югры – 334,1</w:t>
      </w:r>
      <w:r w:rsidRPr="00BB556C">
        <w:rPr>
          <w:color w:val="000000" w:themeColor="text1"/>
        </w:rPr>
        <w:t xml:space="preserve"> тыс.рублей.</w:t>
      </w:r>
    </w:p>
    <w:p w:rsidR="002B0EAB" w:rsidRPr="00BB556C" w:rsidRDefault="002B0EAB" w:rsidP="002B0EAB">
      <w:pPr>
        <w:ind w:firstLine="709"/>
        <w:rPr>
          <w:color w:val="000000" w:themeColor="text1"/>
        </w:rPr>
      </w:pPr>
      <w:r w:rsidRPr="00BB556C">
        <w:rPr>
          <w:color w:val="000000" w:themeColor="text1"/>
        </w:rPr>
        <w:lastRenderedPageBreak/>
        <w:t>Проводятся мероприятия по недопущению нецелевого использования субсидий, субвенций и иных межбюджетных  трансфертов,  полученных  из  бюджета  автономного  округа и имеющих  целевое  назначение.</w:t>
      </w:r>
    </w:p>
    <w:p w:rsidR="002B0EAB" w:rsidRPr="00BB556C" w:rsidRDefault="002B0EAB" w:rsidP="002B0EAB">
      <w:pPr>
        <w:ind w:firstLine="459"/>
        <w:rPr>
          <w:color w:val="000000" w:themeColor="text1"/>
        </w:rPr>
      </w:pPr>
      <w:r w:rsidRPr="00BB556C">
        <w:rPr>
          <w:color w:val="000000" w:themeColor="text1"/>
        </w:rPr>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2B0EAB" w:rsidRPr="00BB556C" w:rsidRDefault="002B0EAB" w:rsidP="002B0EAB">
      <w:pPr>
        <w:ind w:firstLine="600"/>
        <w:rPr>
          <w:color w:val="000000" w:themeColor="text1"/>
        </w:rPr>
      </w:pPr>
      <w:r w:rsidRPr="00BB556C">
        <w:rPr>
          <w:color w:val="000000" w:themeColor="text1"/>
        </w:rPr>
        <w:t>Погашение кредиторской задолженности осуществляется по мере поступления доходов в бюджет городского округа.</w:t>
      </w:r>
    </w:p>
    <w:p w:rsidR="007C197B" w:rsidRDefault="007C197B" w:rsidP="002B0EAB"/>
    <w:p w:rsidR="00F47DF1" w:rsidRPr="00BB556C" w:rsidRDefault="00F47DF1" w:rsidP="00F47DF1">
      <w:r w:rsidRPr="00BB556C">
        <w:t>СОЦИАЛЬНОЕ ОБЕСПЕЧЕНИЕ</w:t>
      </w:r>
    </w:p>
    <w:p w:rsidR="00F47DF1" w:rsidRPr="00BB556C" w:rsidRDefault="00F47DF1" w:rsidP="00F47DF1">
      <w:pPr>
        <w:tabs>
          <w:tab w:val="left" w:pos="1095"/>
        </w:tabs>
      </w:pPr>
    </w:p>
    <w:p w:rsidR="00F47DF1" w:rsidRPr="00BB556C" w:rsidRDefault="00F47DF1" w:rsidP="00F47DF1">
      <w:pPr>
        <w:ind w:firstLine="709"/>
      </w:pPr>
      <w:r w:rsidRPr="00BB556C">
        <w:t>Уровень жизни льготной категории населения имеет постоянную положительную динамику на фоне повышения уровня пенсионных и других видов социальных выплат.</w:t>
      </w:r>
    </w:p>
    <w:p w:rsidR="00F47DF1" w:rsidRPr="00BB556C" w:rsidRDefault="00F47DF1" w:rsidP="00F47DF1">
      <w:pPr>
        <w:ind w:firstLine="708"/>
        <w:rPr>
          <w:color w:val="000000" w:themeColor="text1"/>
        </w:rPr>
      </w:pPr>
      <w:r w:rsidRPr="00BB556C">
        <w:rPr>
          <w:color w:val="000000" w:themeColor="text1"/>
        </w:rPr>
        <w:t>С учётом индексации пенсий и других видов социальных выплат среднемесячный доход пенсионера на 01.10.2016 составляет 21167 рублей.</w:t>
      </w:r>
    </w:p>
    <w:p w:rsidR="00F47DF1" w:rsidRPr="00BB556C" w:rsidRDefault="00F47DF1" w:rsidP="00F47DF1">
      <w:pPr>
        <w:ind w:firstLine="708"/>
        <w:rPr>
          <w:color w:val="000000" w:themeColor="text1"/>
        </w:rPr>
      </w:pPr>
      <w:r w:rsidRPr="00BB556C">
        <w:rPr>
          <w:color w:val="000000" w:themeColor="text1"/>
        </w:rPr>
        <w:t>Прирост уровня дохода связан с планомерной индексацией страховой части пенсий.</w:t>
      </w:r>
    </w:p>
    <w:p w:rsidR="00F47DF1" w:rsidRPr="00BB556C" w:rsidRDefault="00F47DF1" w:rsidP="00F47DF1">
      <w:pPr>
        <w:ind w:firstLine="708"/>
        <w:rPr>
          <w:color w:val="000000" w:themeColor="text1"/>
        </w:rPr>
      </w:pPr>
      <w:r w:rsidRPr="00BB556C">
        <w:rPr>
          <w:color w:val="000000" w:themeColor="text1"/>
        </w:rPr>
        <w:t>Соотношение уровня дохода и прожиточного минимума пенсионера составляет 181,8%. За аналогичный период 2015 года 170,5%.</w:t>
      </w:r>
    </w:p>
    <w:p w:rsidR="00F47DF1" w:rsidRPr="00BB556C" w:rsidRDefault="000D6577" w:rsidP="00F47DF1">
      <w:pPr>
        <w:ind w:firstLine="709"/>
        <w:rPr>
          <w:color w:val="000000" w:themeColor="text1"/>
        </w:rPr>
      </w:pPr>
      <w:r>
        <w:rPr>
          <w:color w:val="000000" w:themeColor="text1"/>
        </w:rPr>
        <w:t>У</w:t>
      </w:r>
      <w:r w:rsidR="00F47DF1" w:rsidRPr="00BB556C">
        <w:rPr>
          <w:color w:val="000000" w:themeColor="text1"/>
        </w:rPr>
        <w:t>ровень доходов льготной категории населения и в дальнейшем будет расти</w:t>
      </w:r>
      <w:r w:rsidR="00443EDB">
        <w:rPr>
          <w:color w:val="000000" w:themeColor="text1"/>
        </w:rPr>
        <w:t xml:space="preserve"> на фоне индексации пенсионных и дополнительных выплат</w:t>
      </w:r>
      <w:r w:rsidR="00F47DF1" w:rsidRPr="00BB556C">
        <w:rPr>
          <w:color w:val="000000" w:themeColor="text1"/>
        </w:rPr>
        <w:t>, обеспечивая комфортное проживание в регионе.</w:t>
      </w:r>
    </w:p>
    <w:p w:rsidR="00F47DF1" w:rsidRPr="00BB556C" w:rsidRDefault="00F47DF1" w:rsidP="00F47DF1">
      <w:pPr>
        <w:ind w:firstLine="709"/>
        <w:rPr>
          <w:rFonts w:eastAsia="&amp; mso-ansi-language"/>
          <w:color w:val="000000" w:themeColor="text1"/>
        </w:rPr>
      </w:pPr>
      <w:r w:rsidRPr="00BB556C">
        <w:rPr>
          <w:color w:val="000000" w:themeColor="text1"/>
        </w:rPr>
        <w:t xml:space="preserve">Для реализации поставленных целей в качестве основных задач выступают </w:t>
      </w:r>
      <w:r w:rsidRPr="00BB556C">
        <w:rPr>
          <w:rFonts w:eastAsia="&amp; mso-ansi-language"/>
          <w:color w:val="000000" w:themeColor="text1"/>
        </w:rPr>
        <w:t xml:space="preserve">осуществление мероприятий по повышению уровня социального обеспечения населения, </w:t>
      </w:r>
      <w:r w:rsidRPr="00BB556C">
        <w:rPr>
          <w:color w:val="000000" w:themeColor="text1"/>
        </w:rPr>
        <w:t xml:space="preserve">организация в пределах полномочий работы по реализации федеральных и областных законов с целью предоставления гражданам мер социальной поддержки, </w:t>
      </w:r>
      <w:r w:rsidRPr="00BB556C">
        <w:rPr>
          <w:rFonts w:eastAsia="&amp; mso-ansi-language"/>
          <w:color w:val="000000" w:themeColor="text1"/>
        </w:rPr>
        <w:t>оказание консультативно-информационной помощи по разъяснению гражданам их прав на получение мер социальной поддержки.</w:t>
      </w:r>
    </w:p>
    <w:p w:rsidR="00443EDB" w:rsidRDefault="00443EDB" w:rsidP="002B0EAB">
      <w:pPr>
        <w:ind w:firstLine="708"/>
        <w:rPr>
          <w:rFonts w:eastAsia="&amp; mso-ansi-language"/>
        </w:rPr>
      </w:pPr>
    </w:p>
    <w:p w:rsidR="002B0EAB" w:rsidRPr="00BB556C" w:rsidRDefault="002B0EAB" w:rsidP="002B0EAB">
      <w:pPr>
        <w:ind w:firstLine="708"/>
        <w:rPr>
          <w:rFonts w:eastAsia="&amp; mso-ansi-language"/>
        </w:rPr>
      </w:pPr>
      <w:r w:rsidRPr="00BB556C">
        <w:rPr>
          <w:rFonts w:eastAsia="&amp; mso-ansi-language"/>
        </w:rPr>
        <w:t>ОКАЗАНИЕ МУНИЦИПАЛЬНЫХ УСЛУГ В ЭЛЕКТРОННОМ ВИДЕ</w:t>
      </w:r>
    </w:p>
    <w:p w:rsidR="002B0EAB" w:rsidRPr="00BB556C" w:rsidRDefault="002B0EAB" w:rsidP="002B0EAB">
      <w:pPr>
        <w:ind w:firstLine="708"/>
        <w:jc w:val="left"/>
      </w:pPr>
    </w:p>
    <w:p w:rsidR="002B0EAB" w:rsidRPr="00BB556C" w:rsidRDefault="002B0EAB" w:rsidP="002B0EAB">
      <w:pPr>
        <w:ind w:firstLine="709"/>
      </w:pPr>
      <w:r w:rsidRPr="00BB556C">
        <w:t>Одним из направлений оптимизации правительственных услуг населению является работа по предоставлению государственных и муниципальных услуг в электронном виде, цель которой - обеспечение доступности граждан к информации, взаимодействие различных структур и ведомств между собой и с населением посредством современных информационных ресурсов.</w:t>
      </w:r>
    </w:p>
    <w:p w:rsidR="002B0EAB" w:rsidRPr="00BB556C" w:rsidRDefault="002B0EAB" w:rsidP="002B0EAB">
      <w:pPr>
        <w:ind w:right="-1" w:firstLine="709"/>
      </w:pPr>
      <w:r w:rsidRPr="00BB556C">
        <w:t>Переход к государственным и муниципальным услугам, оказываемым в электронном виде, сегодня является одним из приоритетов для правительства, органов исполнительной власти Российской Федерации и органов местного самоуправления.</w:t>
      </w:r>
    </w:p>
    <w:p w:rsidR="002B0EAB" w:rsidRPr="00BB556C" w:rsidRDefault="002B0EAB" w:rsidP="002B0EAB">
      <w:pPr>
        <w:ind w:right="-1" w:firstLine="709"/>
      </w:pPr>
      <w:r w:rsidRPr="00BB556C">
        <w:t>Отношения, возникающие в связи с предоставлением государственных и муниципальных услуг, регулирует Федеральный закон от 27.07.2010 №210-ФЗ                     «Об организации и представлении государственных и муниципальных услуг».</w:t>
      </w:r>
    </w:p>
    <w:p w:rsidR="002B0EAB" w:rsidRPr="00BB556C" w:rsidRDefault="002B0EAB" w:rsidP="002B0EAB">
      <w:pPr>
        <w:ind w:firstLine="708"/>
      </w:pPr>
      <w:r w:rsidRPr="00BB556C">
        <w:t>Постановлением администрации города от 26.03.2014 №822 утвержден Перечень муниципальных услуг городского округа город Мегион (с изменениями). В настоящее время  в Перечне муниципальных услуг содержится 5</w:t>
      </w:r>
      <w:r w:rsidR="000B5BAC" w:rsidRPr="00BB556C">
        <w:t>6</w:t>
      </w:r>
      <w:r w:rsidRPr="00BB556C">
        <w:t xml:space="preserve"> видов услуг. </w:t>
      </w:r>
    </w:p>
    <w:p w:rsidR="002B0EAB" w:rsidRPr="00BB556C" w:rsidRDefault="002B0EAB" w:rsidP="002B0EAB">
      <w:pPr>
        <w:ind w:firstLine="709"/>
      </w:pPr>
      <w:r w:rsidRPr="00BB556C">
        <w:t xml:space="preserve">На территории городского округа город Мегион работает многофункциональный центр оказания государственных и муниципальных услуг, где также можно получить муниципальные, региональные и государственные услуги.  </w:t>
      </w:r>
    </w:p>
    <w:p w:rsidR="002B0EAB" w:rsidRPr="00BB556C" w:rsidRDefault="002B0EAB" w:rsidP="00BE7CC6">
      <w:pPr>
        <w:rPr>
          <w:rFonts w:eastAsia="&amp; mso-ansi-language"/>
        </w:rPr>
      </w:pPr>
    </w:p>
    <w:p w:rsidR="00855E6A" w:rsidRPr="00BB556C" w:rsidRDefault="00855E6A" w:rsidP="00BE7CC6">
      <w:pPr>
        <w:rPr>
          <w:rFonts w:eastAsia="&amp; mso-ansi-language"/>
        </w:rPr>
      </w:pPr>
    </w:p>
    <w:p w:rsidR="00BB556C" w:rsidRPr="00BB556C" w:rsidRDefault="00BB556C">
      <w:pPr>
        <w:rPr>
          <w:rFonts w:eastAsia="&amp; mso-ansi-language"/>
        </w:rPr>
      </w:pPr>
    </w:p>
    <w:sectPr w:rsidR="00BB556C" w:rsidRPr="00BB556C" w:rsidSect="006144C5">
      <w:headerReference w:type="default" r:id="rId14"/>
      <w:footerReference w:type="default" r:id="rId15"/>
      <w:pgSz w:w="11906" w:h="16838"/>
      <w:pgMar w:top="1134" w:right="567" w:bottom="1134" w:left="1701"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BC" w:rsidRDefault="001A4EBC" w:rsidP="00CC5D52">
      <w:r>
        <w:separator/>
      </w:r>
    </w:p>
  </w:endnote>
  <w:endnote w:type="continuationSeparator" w:id="0">
    <w:p w:rsidR="001A4EBC" w:rsidRDefault="001A4EBC" w:rsidP="00C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ao">
    <w:altName w:val="Arial Narrow"/>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mp; mso-ansi-language">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7355"/>
      <w:docPartObj>
        <w:docPartGallery w:val="Page Numbers (Bottom of Page)"/>
        <w:docPartUnique/>
      </w:docPartObj>
    </w:sdtPr>
    <w:sdtEndPr/>
    <w:sdtContent>
      <w:p w:rsidR="006144C5" w:rsidRDefault="006144C5">
        <w:pPr>
          <w:pStyle w:val="afa"/>
          <w:jc w:val="center"/>
        </w:pPr>
        <w:r>
          <w:fldChar w:fldCharType="begin"/>
        </w:r>
        <w:r>
          <w:instrText>PAGE   \* MERGEFORMAT</w:instrText>
        </w:r>
        <w:r>
          <w:fldChar w:fldCharType="separate"/>
        </w:r>
        <w:r w:rsidR="00E150D2">
          <w:rPr>
            <w:noProof/>
          </w:rPr>
          <w:t>1</w:t>
        </w:r>
        <w:r>
          <w:fldChar w:fldCharType="end"/>
        </w:r>
      </w:p>
    </w:sdtContent>
  </w:sdt>
  <w:p w:rsidR="006144C5" w:rsidRDefault="006144C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BC" w:rsidRDefault="001A4EBC" w:rsidP="00CC5D52">
      <w:r>
        <w:separator/>
      </w:r>
    </w:p>
  </w:footnote>
  <w:footnote w:type="continuationSeparator" w:id="0">
    <w:p w:rsidR="001A4EBC" w:rsidRDefault="001A4EBC" w:rsidP="00CC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E8" w:rsidRPr="001E0A63" w:rsidRDefault="00CB38E8">
    <w:pPr>
      <w:pStyle w:val="af7"/>
      <w:jc w:val="center"/>
      <w:rPr>
        <w:sz w:val="20"/>
      </w:rPr>
    </w:pPr>
  </w:p>
  <w:p w:rsidR="00CB38E8" w:rsidRDefault="00CB38E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4ED8"/>
    <w:multiLevelType w:val="hybridMultilevel"/>
    <w:tmpl w:val="09BA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30C706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C1"/>
    <w:rsid w:val="00000152"/>
    <w:rsid w:val="00000588"/>
    <w:rsid w:val="0000201B"/>
    <w:rsid w:val="00002D9E"/>
    <w:rsid w:val="000058A2"/>
    <w:rsid w:val="00005F22"/>
    <w:rsid w:val="000063CC"/>
    <w:rsid w:val="00010690"/>
    <w:rsid w:val="00010A62"/>
    <w:rsid w:val="0001207D"/>
    <w:rsid w:val="00012117"/>
    <w:rsid w:val="00013781"/>
    <w:rsid w:val="000162A6"/>
    <w:rsid w:val="00021591"/>
    <w:rsid w:val="0002168D"/>
    <w:rsid w:val="00021783"/>
    <w:rsid w:val="00021BC6"/>
    <w:rsid w:val="000241B2"/>
    <w:rsid w:val="00025334"/>
    <w:rsid w:val="0002545E"/>
    <w:rsid w:val="0002683A"/>
    <w:rsid w:val="00026906"/>
    <w:rsid w:val="00030EEB"/>
    <w:rsid w:val="00033AC2"/>
    <w:rsid w:val="0004121A"/>
    <w:rsid w:val="00041255"/>
    <w:rsid w:val="00041962"/>
    <w:rsid w:val="000427EF"/>
    <w:rsid w:val="000440E8"/>
    <w:rsid w:val="00044313"/>
    <w:rsid w:val="000454A2"/>
    <w:rsid w:val="00045BF8"/>
    <w:rsid w:val="00046F41"/>
    <w:rsid w:val="00047833"/>
    <w:rsid w:val="00053D24"/>
    <w:rsid w:val="00056222"/>
    <w:rsid w:val="00056604"/>
    <w:rsid w:val="0005745F"/>
    <w:rsid w:val="00057C38"/>
    <w:rsid w:val="00062B50"/>
    <w:rsid w:val="0006356F"/>
    <w:rsid w:val="00063B5D"/>
    <w:rsid w:val="00065157"/>
    <w:rsid w:val="000661E4"/>
    <w:rsid w:val="00067438"/>
    <w:rsid w:val="00067DFC"/>
    <w:rsid w:val="00071DD0"/>
    <w:rsid w:val="000721B4"/>
    <w:rsid w:val="00072D6B"/>
    <w:rsid w:val="00073D49"/>
    <w:rsid w:val="0007449A"/>
    <w:rsid w:val="000751BD"/>
    <w:rsid w:val="0007525A"/>
    <w:rsid w:val="00081741"/>
    <w:rsid w:val="00081862"/>
    <w:rsid w:val="000835E4"/>
    <w:rsid w:val="00084908"/>
    <w:rsid w:val="00085AE3"/>
    <w:rsid w:val="00087C2D"/>
    <w:rsid w:val="00087D5F"/>
    <w:rsid w:val="00090CA4"/>
    <w:rsid w:val="000923CF"/>
    <w:rsid w:val="00094CBA"/>
    <w:rsid w:val="000972D6"/>
    <w:rsid w:val="000A217F"/>
    <w:rsid w:val="000A4813"/>
    <w:rsid w:val="000A5A4E"/>
    <w:rsid w:val="000A6D16"/>
    <w:rsid w:val="000B4A1D"/>
    <w:rsid w:val="000B4A20"/>
    <w:rsid w:val="000B4FFC"/>
    <w:rsid w:val="000B5BAC"/>
    <w:rsid w:val="000B5D37"/>
    <w:rsid w:val="000B688E"/>
    <w:rsid w:val="000C0DDF"/>
    <w:rsid w:val="000C237E"/>
    <w:rsid w:val="000C6EAD"/>
    <w:rsid w:val="000C6FBA"/>
    <w:rsid w:val="000C7356"/>
    <w:rsid w:val="000C795A"/>
    <w:rsid w:val="000D233A"/>
    <w:rsid w:val="000D23A8"/>
    <w:rsid w:val="000D48B5"/>
    <w:rsid w:val="000D5244"/>
    <w:rsid w:val="000D5FDF"/>
    <w:rsid w:val="000D6577"/>
    <w:rsid w:val="000D7513"/>
    <w:rsid w:val="000D76C1"/>
    <w:rsid w:val="000D7EF0"/>
    <w:rsid w:val="000E07B9"/>
    <w:rsid w:val="000E08CB"/>
    <w:rsid w:val="000E186F"/>
    <w:rsid w:val="000E1CBB"/>
    <w:rsid w:val="000E1FB5"/>
    <w:rsid w:val="000E3F7B"/>
    <w:rsid w:val="000E6E45"/>
    <w:rsid w:val="000F01B4"/>
    <w:rsid w:val="000F181D"/>
    <w:rsid w:val="000F2D63"/>
    <w:rsid w:val="000F727B"/>
    <w:rsid w:val="000F7683"/>
    <w:rsid w:val="000F7B38"/>
    <w:rsid w:val="00100EF3"/>
    <w:rsid w:val="001033FD"/>
    <w:rsid w:val="00105A9A"/>
    <w:rsid w:val="00106EB3"/>
    <w:rsid w:val="001104FF"/>
    <w:rsid w:val="00110D14"/>
    <w:rsid w:val="0011417F"/>
    <w:rsid w:val="00114DC3"/>
    <w:rsid w:val="00115DC9"/>
    <w:rsid w:val="00117A8A"/>
    <w:rsid w:val="001202ED"/>
    <w:rsid w:val="00121158"/>
    <w:rsid w:val="00130028"/>
    <w:rsid w:val="00135F2C"/>
    <w:rsid w:val="00136A36"/>
    <w:rsid w:val="00136E14"/>
    <w:rsid w:val="00137119"/>
    <w:rsid w:val="00137588"/>
    <w:rsid w:val="00141C6B"/>
    <w:rsid w:val="00143AAD"/>
    <w:rsid w:val="00144114"/>
    <w:rsid w:val="00144790"/>
    <w:rsid w:val="001511C1"/>
    <w:rsid w:val="001520E4"/>
    <w:rsid w:val="00153D06"/>
    <w:rsid w:val="00154528"/>
    <w:rsid w:val="00154CE1"/>
    <w:rsid w:val="00155196"/>
    <w:rsid w:val="00155D7E"/>
    <w:rsid w:val="0016067E"/>
    <w:rsid w:val="001613A6"/>
    <w:rsid w:val="001615A0"/>
    <w:rsid w:val="001619DD"/>
    <w:rsid w:val="00163E1F"/>
    <w:rsid w:val="001647F8"/>
    <w:rsid w:val="00166F14"/>
    <w:rsid w:val="00170296"/>
    <w:rsid w:val="00170ED8"/>
    <w:rsid w:val="00171D23"/>
    <w:rsid w:val="00172673"/>
    <w:rsid w:val="00172E7A"/>
    <w:rsid w:val="001764B6"/>
    <w:rsid w:val="0018154F"/>
    <w:rsid w:val="00183DD3"/>
    <w:rsid w:val="001852FF"/>
    <w:rsid w:val="00185ED1"/>
    <w:rsid w:val="00190D13"/>
    <w:rsid w:val="001969BA"/>
    <w:rsid w:val="00197A65"/>
    <w:rsid w:val="001A078E"/>
    <w:rsid w:val="001A1173"/>
    <w:rsid w:val="001A126D"/>
    <w:rsid w:val="001A3CB7"/>
    <w:rsid w:val="001A4EBC"/>
    <w:rsid w:val="001A522E"/>
    <w:rsid w:val="001A5513"/>
    <w:rsid w:val="001A5914"/>
    <w:rsid w:val="001A6549"/>
    <w:rsid w:val="001A6B02"/>
    <w:rsid w:val="001A7186"/>
    <w:rsid w:val="001A7E99"/>
    <w:rsid w:val="001B1470"/>
    <w:rsid w:val="001B4D73"/>
    <w:rsid w:val="001B5939"/>
    <w:rsid w:val="001B5ED7"/>
    <w:rsid w:val="001C1B1A"/>
    <w:rsid w:val="001C2F7E"/>
    <w:rsid w:val="001C75A4"/>
    <w:rsid w:val="001D002D"/>
    <w:rsid w:val="001D0250"/>
    <w:rsid w:val="001D50FC"/>
    <w:rsid w:val="001E049C"/>
    <w:rsid w:val="001E0817"/>
    <w:rsid w:val="001E09AF"/>
    <w:rsid w:val="001E0A63"/>
    <w:rsid w:val="001E1643"/>
    <w:rsid w:val="001E44A3"/>
    <w:rsid w:val="001E6C1F"/>
    <w:rsid w:val="001F00C3"/>
    <w:rsid w:val="001F17BA"/>
    <w:rsid w:val="001F21B7"/>
    <w:rsid w:val="001F35D2"/>
    <w:rsid w:val="001F3D75"/>
    <w:rsid w:val="001F546D"/>
    <w:rsid w:val="001F567A"/>
    <w:rsid w:val="001F56BB"/>
    <w:rsid w:val="001F5C86"/>
    <w:rsid w:val="001F5F4A"/>
    <w:rsid w:val="001F7A8B"/>
    <w:rsid w:val="00200BDD"/>
    <w:rsid w:val="00204B5D"/>
    <w:rsid w:val="002055EF"/>
    <w:rsid w:val="00206275"/>
    <w:rsid w:val="002076B4"/>
    <w:rsid w:val="00211CAE"/>
    <w:rsid w:val="00214F50"/>
    <w:rsid w:val="00215FF9"/>
    <w:rsid w:val="002162C4"/>
    <w:rsid w:val="002222E4"/>
    <w:rsid w:val="00222673"/>
    <w:rsid w:val="00222A01"/>
    <w:rsid w:val="00223BAA"/>
    <w:rsid w:val="002271FC"/>
    <w:rsid w:val="00227F57"/>
    <w:rsid w:val="00230C85"/>
    <w:rsid w:val="00231A4D"/>
    <w:rsid w:val="002327AB"/>
    <w:rsid w:val="00235BB5"/>
    <w:rsid w:val="00237C33"/>
    <w:rsid w:val="00241C02"/>
    <w:rsid w:val="0024475D"/>
    <w:rsid w:val="00253B21"/>
    <w:rsid w:val="00254004"/>
    <w:rsid w:val="002570BB"/>
    <w:rsid w:val="002603B4"/>
    <w:rsid w:val="002606AB"/>
    <w:rsid w:val="00261BBE"/>
    <w:rsid w:val="00263DC6"/>
    <w:rsid w:val="00264F54"/>
    <w:rsid w:val="00265CF4"/>
    <w:rsid w:val="00265FE3"/>
    <w:rsid w:val="002666D8"/>
    <w:rsid w:val="00267C1B"/>
    <w:rsid w:val="00280467"/>
    <w:rsid w:val="00280A72"/>
    <w:rsid w:val="00287274"/>
    <w:rsid w:val="002876C8"/>
    <w:rsid w:val="00287D55"/>
    <w:rsid w:val="00290A19"/>
    <w:rsid w:val="002914C1"/>
    <w:rsid w:val="00293DD5"/>
    <w:rsid w:val="00295AC4"/>
    <w:rsid w:val="00296B42"/>
    <w:rsid w:val="002A0641"/>
    <w:rsid w:val="002A0E13"/>
    <w:rsid w:val="002A181B"/>
    <w:rsid w:val="002A2DEE"/>
    <w:rsid w:val="002A4851"/>
    <w:rsid w:val="002A554A"/>
    <w:rsid w:val="002A6554"/>
    <w:rsid w:val="002A7CEF"/>
    <w:rsid w:val="002B07D3"/>
    <w:rsid w:val="002B0AC5"/>
    <w:rsid w:val="002B0EAB"/>
    <w:rsid w:val="002B1711"/>
    <w:rsid w:val="002B7798"/>
    <w:rsid w:val="002C0D16"/>
    <w:rsid w:val="002C2359"/>
    <w:rsid w:val="002C3928"/>
    <w:rsid w:val="002C392C"/>
    <w:rsid w:val="002C5CC5"/>
    <w:rsid w:val="002D2EA0"/>
    <w:rsid w:val="002D37F9"/>
    <w:rsid w:val="002D3CD6"/>
    <w:rsid w:val="002D6F8A"/>
    <w:rsid w:val="002E36D5"/>
    <w:rsid w:val="002E3A50"/>
    <w:rsid w:val="002E4228"/>
    <w:rsid w:val="002F24CF"/>
    <w:rsid w:val="002F30AF"/>
    <w:rsid w:val="002F6DB4"/>
    <w:rsid w:val="002F6EED"/>
    <w:rsid w:val="002F7446"/>
    <w:rsid w:val="002F7E8A"/>
    <w:rsid w:val="00300837"/>
    <w:rsid w:val="0030123E"/>
    <w:rsid w:val="003017A1"/>
    <w:rsid w:val="003017FA"/>
    <w:rsid w:val="00302E5C"/>
    <w:rsid w:val="00303A3D"/>
    <w:rsid w:val="00303EF1"/>
    <w:rsid w:val="00304D73"/>
    <w:rsid w:val="00306D6F"/>
    <w:rsid w:val="00313AF4"/>
    <w:rsid w:val="0031605E"/>
    <w:rsid w:val="003179C9"/>
    <w:rsid w:val="003208A1"/>
    <w:rsid w:val="0032227A"/>
    <w:rsid w:val="00323577"/>
    <w:rsid w:val="00324108"/>
    <w:rsid w:val="003255F5"/>
    <w:rsid w:val="00330188"/>
    <w:rsid w:val="00347267"/>
    <w:rsid w:val="00350A4C"/>
    <w:rsid w:val="00350AB6"/>
    <w:rsid w:val="0035463D"/>
    <w:rsid w:val="00355580"/>
    <w:rsid w:val="003555DD"/>
    <w:rsid w:val="00355B9E"/>
    <w:rsid w:val="00356F9A"/>
    <w:rsid w:val="0035711F"/>
    <w:rsid w:val="00357D22"/>
    <w:rsid w:val="00361BDD"/>
    <w:rsid w:val="00362E90"/>
    <w:rsid w:val="00367185"/>
    <w:rsid w:val="00370E67"/>
    <w:rsid w:val="003769A5"/>
    <w:rsid w:val="00380416"/>
    <w:rsid w:val="00380F2B"/>
    <w:rsid w:val="00381135"/>
    <w:rsid w:val="0038181B"/>
    <w:rsid w:val="0038390D"/>
    <w:rsid w:val="00390A95"/>
    <w:rsid w:val="003954EC"/>
    <w:rsid w:val="003979C2"/>
    <w:rsid w:val="00397EC2"/>
    <w:rsid w:val="003A1768"/>
    <w:rsid w:val="003A2E2B"/>
    <w:rsid w:val="003A2F02"/>
    <w:rsid w:val="003A33A2"/>
    <w:rsid w:val="003A6130"/>
    <w:rsid w:val="003A61B6"/>
    <w:rsid w:val="003A7077"/>
    <w:rsid w:val="003B06CC"/>
    <w:rsid w:val="003B1D03"/>
    <w:rsid w:val="003B338D"/>
    <w:rsid w:val="003B4E16"/>
    <w:rsid w:val="003B738D"/>
    <w:rsid w:val="003C1DC9"/>
    <w:rsid w:val="003C2340"/>
    <w:rsid w:val="003C56EC"/>
    <w:rsid w:val="003D185F"/>
    <w:rsid w:val="003D22D6"/>
    <w:rsid w:val="003D294B"/>
    <w:rsid w:val="003D48EB"/>
    <w:rsid w:val="003D5F2A"/>
    <w:rsid w:val="003D6A67"/>
    <w:rsid w:val="003E03D7"/>
    <w:rsid w:val="003E16E5"/>
    <w:rsid w:val="003E3C0D"/>
    <w:rsid w:val="003E76B1"/>
    <w:rsid w:val="003F21DC"/>
    <w:rsid w:val="003F2B71"/>
    <w:rsid w:val="003F4F52"/>
    <w:rsid w:val="003F54B5"/>
    <w:rsid w:val="003F6743"/>
    <w:rsid w:val="003F7751"/>
    <w:rsid w:val="00400482"/>
    <w:rsid w:val="0040048B"/>
    <w:rsid w:val="0040067C"/>
    <w:rsid w:val="0040320A"/>
    <w:rsid w:val="0040436C"/>
    <w:rsid w:val="00405C57"/>
    <w:rsid w:val="00407906"/>
    <w:rsid w:val="00410D5D"/>
    <w:rsid w:val="00411263"/>
    <w:rsid w:val="004112DF"/>
    <w:rsid w:val="0041162F"/>
    <w:rsid w:val="004134C4"/>
    <w:rsid w:val="00413FA5"/>
    <w:rsid w:val="004165F5"/>
    <w:rsid w:val="0041786B"/>
    <w:rsid w:val="0042200E"/>
    <w:rsid w:val="00422B8D"/>
    <w:rsid w:val="00424BD6"/>
    <w:rsid w:val="004252E1"/>
    <w:rsid w:val="00425343"/>
    <w:rsid w:val="00425713"/>
    <w:rsid w:val="00426D14"/>
    <w:rsid w:val="0043375D"/>
    <w:rsid w:val="00434968"/>
    <w:rsid w:val="00435749"/>
    <w:rsid w:val="004362EC"/>
    <w:rsid w:val="004373A1"/>
    <w:rsid w:val="00440658"/>
    <w:rsid w:val="004428F5"/>
    <w:rsid w:val="00443EDB"/>
    <w:rsid w:val="00444992"/>
    <w:rsid w:val="00446D17"/>
    <w:rsid w:val="004477A1"/>
    <w:rsid w:val="00452251"/>
    <w:rsid w:val="0045300E"/>
    <w:rsid w:val="00454502"/>
    <w:rsid w:val="00454972"/>
    <w:rsid w:val="00454A86"/>
    <w:rsid w:val="00454F66"/>
    <w:rsid w:val="004555F6"/>
    <w:rsid w:val="00455A4C"/>
    <w:rsid w:val="004607AE"/>
    <w:rsid w:val="00462162"/>
    <w:rsid w:val="00470298"/>
    <w:rsid w:val="00472034"/>
    <w:rsid w:val="004725C1"/>
    <w:rsid w:val="0047363A"/>
    <w:rsid w:val="00473BE8"/>
    <w:rsid w:val="00481100"/>
    <w:rsid w:val="00483C18"/>
    <w:rsid w:val="00483CCC"/>
    <w:rsid w:val="00485170"/>
    <w:rsid w:val="00485C0D"/>
    <w:rsid w:val="00486301"/>
    <w:rsid w:val="00487705"/>
    <w:rsid w:val="00487DB8"/>
    <w:rsid w:val="004936DC"/>
    <w:rsid w:val="00496F8E"/>
    <w:rsid w:val="0049729B"/>
    <w:rsid w:val="0049733E"/>
    <w:rsid w:val="004A15CF"/>
    <w:rsid w:val="004A24F2"/>
    <w:rsid w:val="004A2544"/>
    <w:rsid w:val="004A336B"/>
    <w:rsid w:val="004A4653"/>
    <w:rsid w:val="004A4E51"/>
    <w:rsid w:val="004A6A63"/>
    <w:rsid w:val="004A6D43"/>
    <w:rsid w:val="004A7660"/>
    <w:rsid w:val="004B1698"/>
    <w:rsid w:val="004B5444"/>
    <w:rsid w:val="004C0C59"/>
    <w:rsid w:val="004C2A9E"/>
    <w:rsid w:val="004C63C5"/>
    <w:rsid w:val="004D2452"/>
    <w:rsid w:val="004D292A"/>
    <w:rsid w:val="004D456E"/>
    <w:rsid w:val="004D55CD"/>
    <w:rsid w:val="004D6D69"/>
    <w:rsid w:val="004D70A7"/>
    <w:rsid w:val="004E069A"/>
    <w:rsid w:val="004E1968"/>
    <w:rsid w:val="004E2D94"/>
    <w:rsid w:val="004E4DF4"/>
    <w:rsid w:val="004E75AD"/>
    <w:rsid w:val="004F0079"/>
    <w:rsid w:val="004F0A5E"/>
    <w:rsid w:val="004F2B32"/>
    <w:rsid w:val="004F4022"/>
    <w:rsid w:val="005054F7"/>
    <w:rsid w:val="00511E7D"/>
    <w:rsid w:val="00514F78"/>
    <w:rsid w:val="00521009"/>
    <w:rsid w:val="00521F11"/>
    <w:rsid w:val="00523CEF"/>
    <w:rsid w:val="00527239"/>
    <w:rsid w:val="00527685"/>
    <w:rsid w:val="00527B89"/>
    <w:rsid w:val="005302E9"/>
    <w:rsid w:val="00530333"/>
    <w:rsid w:val="00531BB9"/>
    <w:rsid w:val="00531CD0"/>
    <w:rsid w:val="00533FA6"/>
    <w:rsid w:val="00534CCD"/>
    <w:rsid w:val="0053636F"/>
    <w:rsid w:val="00541563"/>
    <w:rsid w:val="00543CD0"/>
    <w:rsid w:val="005443AD"/>
    <w:rsid w:val="0054547F"/>
    <w:rsid w:val="00546379"/>
    <w:rsid w:val="005500C3"/>
    <w:rsid w:val="00551B18"/>
    <w:rsid w:val="00551F67"/>
    <w:rsid w:val="0055293E"/>
    <w:rsid w:val="00554E8D"/>
    <w:rsid w:val="00556934"/>
    <w:rsid w:val="00562C67"/>
    <w:rsid w:val="0056410A"/>
    <w:rsid w:val="00564F1F"/>
    <w:rsid w:val="005678D9"/>
    <w:rsid w:val="00570024"/>
    <w:rsid w:val="00570F35"/>
    <w:rsid w:val="00572006"/>
    <w:rsid w:val="00572555"/>
    <w:rsid w:val="00572876"/>
    <w:rsid w:val="0057433B"/>
    <w:rsid w:val="005774CD"/>
    <w:rsid w:val="00580DBE"/>
    <w:rsid w:val="00584F65"/>
    <w:rsid w:val="005906F6"/>
    <w:rsid w:val="00590957"/>
    <w:rsid w:val="00592FFD"/>
    <w:rsid w:val="00593138"/>
    <w:rsid w:val="0059411C"/>
    <w:rsid w:val="00594CBA"/>
    <w:rsid w:val="00594E55"/>
    <w:rsid w:val="00595248"/>
    <w:rsid w:val="005962E0"/>
    <w:rsid w:val="00596960"/>
    <w:rsid w:val="005A00CA"/>
    <w:rsid w:val="005A0F85"/>
    <w:rsid w:val="005A16CA"/>
    <w:rsid w:val="005A34CD"/>
    <w:rsid w:val="005A54F1"/>
    <w:rsid w:val="005A61E5"/>
    <w:rsid w:val="005A67A4"/>
    <w:rsid w:val="005A7FFA"/>
    <w:rsid w:val="005B01E1"/>
    <w:rsid w:val="005B0D01"/>
    <w:rsid w:val="005B157E"/>
    <w:rsid w:val="005B1599"/>
    <w:rsid w:val="005B24F3"/>
    <w:rsid w:val="005B6AC7"/>
    <w:rsid w:val="005B79C4"/>
    <w:rsid w:val="005B7AF4"/>
    <w:rsid w:val="005C003B"/>
    <w:rsid w:val="005C16D5"/>
    <w:rsid w:val="005C1841"/>
    <w:rsid w:val="005C1F6E"/>
    <w:rsid w:val="005C2099"/>
    <w:rsid w:val="005C219F"/>
    <w:rsid w:val="005C2308"/>
    <w:rsid w:val="005C3735"/>
    <w:rsid w:val="005C3F62"/>
    <w:rsid w:val="005C4B20"/>
    <w:rsid w:val="005C533D"/>
    <w:rsid w:val="005C7909"/>
    <w:rsid w:val="005D0FFD"/>
    <w:rsid w:val="005D1599"/>
    <w:rsid w:val="005D28C7"/>
    <w:rsid w:val="005D3482"/>
    <w:rsid w:val="005D568B"/>
    <w:rsid w:val="005D6335"/>
    <w:rsid w:val="005D652B"/>
    <w:rsid w:val="005D6E38"/>
    <w:rsid w:val="005D7C54"/>
    <w:rsid w:val="005E0E87"/>
    <w:rsid w:val="005E281D"/>
    <w:rsid w:val="005E4B2F"/>
    <w:rsid w:val="005E6D99"/>
    <w:rsid w:val="005E7670"/>
    <w:rsid w:val="005E7AF6"/>
    <w:rsid w:val="005E7CE3"/>
    <w:rsid w:val="005F33CE"/>
    <w:rsid w:val="005F4102"/>
    <w:rsid w:val="005F48B5"/>
    <w:rsid w:val="005F4F6E"/>
    <w:rsid w:val="006018CB"/>
    <w:rsid w:val="0060238F"/>
    <w:rsid w:val="006024E9"/>
    <w:rsid w:val="0060319E"/>
    <w:rsid w:val="006054A7"/>
    <w:rsid w:val="00605706"/>
    <w:rsid w:val="006128E7"/>
    <w:rsid w:val="006130F2"/>
    <w:rsid w:val="00613131"/>
    <w:rsid w:val="006144C5"/>
    <w:rsid w:val="00620B2D"/>
    <w:rsid w:val="0062402B"/>
    <w:rsid w:val="006251DE"/>
    <w:rsid w:val="0062581A"/>
    <w:rsid w:val="00630EED"/>
    <w:rsid w:val="0063439E"/>
    <w:rsid w:val="006354C9"/>
    <w:rsid w:val="00641594"/>
    <w:rsid w:val="006432D7"/>
    <w:rsid w:val="00644DC8"/>
    <w:rsid w:val="00646D62"/>
    <w:rsid w:val="00647FD6"/>
    <w:rsid w:val="00652BA6"/>
    <w:rsid w:val="00660227"/>
    <w:rsid w:val="00661325"/>
    <w:rsid w:val="00662BB6"/>
    <w:rsid w:val="00664B71"/>
    <w:rsid w:val="006669F1"/>
    <w:rsid w:val="00670897"/>
    <w:rsid w:val="00670D1B"/>
    <w:rsid w:val="00674D41"/>
    <w:rsid w:val="0067535D"/>
    <w:rsid w:val="0067546B"/>
    <w:rsid w:val="0067554B"/>
    <w:rsid w:val="006761D3"/>
    <w:rsid w:val="006770F9"/>
    <w:rsid w:val="00681E71"/>
    <w:rsid w:val="00681F73"/>
    <w:rsid w:val="006865D9"/>
    <w:rsid w:val="00686681"/>
    <w:rsid w:val="00686893"/>
    <w:rsid w:val="00687375"/>
    <w:rsid w:val="00687F81"/>
    <w:rsid w:val="00691303"/>
    <w:rsid w:val="00693323"/>
    <w:rsid w:val="0069341B"/>
    <w:rsid w:val="006A0A74"/>
    <w:rsid w:val="006A1E0A"/>
    <w:rsid w:val="006A2A15"/>
    <w:rsid w:val="006A4131"/>
    <w:rsid w:val="006A51B7"/>
    <w:rsid w:val="006A7B0B"/>
    <w:rsid w:val="006B088F"/>
    <w:rsid w:val="006B0BDB"/>
    <w:rsid w:val="006B1370"/>
    <w:rsid w:val="006B43ED"/>
    <w:rsid w:val="006B4B71"/>
    <w:rsid w:val="006B4EEC"/>
    <w:rsid w:val="006B5B6A"/>
    <w:rsid w:val="006B604A"/>
    <w:rsid w:val="006B688D"/>
    <w:rsid w:val="006C19E1"/>
    <w:rsid w:val="006C23D5"/>
    <w:rsid w:val="006C324C"/>
    <w:rsid w:val="006C41ED"/>
    <w:rsid w:val="006C570E"/>
    <w:rsid w:val="006C764F"/>
    <w:rsid w:val="006D395E"/>
    <w:rsid w:val="006D6811"/>
    <w:rsid w:val="006D7766"/>
    <w:rsid w:val="006E13AD"/>
    <w:rsid w:val="006E1D1B"/>
    <w:rsid w:val="006E3AB4"/>
    <w:rsid w:val="006E4AAA"/>
    <w:rsid w:val="006E599D"/>
    <w:rsid w:val="006E5D9B"/>
    <w:rsid w:val="006E6F61"/>
    <w:rsid w:val="006F2662"/>
    <w:rsid w:val="006F4C65"/>
    <w:rsid w:val="006F50D4"/>
    <w:rsid w:val="006F6D9A"/>
    <w:rsid w:val="0070129C"/>
    <w:rsid w:val="007014E9"/>
    <w:rsid w:val="00702E6A"/>
    <w:rsid w:val="00705DF5"/>
    <w:rsid w:val="00706879"/>
    <w:rsid w:val="0071030A"/>
    <w:rsid w:val="007157F7"/>
    <w:rsid w:val="0071664F"/>
    <w:rsid w:val="007168F3"/>
    <w:rsid w:val="00721A24"/>
    <w:rsid w:val="00721DD4"/>
    <w:rsid w:val="007230EA"/>
    <w:rsid w:val="0072735D"/>
    <w:rsid w:val="00732D40"/>
    <w:rsid w:val="0073429A"/>
    <w:rsid w:val="007347A1"/>
    <w:rsid w:val="007409D6"/>
    <w:rsid w:val="0074244A"/>
    <w:rsid w:val="00743E34"/>
    <w:rsid w:val="0074408F"/>
    <w:rsid w:val="00744BC1"/>
    <w:rsid w:val="00747A92"/>
    <w:rsid w:val="00754B9F"/>
    <w:rsid w:val="00757468"/>
    <w:rsid w:val="007600BE"/>
    <w:rsid w:val="00761512"/>
    <w:rsid w:val="00765114"/>
    <w:rsid w:val="00766647"/>
    <w:rsid w:val="007701AC"/>
    <w:rsid w:val="00772617"/>
    <w:rsid w:val="007726AA"/>
    <w:rsid w:val="007737B1"/>
    <w:rsid w:val="007739E5"/>
    <w:rsid w:val="00775F70"/>
    <w:rsid w:val="00776235"/>
    <w:rsid w:val="00776F78"/>
    <w:rsid w:val="00777D20"/>
    <w:rsid w:val="007809A9"/>
    <w:rsid w:val="0078138F"/>
    <w:rsid w:val="00781949"/>
    <w:rsid w:val="00782134"/>
    <w:rsid w:val="0078275D"/>
    <w:rsid w:val="00783316"/>
    <w:rsid w:val="007869E5"/>
    <w:rsid w:val="00787FF9"/>
    <w:rsid w:val="0079144B"/>
    <w:rsid w:val="00793ABB"/>
    <w:rsid w:val="007958FD"/>
    <w:rsid w:val="00795F09"/>
    <w:rsid w:val="00797EA8"/>
    <w:rsid w:val="007A0C57"/>
    <w:rsid w:val="007A0F94"/>
    <w:rsid w:val="007A27E1"/>
    <w:rsid w:val="007A2D86"/>
    <w:rsid w:val="007A7572"/>
    <w:rsid w:val="007B4944"/>
    <w:rsid w:val="007B5400"/>
    <w:rsid w:val="007B6FFB"/>
    <w:rsid w:val="007B72DF"/>
    <w:rsid w:val="007C197B"/>
    <w:rsid w:val="007C3B7F"/>
    <w:rsid w:val="007C438F"/>
    <w:rsid w:val="007C665D"/>
    <w:rsid w:val="007D0644"/>
    <w:rsid w:val="007D083F"/>
    <w:rsid w:val="007D2AE3"/>
    <w:rsid w:val="007D332E"/>
    <w:rsid w:val="007D407F"/>
    <w:rsid w:val="007E16C8"/>
    <w:rsid w:val="007E1ACE"/>
    <w:rsid w:val="007E3CD4"/>
    <w:rsid w:val="007E66F7"/>
    <w:rsid w:val="007F007F"/>
    <w:rsid w:val="007F04AF"/>
    <w:rsid w:val="007F04DC"/>
    <w:rsid w:val="007F0AB8"/>
    <w:rsid w:val="007F2373"/>
    <w:rsid w:val="007F2E3C"/>
    <w:rsid w:val="007F3320"/>
    <w:rsid w:val="007F3A3E"/>
    <w:rsid w:val="007F6832"/>
    <w:rsid w:val="007F7F16"/>
    <w:rsid w:val="00804FAB"/>
    <w:rsid w:val="00805751"/>
    <w:rsid w:val="00805CD6"/>
    <w:rsid w:val="008119D7"/>
    <w:rsid w:val="00812619"/>
    <w:rsid w:val="008132D5"/>
    <w:rsid w:val="00815D74"/>
    <w:rsid w:val="00825C42"/>
    <w:rsid w:val="0082766F"/>
    <w:rsid w:val="00830100"/>
    <w:rsid w:val="008306E3"/>
    <w:rsid w:val="00832D4C"/>
    <w:rsid w:val="00832EE6"/>
    <w:rsid w:val="008336EE"/>
    <w:rsid w:val="00833931"/>
    <w:rsid w:val="00833E82"/>
    <w:rsid w:val="008351F0"/>
    <w:rsid w:val="00837B15"/>
    <w:rsid w:val="00843FCA"/>
    <w:rsid w:val="00845057"/>
    <w:rsid w:val="00845BEF"/>
    <w:rsid w:val="008465C0"/>
    <w:rsid w:val="00850411"/>
    <w:rsid w:val="00851A86"/>
    <w:rsid w:val="00852400"/>
    <w:rsid w:val="00852C71"/>
    <w:rsid w:val="00852E12"/>
    <w:rsid w:val="00854077"/>
    <w:rsid w:val="00855E6A"/>
    <w:rsid w:val="00856720"/>
    <w:rsid w:val="008606A1"/>
    <w:rsid w:val="008611D9"/>
    <w:rsid w:val="008623AF"/>
    <w:rsid w:val="008634FE"/>
    <w:rsid w:val="00864137"/>
    <w:rsid w:val="008650A8"/>
    <w:rsid w:val="0086699D"/>
    <w:rsid w:val="00867FBF"/>
    <w:rsid w:val="00870236"/>
    <w:rsid w:val="00870548"/>
    <w:rsid w:val="00871500"/>
    <w:rsid w:val="0087288E"/>
    <w:rsid w:val="0087737E"/>
    <w:rsid w:val="008773E7"/>
    <w:rsid w:val="00883D14"/>
    <w:rsid w:val="008840C6"/>
    <w:rsid w:val="008841E9"/>
    <w:rsid w:val="00884592"/>
    <w:rsid w:val="00885470"/>
    <w:rsid w:val="00887684"/>
    <w:rsid w:val="00890273"/>
    <w:rsid w:val="00897F56"/>
    <w:rsid w:val="008A22DD"/>
    <w:rsid w:val="008A2B00"/>
    <w:rsid w:val="008A2F3A"/>
    <w:rsid w:val="008A3406"/>
    <w:rsid w:val="008A3956"/>
    <w:rsid w:val="008B3EBD"/>
    <w:rsid w:val="008B51CE"/>
    <w:rsid w:val="008B5C4A"/>
    <w:rsid w:val="008C03BA"/>
    <w:rsid w:val="008C0630"/>
    <w:rsid w:val="008C16C2"/>
    <w:rsid w:val="008C1A07"/>
    <w:rsid w:val="008C20F0"/>
    <w:rsid w:val="008C36A4"/>
    <w:rsid w:val="008C51AF"/>
    <w:rsid w:val="008C5B71"/>
    <w:rsid w:val="008C7765"/>
    <w:rsid w:val="008C7B04"/>
    <w:rsid w:val="008D0D31"/>
    <w:rsid w:val="008D290B"/>
    <w:rsid w:val="008D3C08"/>
    <w:rsid w:val="008D3FFA"/>
    <w:rsid w:val="008D4758"/>
    <w:rsid w:val="008D5D08"/>
    <w:rsid w:val="008D6B21"/>
    <w:rsid w:val="008D7146"/>
    <w:rsid w:val="008E10AB"/>
    <w:rsid w:val="008E1B79"/>
    <w:rsid w:val="008E1F57"/>
    <w:rsid w:val="008E3D8C"/>
    <w:rsid w:val="008E63AC"/>
    <w:rsid w:val="008F08A6"/>
    <w:rsid w:val="008F109F"/>
    <w:rsid w:val="008F7B8F"/>
    <w:rsid w:val="008F7C11"/>
    <w:rsid w:val="00900C1B"/>
    <w:rsid w:val="00902656"/>
    <w:rsid w:val="00903434"/>
    <w:rsid w:val="00904CEC"/>
    <w:rsid w:val="009104DD"/>
    <w:rsid w:val="0091180A"/>
    <w:rsid w:val="00912705"/>
    <w:rsid w:val="00913DF7"/>
    <w:rsid w:val="00915871"/>
    <w:rsid w:val="00917B30"/>
    <w:rsid w:val="00927B7D"/>
    <w:rsid w:val="00933AC4"/>
    <w:rsid w:val="0093636E"/>
    <w:rsid w:val="009372B9"/>
    <w:rsid w:val="00937AF0"/>
    <w:rsid w:val="00941617"/>
    <w:rsid w:val="00941DB7"/>
    <w:rsid w:val="00942319"/>
    <w:rsid w:val="0094309F"/>
    <w:rsid w:val="00946DA9"/>
    <w:rsid w:val="00947791"/>
    <w:rsid w:val="0095025A"/>
    <w:rsid w:val="00951337"/>
    <w:rsid w:val="00952B1B"/>
    <w:rsid w:val="009565A6"/>
    <w:rsid w:val="009605CC"/>
    <w:rsid w:val="0096531A"/>
    <w:rsid w:val="0096552A"/>
    <w:rsid w:val="00966E95"/>
    <w:rsid w:val="00971F9C"/>
    <w:rsid w:val="00972987"/>
    <w:rsid w:val="00973267"/>
    <w:rsid w:val="009766CD"/>
    <w:rsid w:val="00977005"/>
    <w:rsid w:val="00977F76"/>
    <w:rsid w:val="00981769"/>
    <w:rsid w:val="009833BB"/>
    <w:rsid w:val="00985CD9"/>
    <w:rsid w:val="00985E21"/>
    <w:rsid w:val="00986582"/>
    <w:rsid w:val="009865E6"/>
    <w:rsid w:val="0099370E"/>
    <w:rsid w:val="00993D6A"/>
    <w:rsid w:val="0099404D"/>
    <w:rsid w:val="00994C55"/>
    <w:rsid w:val="00996B08"/>
    <w:rsid w:val="009970FC"/>
    <w:rsid w:val="009A0515"/>
    <w:rsid w:val="009A254B"/>
    <w:rsid w:val="009A278D"/>
    <w:rsid w:val="009A31D3"/>
    <w:rsid w:val="009A422A"/>
    <w:rsid w:val="009A5543"/>
    <w:rsid w:val="009A66A0"/>
    <w:rsid w:val="009B0C4D"/>
    <w:rsid w:val="009B1484"/>
    <w:rsid w:val="009B1521"/>
    <w:rsid w:val="009B1677"/>
    <w:rsid w:val="009C1668"/>
    <w:rsid w:val="009C1E6A"/>
    <w:rsid w:val="009C3D6B"/>
    <w:rsid w:val="009C61CE"/>
    <w:rsid w:val="009C7B92"/>
    <w:rsid w:val="009D05D7"/>
    <w:rsid w:val="009D08C6"/>
    <w:rsid w:val="009D0FF9"/>
    <w:rsid w:val="009D1FF5"/>
    <w:rsid w:val="009D67F9"/>
    <w:rsid w:val="009D7097"/>
    <w:rsid w:val="009E381A"/>
    <w:rsid w:val="009E3A81"/>
    <w:rsid w:val="009E3C4A"/>
    <w:rsid w:val="009E422B"/>
    <w:rsid w:val="009E6BA0"/>
    <w:rsid w:val="009E6C84"/>
    <w:rsid w:val="009E7519"/>
    <w:rsid w:val="009E7C1C"/>
    <w:rsid w:val="009F05DB"/>
    <w:rsid w:val="009F0659"/>
    <w:rsid w:val="009F144D"/>
    <w:rsid w:val="009F22C9"/>
    <w:rsid w:val="009F2863"/>
    <w:rsid w:val="009F29D5"/>
    <w:rsid w:val="009F2E7A"/>
    <w:rsid w:val="009F2F54"/>
    <w:rsid w:val="009F6FFF"/>
    <w:rsid w:val="009F779C"/>
    <w:rsid w:val="009F7D6A"/>
    <w:rsid w:val="00A01FCF"/>
    <w:rsid w:val="00A02C89"/>
    <w:rsid w:val="00A061D2"/>
    <w:rsid w:val="00A06B92"/>
    <w:rsid w:val="00A06ECC"/>
    <w:rsid w:val="00A07ADA"/>
    <w:rsid w:val="00A120E1"/>
    <w:rsid w:val="00A1249B"/>
    <w:rsid w:val="00A124DC"/>
    <w:rsid w:val="00A13380"/>
    <w:rsid w:val="00A158EB"/>
    <w:rsid w:val="00A17577"/>
    <w:rsid w:val="00A17DA4"/>
    <w:rsid w:val="00A210BA"/>
    <w:rsid w:val="00A21679"/>
    <w:rsid w:val="00A25FE1"/>
    <w:rsid w:val="00A2702B"/>
    <w:rsid w:val="00A33E35"/>
    <w:rsid w:val="00A34CFE"/>
    <w:rsid w:val="00A35023"/>
    <w:rsid w:val="00A36BC1"/>
    <w:rsid w:val="00A36F48"/>
    <w:rsid w:val="00A40A9A"/>
    <w:rsid w:val="00A416CC"/>
    <w:rsid w:val="00A419A4"/>
    <w:rsid w:val="00A420BF"/>
    <w:rsid w:val="00A43728"/>
    <w:rsid w:val="00A45323"/>
    <w:rsid w:val="00A45A62"/>
    <w:rsid w:val="00A47294"/>
    <w:rsid w:val="00A50D3B"/>
    <w:rsid w:val="00A53FB6"/>
    <w:rsid w:val="00A5423C"/>
    <w:rsid w:val="00A54DAB"/>
    <w:rsid w:val="00A56821"/>
    <w:rsid w:val="00A56AC7"/>
    <w:rsid w:val="00A56C93"/>
    <w:rsid w:val="00A6212D"/>
    <w:rsid w:val="00A64D0A"/>
    <w:rsid w:val="00A66EAE"/>
    <w:rsid w:val="00A754DD"/>
    <w:rsid w:val="00A83D45"/>
    <w:rsid w:val="00A84FA7"/>
    <w:rsid w:val="00A85BDB"/>
    <w:rsid w:val="00A9058C"/>
    <w:rsid w:val="00A90E87"/>
    <w:rsid w:val="00A9580F"/>
    <w:rsid w:val="00A97698"/>
    <w:rsid w:val="00A97CAE"/>
    <w:rsid w:val="00A97D00"/>
    <w:rsid w:val="00AA0CCF"/>
    <w:rsid w:val="00AA1235"/>
    <w:rsid w:val="00AA23ED"/>
    <w:rsid w:val="00AA3FDD"/>
    <w:rsid w:val="00AA50CA"/>
    <w:rsid w:val="00AB1BA6"/>
    <w:rsid w:val="00AB338D"/>
    <w:rsid w:val="00AB3F41"/>
    <w:rsid w:val="00AB56B5"/>
    <w:rsid w:val="00AB63BC"/>
    <w:rsid w:val="00AC0F51"/>
    <w:rsid w:val="00AC2202"/>
    <w:rsid w:val="00AC23E4"/>
    <w:rsid w:val="00AC2ACA"/>
    <w:rsid w:val="00AC30FE"/>
    <w:rsid w:val="00AC4FBD"/>
    <w:rsid w:val="00AC7833"/>
    <w:rsid w:val="00AD07B2"/>
    <w:rsid w:val="00AD190F"/>
    <w:rsid w:val="00AD336C"/>
    <w:rsid w:val="00AD5D4D"/>
    <w:rsid w:val="00AE1F29"/>
    <w:rsid w:val="00AE201E"/>
    <w:rsid w:val="00AE3497"/>
    <w:rsid w:val="00AE556A"/>
    <w:rsid w:val="00AE5EE6"/>
    <w:rsid w:val="00AE67AE"/>
    <w:rsid w:val="00AF125B"/>
    <w:rsid w:val="00AF2300"/>
    <w:rsid w:val="00AF2374"/>
    <w:rsid w:val="00AF24F3"/>
    <w:rsid w:val="00AF3759"/>
    <w:rsid w:val="00AF3916"/>
    <w:rsid w:val="00AF42E5"/>
    <w:rsid w:val="00AF5270"/>
    <w:rsid w:val="00AF58CE"/>
    <w:rsid w:val="00B05197"/>
    <w:rsid w:val="00B130C0"/>
    <w:rsid w:val="00B133B8"/>
    <w:rsid w:val="00B15664"/>
    <w:rsid w:val="00B17B4D"/>
    <w:rsid w:val="00B17CE0"/>
    <w:rsid w:val="00B23F55"/>
    <w:rsid w:val="00B24300"/>
    <w:rsid w:val="00B24E1F"/>
    <w:rsid w:val="00B257FB"/>
    <w:rsid w:val="00B26371"/>
    <w:rsid w:val="00B26B29"/>
    <w:rsid w:val="00B27D67"/>
    <w:rsid w:val="00B30F58"/>
    <w:rsid w:val="00B3218E"/>
    <w:rsid w:val="00B34646"/>
    <w:rsid w:val="00B37E51"/>
    <w:rsid w:val="00B447E0"/>
    <w:rsid w:val="00B45419"/>
    <w:rsid w:val="00B46697"/>
    <w:rsid w:val="00B476CA"/>
    <w:rsid w:val="00B502D1"/>
    <w:rsid w:val="00B507FA"/>
    <w:rsid w:val="00B50BC8"/>
    <w:rsid w:val="00B51010"/>
    <w:rsid w:val="00B528AB"/>
    <w:rsid w:val="00B52E25"/>
    <w:rsid w:val="00B5312B"/>
    <w:rsid w:val="00B54492"/>
    <w:rsid w:val="00B56FB1"/>
    <w:rsid w:val="00B57155"/>
    <w:rsid w:val="00B57A72"/>
    <w:rsid w:val="00B6065D"/>
    <w:rsid w:val="00B60811"/>
    <w:rsid w:val="00B6106E"/>
    <w:rsid w:val="00B62C64"/>
    <w:rsid w:val="00B7070D"/>
    <w:rsid w:val="00B7094B"/>
    <w:rsid w:val="00B70F23"/>
    <w:rsid w:val="00B71F8B"/>
    <w:rsid w:val="00B75914"/>
    <w:rsid w:val="00B75B39"/>
    <w:rsid w:val="00B7654D"/>
    <w:rsid w:val="00B7682A"/>
    <w:rsid w:val="00B77920"/>
    <w:rsid w:val="00B80128"/>
    <w:rsid w:val="00B8230D"/>
    <w:rsid w:val="00B82575"/>
    <w:rsid w:val="00B8281C"/>
    <w:rsid w:val="00B83B0E"/>
    <w:rsid w:val="00B83BD1"/>
    <w:rsid w:val="00B84E33"/>
    <w:rsid w:val="00B85535"/>
    <w:rsid w:val="00B86333"/>
    <w:rsid w:val="00B86A0D"/>
    <w:rsid w:val="00B918AD"/>
    <w:rsid w:val="00B94502"/>
    <w:rsid w:val="00B9458B"/>
    <w:rsid w:val="00B947D1"/>
    <w:rsid w:val="00B96464"/>
    <w:rsid w:val="00BA24FA"/>
    <w:rsid w:val="00BA3BED"/>
    <w:rsid w:val="00BA6988"/>
    <w:rsid w:val="00BA7860"/>
    <w:rsid w:val="00BA78FC"/>
    <w:rsid w:val="00BA7A85"/>
    <w:rsid w:val="00BA7B1C"/>
    <w:rsid w:val="00BB06C4"/>
    <w:rsid w:val="00BB2070"/>
    <w:rsid w:val="00BB477C"/>
    <w:rsid w:val="00BB556C"/>
    <w:rsid w:val="00BB7793"/>
    <w:rsid w:val="00BB7B1D"/>
    <w:rsid w:val="00BC240B"/>
    <w:rsid w:val="00BC26EC"/>
    <w:rsid w:val="00BC5B97"/>
    <w:rsid w:val="00BD0052"/>
    <w:rsid w:val="00BD10CA"/>
    <w:rsid w:val="00BD2061"/>
    <w:rsid w:val="00BE2801"/>
    <w:rsid w:val="00BE446F"/>
    <w:rsid w:val="00BE5993"/>
    <w:rsid w:val="00BE7CC6"/>
    <w:rsid w:val="00BE7E6B"/>
    <w:rsid w:val="00BF07FD"/>
    <w:rsid w:val="00BF0ED6"/>
    <w:rsid w:val="00BF5478"/>
    <w:rsid w:val="00BF7307"/>
    <w:rsid w:val="00BF78A1"/>
    <w:rsid w:val="00C02512"/>
    <w:rsid w:val="00C025A2"/>
    <w:rsid w:val="00C06913"/>
    <w:rsid w:val="00C06DCB"/>
    <w:rsid w:val="00C07D90"/>
    <w:rsid w:val="00C10F8A"/>
    <w:rsid w:val="00C1239D"/>
    <w:rsid w:val="00C12954"/>
    <w:rsid w:val="00C1338A"/>
    <w:rsid w:val="00C14B0B"/>
    <w:rsid w:val="00C16E86"/>
    <w:rsid w:val="00C2203F"/>
    <w:rsid w:val="00C2239D"/>
    <w:rsid w:val="00C22766"/>
    <w:rsid w:val="00C22E2A"/>
    <w:rsid w:val="00C25094"/>
    <w:rsid w:val="00C25343"/>
    <w:rsid w:val="00C26C80"/>
    <w:rsid w:val="00C32479"/>
    <w:rsid w:val="00C32E88"/>
    <w:rsid w:val="00C34906"/>
    <w:rsid w:val="00C34D49"/>
    <w:rsid w:val="00C353CE"/>
    <w:rsid w:val="00C36FB8"/>
    <w:rsid w:val="00C3798A"/>
    <w:rsid w:val="00C51952"/>
    <w:rsid w:val="00C519AC"/>
    <w:rsid w:val="00C51C45"/>
    <w:rsid w:val="00C53913"/>
    <w:rsid w:val="00C53964"/>
    <w:rsid w:val="00C575C2"/>
    <w:rsid w:val="00C60414"/>
    <w:rsid w:val="00C62605"/>
    <w:rsid w:val="00C643A8"/>
    <w:rsid w:val="00C67FDA"/>
    <w:rsid w:val="00C7044F"/>
    <w:rsid w:val="00C70E9E"/>
    <w:rsid w:val="00C728BA"/>
    <w:rsid w:val="00C74B42"/>
    <w:rsid w:val="00C771D0"/>
    <w:rsid w:val="00C77850"/>
    <w:rsid w:val="00C90334"/>
    <w:rsid w:val="00C91AD2"/>
    <w:rsid w:val="00C94201"/>
    <w:rsid w:val="00C9516C"/>
    <w:rsid w:val="00C9567C"/>
    <w:rsid w:val="00C95A2E"/>
    <w:rsid w:val="00C95E1B"/>
    <w:rsid w:val="00CB0063"/>
    <w:rsid w:val="00CB201B"/>
    <w:rsid w:val="00CB317F"/>
    <w:rsid w:val="00CB38E8"/>
    <w:rsid w:val="00CB3FB2"/>
    <w:rsid w:val="00CB4255"/>
    <w:rsid w:val="00CB51C2"/>
    <w:rsid w:val="00CB523B"/>
    <w:rsid w:val="00CB6E7D"/>
    <w:rsid w:val="00CB735B"/>
    <w:rsid w:val="00CB7EED"/>
    <w:rsid w:val="00CC1A46"/>
    <w:rsid w:val="00CC23CD"/>
    <w:rsid w:val="00CC2997"/>
    <w:rsid w:val="00CC3F33"/>
    <w:rsid w:val="00CC455E"/>
    <w:rsid w:val="00CC4F06"/>
    <w:rsid w:val="00CC5D52"/>
    <w:rsid w:val="00CD2051"/>
    <w:rsid w:val="00CD4841"/>
    <w:rsid w:val="00CD4C73"/>
    <w:rsid w:val="00CD6E32"/>
    <w:rsid w:val="00CE0517"/>
    <w:rsid w:val="00CE0D55"/>
    <w:rsid w:val="00CE20E3"/>
    <w:rsid w:val="00CE28AB"/>
    <w:rsid w:val="00CE45B6"/>
    <w:rsid w:val="00CF05EF"/>
    <w:rsid w:val="00CF681C"/>
    <w:rsid w:val="00CF7ABC"/>
    <w:rsid w:val="00CF7E32"/>
    <w:rsid w:val="00D00131"/>
    <w:rsid w:val="00D0189B"/>
    <w:rsid w:val="00D019A1"/>
    <w:rsid w:val="00D03494"/>
    <w:rsid w:val="00D06594"/>
    <w:rsid w:val="00D129A4"/>
    <w:rsid w:val="00D129CF"/>
    <w:rsid w:val="00D12DD5"/>
    <w:rsid w:val="00D1327B"/>
    <w:rsid w:val="00D22D0D"/>
    <w:rsid w:val="00D22FF4"/>
    <w:rsid w:val="00D23D90"/>
    <w:rsid w:val="00D30587"/>
    <w:rsid w:val="00D31F3A"/>
    <w:rsid w:val="00D344B9"/>
    <w:rsid w:val="00D35466"/>
    <w:rsid w:val="00D371D5"/>
    <w:rsid w:val="00D42D75"/>
    <w:rsid w:val="00D50000"/>
    <w:rsid w:val="00D51B9B"/>
    <w:rsid w:val="00D574E5"/>
    <w:rsid w:val="00D6041A"/>
    <w:rsid w:val="00D60CC9"/>
    <w:rsid w:val="00D60DFB"/>
    <w:rsid w:val="00D61256"/>
    <w:rsid w:val="00D64F50"/>
    <w:rsid w:val="00D655D2"/>
    <w:rsid w:val="00D65E96"/>
    <w:rsid w:val="00D66360"/>
    <w:rsid w:val="00D71614"/>
    <w:rsid w:val="00D74EBF"/>
    <w:rsid w:val="00D74F1D"/>
    <w:rsid w:val="00D778A4"/>
    <w:rsid w:val="00D81073"/>
    <w:rsid w:val="00D8389A"/>
    <w:rsid w:val="00D84D81"/>
    <w:rsid w:val="00D86CC2"/>
    <w:rsid w:val="00D878AC"/>
    <w:rsid w:val="00D878B1"/>
    <w:rsid w:val="00D87C3F"/>
    <w:rsid w:val="00D9399A"/>
    <w:rsid w:val="00D942D3"/>
    <w:rsid w:val="00D95D1B"/>
    <w:rsid w:val="00D9666A"/>
    <w:rsid w:val="00D978CF"/>
    <w:rsid w:val="00DA36C3"/>
    <w:rsid w:val="00DA4CB8"/>
    <w:rsid w:val="00DA5894"/>
    <w:rsid w:val="00DB1A4E"/>
    <w:rsid w:val="00DB38B7"/>
    <w:rsid w:val="00DB5A96"/>
    <w:rsid w:val="00DB5E52"/>
    <w:rsid w:val="00DB728E"/>
    <w:rsid w:val="00DC12A6"/>
    <w:rsid w:val="00DC240C"/>
    <w:rsid w:val="00DC346C"/>
    <w:rsid w:val="00DC3E40"/>
    <w:rsid w:val="00DC459E"/>
    <w:rsid w:val="00DC45E0"/>
    <w:rsid w:val="00DC4F2E"/>
    <w:rsid w:val="00DC5F48"/>
    <w:rsid w:val="00DC6563"/>
    <w:rsid w:val="00DD1ACA"/>
    <w:rsid w:val="00DD1C6E"/>
    <w:rsid w:val="00DD7286"/>
    <w:rsid w:val="00DE1425"/>
    <w:rsid w:val="00DE1509"/>
    <w:rsid w:val="00DE28FE"/>
    <w:rsid w:val="00DE2E88"/>
    <w:rsid w:val="00DE45C7"/>
    <w:rsid w:val="00DE47C5"/>
    <w:rsid w:val="00DE55A9"/>
    <w:rsid w:val="00DE64AF"/>
    <w:rsid w:val="00DE67A4"/>
    <w:rsid w:val="00DE7C4C"/>
    <w:rsid w:val="00DF2DFE"/>
    <w:rsid w:val="00DF3CB9"/>
    <w:rsid w:val="00DF4092"/>
    <w:rsid w:val="00DF4EFC"/>
    <w:rsid w:val="00DF509B"/>
    <w:rsid w:val="00DF5C27"/>
    <w:rsid w:val="00DF63D2"/>
    <w:rsid w:val="00DF6406"/>
    <w:rsid w:val="00DF77BD"/>
    <w:rsid w:val="00DF7FF9"/>
    <w:rsid w:val="00E0201C"/>
    <w:rsid w:val="00E05277"/>
    <w:rsid w:val="00E07B42"/>
    <w:rsid w:val="00E1055B"/>
    <w:rsid w:val="00E10654"/>
    <w:rsid w:val="00E12B19"/>
    <w:rsid w:val="00E150D2"/>
    <w:rsid w:val="00E15CE7"/>
    <w:rsid w:val="00E16C0E"/>
    <w:rsid w:val="00E17C66"/>
    <w:rsid w:val="00E222FE"/>
    <w:rsid w:val="00E25EAF"/>
    <w:rsid w:val="00E2601B"/>
    <w:rsid w:val="00E2625C"/>
    <w:rsid w:val="00E26AB1"/>
    <w:rsid w:val="00E315F5"/>
    <w:rsid w:val="00E32FC4"/>
    <w:rsid w:val="00E3362A"/>
    <w:rsid w:val="00E379F1"/>
    <w:rsid w:val="00E400F0"/>
    <w:rsid w:val="00E41782"/>
    <w:rsid w:val="00E42B14"/>
    <w:rsid w:val="00E449D5"/>
    <w:rsid w:val="00E44DE7"/>
    <w:rsid w:val="00E45F50"/>
    <w:rsid w:val="00E463E4"/>
    <w:rsid w:val="00E474D0"/>
    <w:rsid w:val="00E513E0"/>
    <w:rsid w:val="00E521B4"/>
    <w:rsid w:val="00E52544"/>
    <w:rsid w:val="00E529C5"/>
    <w:rsid w:val="00E54764"/>
    <w:rsid w:val="00E555E2"/>
    <w:rsid w:val="00E55B22"/>
    <w:rsid w:val="00E64A99"/>
    <w:rsid w:val="00E64B6C"/>
    <w:rsid w:val="00E6555C"/>
    <w:rsid w:val="00E67C03"/>
    <w:rsid w:val="00E71852"/>
    <w:rsid w:val="00E72C9F"/>
    <w:rsid w:val="00E7331F"/>
    <w:rsid w:val="00E7541F"/>
    <w:rsid w:val="00E76393"/>
    <w:rsid w:val="00E81AD0"/>
    <w:rsid w:val="00E82DAB"/>
    <w:rsid w:val="00E83823"/>
    <w:rsid w:val="00E85715"/>
    <w:rsid w:val="00E85C14"/>
    <w:rsid w:val="00E870DF"/>
    <w:rsid w:val="00E90071"/>
    <w:rsid w:val="00E93B21"/>
    <w:rsid w:val="00E954C5"/>
    <w:rsid w:val="00E965AE"/>
    <w:rsid w:val="00E96FFA"/>
    <w:rsid w:val="00E97B03"/>
    <w:rsid w:val="00EA0C93"/>
    <w:rsid w:val="00EA2259"/>
    <w:rsid w:val="00EA6B29"/>
    <w:rsid w:val="00EA6B86"/>
    <w:rsid w:val="00EA6E9A"/>
    <w:rsid w:val="00EB1700"/>
    <w:rsid w:val="00EB271F"/>
    <w:rsid w:val="00EB2BC4"/>
    <w:rsid w:val="00EB54C8"/>
    <w:rsid w:val="00EB588D"/>
    <w:rsid w:val="00EB7FC3"/>
    <w:rsid w:val="00EC08D9"/>
    <w:rsid w:val="00EC3BA2"/>
    <w:rsid w:val="00EC74F6"/>
    <w:rsid w:val="00ED1F10"/>
    <w:rsid w:val="00ED40A4"/>
    <w:rsid w:val="00ED5D0D"/>
    <w:rsid w:val="00ED5FEE"/>
    <w:rsid w:val="00ED6481"/>
    <w:rsid w:val="00ED6C46"/>
    <w:rsid w:val="00EE62F2"/>
    <w:rsid w:val="00EE65F1"/>
    <w:rsid w:val="00EE6D0D"/>
    <w:rsid w:val="00EF00D6"/>
    <w:rsid w:val="00EF0726"/>
    <w:rsid w:val="00EF30B6"/>
    <w:rsid w:val="00EF3861"/>
    <w:rsid w:val="00EF3B16"/>
    <w:rsid w:val="00EF3C35"/>
    <w:rsid w:val="00EF454C"/>
    <w:rsid w:val="00EF6BE6"/>
    <w:rsid w:val="00F0066D"/>
    <w:rsid w:val="00F024F3"/>
    <w:rsid w:val="00F02EEC"/>
    <w:rsid w:val="00F03911"/>
    <w:rsid w:val="00F04159"/>
    <w:rsid w:val="00F10353"/>
    <w:rsid w:val="00F145E5"/>
    <w:rsid w:val="00F1565F"/>
    <w:rsid w:val="00F247EE"/>
    <w:rsid w:val="00F258C5"/>
    <w:rsid w:val="00F325EE"/>
    <w:rsid w:val="00F35439"/>
    <w:rsid w:val="00F35C74"/>
    <w:rsid w:val="00F4084B"/>
    <w:rsid w:val="00F43885"/>
    <w:rsid w:val="00F44DEA"/>
    <w:rsid w:val="00F469DB"/>
    <w:rsid w:val="00F47DF1"/>
    <w:rsid w:val="00F518CA"/>
    <w:rsid w:val="00F63FAB"/>
    <w:rsid w:val="00F64A6D"/>
    <w:rsid w:val="00F6512A"/>
    <w:rsid w:val="00F65ACF"/>
    <w:rsid w:val="00F6734F"/>
    <w:rsid w:val="00F705E5"/>
    <w:rsid w:val="00F71201"/>
    <w:rsid w:val="00F71CAD"/>
    <w:rsid w:val="00F74E72"/>
    <w:rsid w:val="00F76088"/>
    <w:rsid w:val="00F80A3D"/>
    <w:rsid w:val="00F95035"/>
    <w:rsid w:val="00FA4F6E"/>
    <w:rsid w:val="00FA5D74"/>
    <w:rsid w:val="00FA7A1D"/>
    <w:rsid w:val="00FB2455"/>
    <w:rsid w:val="00FB408C"/>
    <w:rsid w:val="00FB5D43"/>
    <w:rsid w:val="00FB776D"/>
    <w:rsid w:val="00FC204D"/>
    <w:rsid w:val="00FC4CCB"/>
    <w:rsid w:val="00FC4F1D"/>
    <w:rsid w:val="00FC64EB"/>
    <w:rsid w:val="00FD0E22"/>
    <w:rsid w:val="00FD2B14"/>
    <w:rsid w:val="00FD406A"/>
    <w:rsid w:val="00FD4AFA"/>
    <w:rsid w:val="00FD64F9"/>
    <w:rsid w:val="00FD71C3"/>
    <w:rsid w:val="00FD764B"/>
    <w:rsid w:val="00FE0732"/>
    <w:rsid w:val="00FE233C"/>
    <w:rsid w:val="00FE4646"/>
    <w:rsid w:val="00FE5636"/>
    <w:rsid w:val="00FE57BD"/>
    <w:rsid w:val="00FE63DF"/>
    <w:rsid w:val="00FE6A3A"/>
    <w:rsid w:val="00FE76E0"/>
    <w:rsid w:val="00FE79B2"/>
    <w:rsid w:val="00FF063E"/>
    <w:rsid w:val="00FF0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90859-71BA-425C-AB51-149EA9D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E2B"/>
    <w:pPr>
      <w:jc w:val="both"/>
    </w:pPr>
    <w:rPr>
      <w:sz w:val="24"/>
      <w:szCs w:val="24"/>
    </w:rPr>
  </w:style>
  <w:style w:type="paragraph" w:styleId="1">
    <w:name w:val="heading 1"/>
    <w:basedOn w:val="a"/>
    <w:next w:val="a"/>
    <w:link w:val="10"/>
    <w:qFormat/>
    <w:rsid w:val="00E07B42"/>
    <w:pPr>
      <w:keepNext/>
      <w:ind w:firstLine="709"/>
      <w:outlineLvl w:val="0"/>
    </w:pPr>
    <w:rPr>
      <w:b/>
      <w:sz w:val="28"/>
      <w:szCs w:val="20"/>
    </w:rPr>
  </w:style>
  <w:style w:type="paragraph" w:styleId="2">
    <w:name w:val="heading 2"/>
    <w:basedOn w:val="a"/>
    <w:link w:val="20"/>
    <w:qFormat/>
    <w:rsid w:val="00B83B0E"/>
    <w:pPr>
      <w:spacing w:before="100" w:beforeAutospacing="1" w:after="150"/>
      <w:outlineLvl w:val="1"/>
    </w:pPr>
    <w:rPr>
      <w:rFonts w:ascii="Arial" w:hAnsi="Arial" w:cs="Arial"/>
      <w:b/>
      <w:bCs/>
      <w:color w:val="525252"/>
      <w:sz w:val="30"/>
      <w:szCs w:val="30"/>
    </w:rPr>
  </w:style>
  <w:style w:type="paragraph" w:styleId="3">
    <w:name w:val="heading 3"/>
    <w:basedOn w:val="a"/>
    <w:next w:val="a"/>
    <w:link w:val="30"/>
    <w:qFormat/>
    <w:rsid w:val="00E07B42"/>
    <w:pPr>
      <w:keepNext/>
      <w:spacing w:before="240" w:after="60"/>
      <w:outlineLvl w:val="2"/>
    </w:pPr>
    <w:rPr>
      <w:rFonts w:ascii="Arial" w:hAnsi="Arial" w:cs="Arial"/>
      <w:b/>
      <w:bCs/>
      <w:sz w:val="26"/>
      <w:szCs w:val="26"/>
    </w:rPr>
  </w:style>
  <w:style w:type="paragraph" w:styleId="4">
    <w:name w:val="heading 4"/>
    <w:basedOn w:val="a"/>
    <w:next w:val="a"/>
    <w:link w:val="40"/>
    <w:qFormat/>
    <w:rsid w:val="00E07B42"/>
    <w:pPr>
      <w:keepNext/>
      <w:spacing w:before="240" w:after="60"/>
      <w:outlineLvl w:val="3"/>
    </w:pPr>
    <w:rPr>
      <w:b/>
      <w:bCs/>
      <w:sz w:val="28"/>
      <w:szCs w:val="28"/>
    </w:rPr>
  </w:style>
  <w:style w:type="paragraph" w:styleId="5">
    <w:name w:val="heading 5"/>
    <w:basedOn w:val="a"/>
    <w:next w:val="a"/>
    <w:link w:val="50"/>
    <w:qFormat/>
    <w:rsid w:val="00E07B42"/>
    <w:pPr>
      <w:spacing w:before="240" w:after="60"/>
      <w:outlineLvl w:val="4"/>
    </w:pPr>
    <w:rPr>
      <w:b/>
      <w:bCs/>
      <w:i/>
      <w:iCs/>
      <w:sz w:val="26"/>
      <w:szCs w:val="26"/>
    </w:rPr>
  </w:style>
  <w:style w:type="paragraph" w:styleId="6">
    <w:name w:val="heading 6"/>
    <w:basedOn w:val="a"/>
    <w:next w:val="a"/>
    <w:link w:val="60"/>
    <w:qFormat/>
    <w:rsid w:val="00E07B42"/>
    <w:pPr>
      <w:spacing w:before="240" w:after="60"/>
      <w:outlineLvl w:val="5"/>
    </w:pPr>
    <w:rPr>
      <w:b/>
      <w:bCs/>
      <w:sz w:val="22"/>
      <w:szCs w:val="22"/>
    </w:rPr>
  </w:style>
  <w:style w:type="paragraph" w:styleId="7">
    <w:name w:val="heading 7"/>
    <w:basedOn w:val="a"/>
    <w:next w:val="a"/>
    <w:link w:val="70"/>
    <w:qFormat/>
    <w:rsid w:val="00E07B42"/>
    <w:pPr>
      <w:spacing w:before="240" w:after="60"/>
      <w:outlineLvl w:val="6"/>
    </w:pPr>
  </w:style>
  <w:style w:type="paragraph" w:styleId="8">
    <w:name w:val="heading 8"/>
    <w:basedOn w:val="a"/>
    <w:next w:val="a"/>
    <w:link w:val="80"/>
    <w:qFormat/>
    <w:rsid w:val="00E07B42"/>
    <w:pPr>
      <w:spacing w:before="240" w:after="60"/>
      <w:outlineLvl w:val="7"/>
    </w:pPr>
    <w:rPr>
      <w:i/>
      <w:iCs/>
    </w:rPr>
  </w:style>
  <w:style w:type="paragraph" w:styleId="9">
    <w:name w:val="heading 9"/>
    <w:basedOn w:val="a"/>
    <w:next w:val="a"/>
    <w:link w:val="90"/>
    <w:qFormat/>
    <w:rsid w:val="00E07B4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7B42"/>
    <w:rPr>
      <w:rFonts w:ascii="Arial" w:hAnsi="Arial" w:cs="Arial"/>
      <w:b/>
      <w:bCs/>
      <w:color w:val="525252"/>
      <w:sz w:val="30"/>
      <w:szCs w:val="30"/>
    </w:rPr>
  </w:style>
  <w:style w:type="paragraph" w:styleId="a3">
    <w:name w:val="Body Text Indent"/>
    <w:aliases w:val="Знак4 Знак"/>
    <w:basedOn w:val="a"/>
    <w:link w:val="a4"/>
    <w:rsid w:val="001511C1"/>
    <w:pPr>
      <w:spacing w:after="120"/>
      <w:ind w:left="283"/>
    </w:pPr>
  </w:style>
  <w:style w:type="character" w:customStyle="1" w:styleId="a4">
    <w:name w:val="Основной текст с отступом Знак"/>
    <w:aliases w:val="Знак4 Знак Знак"/>
    <w:basedOn w:val="a0"/>
    <w:link w:val="a3"/>
    <w:locked/>
    <w:rsid w:val="00705DF5"/>
    <w:rPr>
      <w:sz w:val="24"/>
      <w:szCs w:val="24"/>
      <w:lang w:val="ru-RU" w:eastAsia="ru-RU" w:bidi="ar-SA"/>
    </w:rPr>
  </w:style>
  <w:style w:type="paragraph" w:styleId="a5">
    <w:name w:val="Plain Text"/>
    <w:basedOn w:val="a"/>
    <w:link w:val="a6"/>
    <w:rsid w:val="001511C1"/>
    <w:rPr>
      <w:rFonts w:ascii="Courier New" w:hAnsi="Courier New"/>
      <w:sz w:val="20"/>
      <w:szCs w:val="20"/>
    </w:rPr>
  </w:style>
  <w:style w:type="character" w:customStyle="1" w:styleId="a6">
    <w:name w:val="Текст Знак"/>
    <w:basedOn w:val="a0"/>
    <w:link w:val="a5"/>
    <w:locked/>
    <w:rsid w:val="00EB271F"/>
    <w:rPr>
      <w:rFonts w:ascii="Courier New" w:hAnsi="Courier New"/>
      <w:lang w:val="ru-RU" w:eastAsia="ru-RU" w:bidi="ar-SA"/>
    </w:rPr>
  </w:style>
  <w:style w:type="paragraph" w:customStyle="1" w:styleId="11">
    <w:name w:val="Обычный1"/>
    <w:rsid w:val="001511C1"/>
    <w:pPr>
      <w:snapToGrid w:val="0"/>
      <w:spacing w:before="100" w:after="100"/>
      <w:jc w:val="both"/>
    </w:pPr>
    <w:rPr>
      <w:sz w:val="24"/>
    </w:rPr>
  </w:style>
  <w:style w:type="character" w:styleId="a7">
    <w:name w:val="Emphasis"/>
    <w:basedOn w:val="a0"/>
    <w:qFormat/>
    <w:rsid w:val="001511C1"/>
    <w:rPr>
      <w:i/>
      <w:iCs/>
    </w:rPr>
  </w:style>
  <w:style w:type="paragraph" w:customStyle="1" w:styleId="a8">
    <w:name w:val="Знак Знак Знак Знак Знак Знак Знак"/>
    <w:basedOn w:val="a"/>
    <w:rsid w:val="001511C1"/>
    <w:pPr>
      <w:spacing w:before="100" w:beforeAutospacing="1" w:after="100" w:afterAutospacing="1"/>
    </w:pPr>
    <w:rPr>
      <w:rFonts w:ascii="Tahoma" w:hAnsi="Tahoma"/>
      <w:sz w:val="20"/>
      <w:szCs w:val="20"/>
      <w:lang w:val="en-US" w:eastAsia="en-US"/>
    </w:rPr>
  </w:style>
  <w:style w:type="paragraph" w:customStyle="1" w:styleId="a9">
    <w:name w:val="Знак Знак Знак Знак Знак Знак Знак"/>
    <w:basedOn w:val="a"/>
    <w:rsid w:val="008336EE"/>
    <w:pPr>
      <w:spacing w:before="100" w:beforeAutospacing="1" w:after="100" w:afterAutospacing="1"/>
    </w:pPr>
    <w:rPr>
      <w:rFonts w:ascii="Tahoma" w:hAnsi="Tahoma"/>
      <w:sz w:val="20"/>
      <w:szCs w:val="20"/>
      <w:lang w:val="en-US" w:eastAsia="en-US"/>
    </w:rPr>
  </w:style>
  <w:style w:type="table" w:styleId="aa">
    <w:name w:val="Table Grid"/>
    <w:basedOn w:val="a1"/>
    <w:uiPriority w:val="59"/>
    <w:rsid w:val="008E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D86CC2"/>
    <w:rPr>
      <w:rFonts w:ascii="Verdana" w:hAnsi="Verdana" w:cs="Verdana"/>
      <w:sz w:val="20"/>
      <w:szCs w:val="20"/>
      <w:lang w:val="en-US" w:eastAsia="en-US"/>
    </w:rPr>
  </w:style>
  <w:style w:type="paragraph" w:styleId="21">
    <w:name w:val="Body Text 2"/>
    <w:basedOn w:val="a"/>
    <w:link w:val="22"/>
    <w:rsid w:val="00D86CC2"/>
    <w:pPr>
      <w:spacing w:after="120" w:line="480" w:lineRule="auto"/>
    </w:pPr>
  </w:style>
  <w:style w:type="character" w:customStyle="1" w:styleId="22">
    <w:name w:val="Основной текст 2 Знак"/>
    <w:basedOn w:val="a0"/>
    <w:link w:val="21"/>
    <w:locked/>
    <w:rsid w:val="00761512"/>
    <w:rPr>
      <w:sz w:val="24"/>
      <w:szCs w:val="24"/>
      <w:lang w:val="ru-RU" w:eastAsia="ru-RU" w:bidi="ar-SA"/>
    </w:rPr>
  </w:style>
  <w:style w:type="paragraph" w:styleId="ab">
    <w:name w:val="Normal (Web)"/>
    <w:basedOn w:val="a"/>
    <w:uiPriority w:val="99"/>
    <w:rsid w:val="00D86CC2"/>
    <w:pPr>
      <w:spacing w:before="100" w:beforeAutospacing="1" w:after="100" w:afterAutospacing="1"/>
    </w:pPr>
    <w:rPr>
      <w:color w:val="00000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6CC2"/>
    <w:pPr>
      <w:spacing w:after="160" w:line="240" w:lineRule="exact"/>
    </w:pPr>
    <w:rPr>
      <w:sz w:val="28"/>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6CC2"/>
    <w:pPr>
      <w:spacing w:after="160" w:line="240" w:lineRule="exact"/>
    </w:pPr>
    <w:rPr>
      <w:sz w:val="28"/>
      <w:szCs w:val="20"/>
      <w:lang w:val="en-US" w:eastAsia="en-US"/>
    </w:rPr>
  </w:style>
  <w:style w:type="paragraph" w:customStyle="1" w:styleId="ae">
    <w:name w:val="Знак"/>
    <w:basedOn w:val="a"/>
    <w:autoRedefine/>
    <w:rsid w:val="00644DC8"/>
    <w:pPr>
      <w:spacing w:after="160" w:line="240" w:lineRule="exact"/>
    </w:pPr>
    <w:rPr>
      <w:sz w:val="28"/>
      <w:szCs w:val="20"/>
      <w:lang w:val="en-US" w:eastAsia="en-US"/>
    </w:rPr>
  </w:style>
  <w:style w:type="paragraph" w:styleId="af">
    <w:name w:val="Body Text"/>
    <w:basedOn w:val="a"/>
    <w:link w:val="af0"/>
    <w:rsid w:val="000D7EF0"/>
    <w:pPr>
      <w:spacing w:after="120"/>
    </w:pPr>
  </w:style>
  <w:style w:type="character" w:customStyle="1" w:styleId="af0">
    <w:name w:val="Основной текст Знак"/>
    <w:basedOn w:val="a0"/>
    <w:link w:val="af"/>
    <w:locked/>
    <w:rsid w:val="002606AB"/>
    <w:rPr>
      <w:sz w:val="24"/>
      <w:szCs w:val="24"/>
      <w:lang w:val="ru-RU" w:eastAsia="ru-RU" w:bidi="ar-SA"/>
    </w:rPr>
  </w:style>
  <w:style w:type="paragraph" w:styleId="af1">
    <w:name w:val="Balloon Text"/>
    <w:basedOn w:val="a"/>
    <w:link w:val="af2"/>
    <w:uiPriority w:val="99"/>
    <w:semiHidden/>
    <w:rsid w:val="006C23D5"/>
    <w:rPr>
      <w:rFonts w:ascii="Tahoma" w:hAnsi="Tahoma" w:cs="Tahoma"/>
      <w:sz w:val="16"/>
      <w:szCs w:val="16"/>
    </w:rPr>
  </w:style>
  <w:style w:type="character" w:customStyle="1" w:styleId="af2">
    <w:name w:val="Текст выноски Знак"/>
    <w:basedOn w:val="a0"/>
    <w:link w:val="af1"/>
    <w:uiPriority w:val="99"/>
    <w:semiHidden/>
    <w:rsid w:val="00E07B42"/>
    <w:rPr>
      <w:rFonts w:ascii="Tahoma" w:hAnsi="Tahoma" w:cs="Tahoma"/>
      <w:sz w:val="16"/>
      <w:szCs w:val="16"/>
    </w:rPr>
  </w:style>
  <w:style w:type="paragraph" w:customStyle="1" w:styleId="ConsPlusNormal">
    <w:name w:val="ConsPlusNormal"/>
    <w:rsid w:val="00705DF5"/>
    <w:pPr>
      <w:widowControl w:val="0"/>
      <w:autoSpaceDE w:val="0"/>
      <w:autoSpaceDN w:val="0"/>
      <w:adjustRightInd w:val="0"/>
      <w:ind w:firstLine="720"/>
      <w:jc w:val="both"/>
    </w:pPr>
    <w:rPr>
      <w:rFonts w:ascii="Arial" w:hAnsi="Arial" w:cs="Arial"/>
    </w:rPr>
  </w:style>
  <w:style w:type="character" w:customStyle="1" w:styleId="BodyTextIndentChar">
    <w:name w:val="Body Text Indent Char"/>
    <w:basedOn w:val="a0"/>
    <w:locked/>
    <w:rsid w:val="00EB271F"/>
    <w:rPr>
      <w:sz w:val="24"/>
      <w:szCs w:val="24"/>
      <w:lang w:val="ru-RU" w:eastAsia="ru-RU" w:bidi="ar-SA"/>
    </w:rPr>
  </w:style>
  <w:style w:type="character" w:customStyle="1" w:styleId="apple-style-span">
    <w:name w:val="apple-style-span"/>
    <w:basedOn w:val="a0"/>
    <w:rsid w:val="00EB271F"/>
    <w:rPr>
      <w:rFonts w:ascii="Times New Roman" w:hAnsi="Times New Roman" w:cs="Times New Roman" w:hint="default"/>
    </w:rPr>
  </w:style>
  <w:style w:type="character" w:customStyle="1" w:styleId="apple-converted-space">
    <w:name w:val="apple-converted-space"/>
    <w:basedOn w:val="a0"/>
    <w:rsid w:val="00E71852"/>
    <w:rPr>
      <w:rFonts w:cs="Times New Roman"/>
    </w:rPr>
  </w:style>
  <w:style w:type="character" w:styleId="af3">
    <w:name w:val="Strong"/>
    <w:basedOn w:val="a0"/>
    <w:qFormat/>
    <w:rsid w:val="00E71852"/>
    <w:rPr>
      <w:rFonts w:cs="Times New Roman"/>
      <w:b/>
      <w:bCs/>
    </w:rPr>
  </w:style>
  <w:style w:type="paragraph" w:customStyle="1" w:styleId="12">
    <w:name w:val="Без интервала1"/>
    <w:rsid w:val="00E71852"/>
    <w:pPr>
      <w:jc w:val="both"/>
    </w:pPr>
    <w:rPr>
      <w:rFonts w:ascii="Calibri" w:hAnsi="Calibri" w:cs="Calibri"/>
      <w:sz w:val="22"/>
      <w:szCs w:val="22"/>
      <w:lang w:eastAsia="en-US"/>
    </w:rPr>
  </w:style>
  <w:style w:type="paragraph" w:customStyle="1" w:styleId="ConsPlusCell">
    <w:name w:val="ConsPlusCell"/>
    <w:link w:val="ConsPlusCell0"/>
    <w:rsid w:val="00F469DB"/>
    <w:pPr>
      <w:widowControl w:val="0"/>
      <w:autoSpaceDE w:val="0"/>
      <w:autoSpaceDN w:val="0"/>
      <w:adjustRightInd w:val="0"/>
      <w:jc w:val="both"/>
    </w:pPr>
    <w:rPr>
      <w:rFonts w:ascii="Arial" w:hAnsi="Arial" w:cs="Arial"/>
    </w:rPr>
  </w:style>
  <w:style w:type="character" w:customStyle="1" w:styleId="ConsPlusCell0">
    <w:name w:val="ConsPlusCell Знак"/>
    <w:basedOn w:val="a0"/>
    <w:link w:val="ConsPlusCell"/>
    <w:rsid w:val="00452251"/>
    <w:rPr>
      <w:rFonts w:ascii="Arial" w:hAnsi="Arial" w:cs="Arial"/>
      <w:lang w:val="ru-RU" w:eastAsia="ru-RU" w:bidi="ar-SA"/>
    </w:rPr>
  </w:style>
  <w:style w:type="paragraph" w:styleId="af4">
    <w:name w:val="List Paragraph"/>
    <w:basedOn w:val="a"/>
    <w:uiPriority w:val="34"/>
    <w:qFormat/>
    <w:rsid w:val="0035463D"/>
    <w:pPr>
      <w:spacing w:after="200" w:line="276" w:lineRule="auto"/>
      <w:ind w:left="720"/>
      <w:contextualSpacing/>
    </w:pPr>
    <w:rPr>
      <w:rFonts w:ascii="Calibri" w:hAnsi="Calibri"/>
      <w:sz w:val="22"/>
      <w:szCs w:val="22"/>
    </w:rPr>
  </w:style>
  <w:style w:type="paragraph" w:styleId="HTML">
    <w:name w:val="HTML Preformatted"/>
    <w:basedOn w:val="a"/>
    <w:link w:val="HTML0"/>
    <w:rsid w:val="00A1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12117"/>
    <w:rPr>
      <w:rFonts w:ascii="Courier New" w:hAnsi="Courier New" w:cs="Courier New"/>
    </w:rPr>
  </w:style>
  <w:style w:type="paragraph" w:customStyle="1" w:styleId="af5">
    <w:name w:val="Знак Знак Знак Знак"/>
    <w:basedOn w:val="a"/>
    <w:rsid w:val="00A17DA4"/>
    <w:pPr>
      <w:spacing w:after="160" w:line="240" w:lineRule="exact"/>
    </w:pPr>
    <w:rPr>
      <w:rFonts w:ascii="Verdana" w:hAnsi="Verdana"/>
      <w:sz w:val="20"/>
      <w:szCs w:val="20"/>
      <w:lang w:val="en-US" w:eastAsia="en-US"/>
    </w:rPr>
  </w:style>
  <w:style w:type="character" w:customStyle="1" w:styleId="fontstyle11">
    <w:name w:val="fontstyle11"/>
    <w:basedOn w:val="a0"/>
    <w:rsid w:val="00A17DA4"/>
  </w:style>
  <w:style w:type="character" w:customStyle="1" w:styleId="fontstyle12">
    <w:name w:val="fontstyle12"/>
    <w:basedOn w:val="a0"/>
    <w:rsid w:val="00A17DA4"/>
  </w:style>
  <w:style w:type="paragraph" w:styleId="23">
    <w:name w:val="Body Text Indent 2"/>
    <w:basedOn w:val="a"/>
    <w:link w:val="24"/>
    <w:rsid w:val="00A17DA4"/>
    <w:pPr>
      <w:spacing w:after="120" w:line="480" w:lineRule="auto"/>
      <w:ind w:left="283"/>
    </w:pPr>
    <w:rPr>
      <w:rFonts w:ascii="Dao" w:hAnsi="Dao"/>
    </w:rPr>
  </w:style>
  <w:style w:type="character" w:customStyle="1" w:styleId="24">
    <w:name w:val="Основной текст с отступом 2 Знак"/>
    <w:basedOn w:val="a0"/>
    <w:link w:val="23"/>
    <w:rsid w:val="00012117"/>
    <w:rPr>
      <w:rFonts w:ascii="Dao" w:hAnsi="Dao"/>
      <w:sz w:val="24"/>
      <w:szCs w:val="24"/>
    </w:rPr>
  </w:style>
  <w:style w:type="character" w:customStyle="1" w:styleId="61">
    <w:name w:val="Знак Знак6"/>
    <w:basedOn w:val="a0"/>
    <w:rsid w:val="00452251"/>
    <w:rPr>
      <w:sz w:val="24"/>
      <w:szCs w:val="24"/>
      <w:lang w:val="ru-RU" w:eastAsia="ru-RU" w:bidi="ar-SA"/>
    </w:rPr>
  </w:style>
  <w:style w:type="paragraph" w:customStyle="1" w:styleId="210">
    <w:name w:val="Основной текст с отступом 21"/>
    <w:basedOn w:val="a"/>
    <w:rsid w:val="008C20F0"/>
    <w:pPr>
      <w:overflowPunct w:val="0"/>
      <w:autoSpaceDE w:val="0"/>
      <w:autoSpaceDN w:val="0"/>
      <w:adjustRightInd w:val="0"/>
      <w:ind w:firstLine="360"/>
      <w:textAlignment w:val="baseline"/>
    </w:pPr>
    <w:rPr>
      <w:sz w:val="28"/>
      <w:szCs w:val="20"/>
    </w:rPr>
  </w:style>
  <w:style w:type="paragraph" w:customStyle="1" w:styleId="p1">
    <w:name w:val="p1"/>
    <w:basedOn w:val="a"/>
    <w:uiPriority w:val="99"/>
    <w:rsid w:val="00306D6F"/>
    <w:pPr>
      <w:spacing w:before="75" w:after="75"/>
      <w:ind w:firstLine="300"/>
    </w:pPr>
    <w:rPr>
      <w:rFonts w:ascii="Arial" w:eastAsia="Arial Unicode MS" w:hAnsi="Arial" w:cs="Arial"/>
      <w:sz w:val="20"/>
      <w:szCs w:val="20"/>
    </w:rPr>
  </w:style>
  <w:style w:type="paragraph" w:customStyle="1" w:styleId="af6">
    <w:name w:val="Знак Знак Знак Знак"/>
    <w:basedOn w:val="a"/>
    <w:rsid w:val="00BA7B1C"/>
    <w:pPr>
      <w:spacing w:before="100" w:beforeAutospacing="1" w:after="100" w:afterAutospacing="1"/>
    </w:pPr>
    <w:rPr>
      <w:rFonts w:ascii="Tahoma" w:hAnsi="Tahoma"/>
      <w:sz w:val="20"/>
      <w:szCs w:val="20"/>
      <w:lang w:val="en-US" w:eastAsia="en-US"/>
    </w:rPr>
  </w:style>
  <w:style w:type="paragraph" w:styleId="af7">
    <w:name w:val="header"/>
    <w:basedOn w:val="a"/>
    <w:link w:val="af8"/>
    <w:uiPriority w:val="99"/>
    <w:rsid w:val="007D2AE3"/>
    <w:pPr>
      <w:tabs>
        <w:tab w:val="center" w:pos="4153"/>
        <w:tab w:val="right" w:pos="8306"/>
      </w:tabs>
    </w:pPr>
    <w:rPr>
      <w:szCs w:val="20"/>
    </w:rPr>
  </w:style>
  <w:style w:type="character" w:customStyle="1" w:styleId="af8">
    <w:name w:val="Верхний колонтитул Знак"/>
    <w:basedOn w:val="a0"/>
    <w:link w:val="af7"/>
    <w:uiPriority w:val="99"/>
    <w:rsid w:val="00E07B42"/>
    <w:rPr>
      <w:sz w:val="24"/>
    </w:rPr>
  </w:style>
  <w:style w:type="character" w:customStyle="1" w:styleId="10">
    <w:name w:val="Заголовок 1 Знак"/>
    <w:basedOn w:val="a0"/>
    <w:link w:val="1"/>
    <w:rsid w:val="00E07B42"/>
    <w:rPr>
      <w:b/>
      <w:sz w:val="28"/>
    </w:rPr>
  </w:style>
  <w:style w:type="character" w:customStyle="1" w:styleId="30">
    <w:name w:val="Заголовок 3 Знак"/>
    <w:basedOn w:val="a0"/>
    <w:link w:val="3"/>
    <w:semiHidden/>
    <w:rsid w:val="00E07B42"/>
    <w:rPr>
      <w:rFonts w:ascii="Arial" w:hAnsi="Arial" w:cs="Arial"/>
      <w:b/>
      <w:bCs/>
      <w:sz w:val="26"/>
      <w:szCs w:val="26"/>
    </w:rPr>
  </w:style>
  <w:style w:type="character" w:customStyle="1" w:styleId="40">
    <w:name w:val="Заголовок 4 Знак"/>
    <w:basedOn w:val="a0"/>
    <w:link w:val="4"/>
    <w:semiHidden/>
    <w:rsid w:val="00E07B42"/>
    <w:rPr>
      <w:b/>
      <w:bCs/>
      <w:sz w:val="28"/>
      <w:szCs w:val="28"/>
    </w:rPr>
  </w:style>
  <w:style w:type="character" w:customStyle="1" w:styleId="50">
    <w:name w:val="Заголовок 5 Знак"/>
    <w:basedOn w:val="a0"/>
    <w:link w:val="5"/>
    <w:semiHidden/>
    <w:rsid w:val="00E07B42"/>
    <w:rPr>
      <w:b/>
      <w:bCs/>
      <w:i/>
      <w:iCs/>
      <w:sz w:val="26"/>
      <w:szCs w:val="26"/>
    </w:rPr>
  </w:style>
  <w:style w:type="character" w:customStyle="1" w:styleId="60">
    <w:name w:val="Заголовок 6 Знак"/>
    <w:basedOn w:val="a0"/>
    <w:link w:val="6"/>
    <w:semiHidden/>
    <w:rsid w:val="00E07B42"/>
    <w:rPr>
      <w:b/>
      <w:bCs/>
      <w:sz w:val="22"/>
      <w:szCs w:val="22"/>
    </w:rPr>
  </w:style>
  <w:style w:type="character" w:customStyle="1" w:styleId="70">
    <w:name w:val="Заголовок 7 Знак"/>
    <w:basedOn w:val="a0"/>
    <w:link w:val="7"/>
    <w:semiHidden/>
    <w:rsid w:val="00E07B42"/>
    <w:rPr>
      <w:sz w:val="24"/>
      <w:szCs w:val="24"/>
    </w:rPr>
  </w:style>
  <w:style w:type="character" w:customStyle="1" w:styleId="80">
    <w:name w:val="Заголовок 8 Знак"/>
    <w:basedOn w:val="a0"/>
    <w:link w:val="8"/>
    <w:semiHidden/>
    <w:rsid w:val="00E07B42"/>
    <w:rPr>
      <w:i/>
      <w:iCs/>
      <w:sz w:val="24"/>
      <w:szCs w:val="24"/>
    </w:rPr>
  </w:style>
  <w:style w:type="character" w:customStyle="1" w:styleId="90">
    <w:name w:val="Заголовок 9 Знак"/>
    <w:basedOn w:val="a0"/>
    <w:link w:val="9"/>
    <w:semiHidden/>
    <w:rsid w:val="00E07B42"/>
    <w:rPr>
      <w:rFonts w:ascii="Arial" w:hAnsi="Arial" w:cs="Arial"/>
      <w:sz w:val="22"/>
      <w:szCs w:val="22"/>
    </w:rPr>
  </w:style>
  <w:style w:type="character" w:customStyle="1" w:styleId="af9">
    <w:name w:val="Нижний колонтитул Знак"/>
    <w:basedOn w:val="a0"/>
    <w:link w:val="afa"/>
    <w:uiPriority w:val="99"/>
    <w:rsid w:val="00E07B42"/>
  </w:style>
  <w:style w:type="paragraph" w:styleId="afa">
    <w:name w:val="footer"/>
    <w:basedOn w:val="a"/>
    <w:link w:val="af9"/>
    <w:uiPriority w:val="99"/>
    <w:unhideWhenUsed/>
    <w:rsid w:val="00E07B42"/>
    <w:pPr>
      <w:tabs>
        <w:tab w:val="center" w:pos="4677"/>
        <w:tab w:val="right" w:pos="9355"/>
      </w:tabs>
    </w:pPr>
    <w:rPr>
      <w:sz w:val="20"/>
      <w:szCs w:val="20"/>
    </w:rPr>
  </w:style>
  <w:style w:type="character" w:customStyle="1" w:styleId="afb">
    <w:name w:val="Название Знак"/>
    <w:basedOn w:val="a0"/>
    <w:link w:val="afc"/>
    <w:rsid w:val="00E07B42"/>
    <w:rPr>
      <w:b/>
      <w:bCs/>
      <w:sz w:val="24"/>
    </w:rPr>
  </w:style>
  <w:style w:type="paragraph" w:styleId="afc">
    <w:name w:val="Title"/>
    <w:basedOn w:val="a"/>
    <w:link w:val="afb"/>
    <w:qFormat/>
    <w:rsid w:val="00E07B42"/>
    <w:pPr>
      <w:jc w:val="center"/>
    </w:pPr>
    <w:rPr>
      <w:b/>
      <w:bCs/>
      <w:szCs w:val="20"/>
    </w:rPr>
  </w:style>
  <w:style w:type="character" w:customStyle="1" w:styleId="31">
    <w:name w:val="Основной текст 3 Знак"/>
    <w:basedOn w:val="a0"/>
    <w:link w:val="32"/>
    <w:rsid w:val="00E07B42"/>
    <w:rPr>
      <w:sz w:val="16"/>
      <w:szCs w:val="16"/>
    </w:rPr>
  </w:style>
  <w:style w:type="paragraph" w:styleId="32">
    <w:name w:val="Body Text 3"/>
    <w:basedOn w:val="a"/>
    <w:link w:val="31"/>
    <w:unhideWhenUsed/>
    <w:rsid w:val="00E07B42"/>
    <w:pPr>
      <w:spacing w:after="120"/>
    </w:pPr>
    <w:rPr>
      <w:sz w:val="16"/>
      <w:szCs w:val="16"/>
    </w:rPr>
  </w:style>
  <w:style w:type="character" w:customStyle="1" w:styleId="33">
    <w:name w:val="Основной текст с отступом 3 Знак"/>
    <w:aliases w:val="Знак4 Знак1"/>
    <w:basedOn w:val="a0"/>
    <w:link w:val="34"/>
    <w:locked/>
    <w:rsid w:val="00E07B42"/>
    <w:rPr>
      <w:sz w:val="16"/>
      <w:szCs w:val="16"/>
    </w:rPr>
  </w:style>
  <w:style w:type="paragraph" w:styleId="34">
    <w:name w:val="Body Text Indent 3"/>
    <w:aliases w:val="Знак4"/>
    <w:basedOn w:val="a"/>
    <w:link w:val="33"/>
    <w:unhideWhenUsed/>
    <w:rsid w:val="00E07B42"/>
    <w:pPr>
      <w:spacing w:after="120"/>
      <w:ind w:left="283"/>
    </w:pPr>
    <w:rPr>
      <w:sz w:val="16"/>
      <w:szCs w:val="16"/>
    </w:rPr>
  </w:style>
  <w:style w:type="character" w:customStyle="1" w:styleId="310">
    <w:name w:val="Основной текст с отступом 3 Знак1"/>
    <w:aliases w:val="Знак4 Знак2"/>
    <w:basedOn w:val="a0"/>
    <w:rsid w:val="00E07B42"/>
    <w:rPr>
      <w:sz w:val="16"/>
      <w:szCs w:val="16"/>
    </w:rPr>
  </w:style>
  <w:style w:type="character" w:customStyle="1" w:styleId="afd">
    <w:name w:val="Без интервала Знак"/>
    <w:basedOn w:val="a0"/>
    <w:link w:val="afe"/>
    <w:locked/>
    <w:rsid w:val="00E07B42"/>
    <w:rPr>
      <w:rFonts w:ascii="Calibri" w:hAnsi="Calibri"/>
      <w:lang w:val="en-US" w:eastAsia="en-US" w:bidi="en-US"/>
    </w:rPr>
  </w:style>
  <w:style w:type="paragraph" w:styleId="afe">
    <w:name w:val="No Spacing"/>
    <w:basedOn w:val="a"/>
    <w:link w:val="afd"/>
    <w:uiPriority w:val="1"/>
    <w:qFormat/>
    <w:rsid w:val="00E07B42"/>
    <w:rPr>
      <w:rFonts w:ascii="Calibri" w:hAnsi="Calibri"/>
      <w:sz w:val="20"/>
      <w:szCs w:val="20"/>
      <w:lang w:val="en-US" w:eastAsia="en-US" w:bidi="en-US"/>
    </w:rPr>
  </w:style>
  <w:style w:type="character" w:customStyle="1" w:styleId="ConsPlusNonformat">
    <w:name w:val="ConsPlusNonformat Знак"/>
    <w:basedOn w:val="a0"/>
    <w:link w:val="ConsPlusNonformat0"/>
    <w:locked/>
    <w:rsid w:val="00E07B42"/>
    <w:rPr>
      <w:rFonts w:ascii="Courier New" w:hAnsi="Courier New" w:cs="Courier New"/>
      <w:lang w:val="ru-RU" w:eastAsia="ru-RU" w:bidi="ar-SA"/>
    </w:rPr>
  </w:style>
  <w:style w:type="paragraph" w:customStyle="1" w:styleId="ConsPlusNonformat0">
    <w:name w:val="ConsPlusNonformat"/>
    <w:link w:val="ConsPlusNonformat"/>
    <w:rsid w:val="00E07B42"/>
    <w:pPr>
      <w:widowControl w:val="0"/>
      <w:autoSpaceDE w:val="0"/>
      <w:autoSpaceDN w:val="0"/>
      <w:adjustRightInd w:val="0"/>
      <w:jc w:val="both"/>
    </w:pPr>
    <w:rPr>
      <w:rFonts w:ascii="Courier New" w:hAnsi="Courier New" w:cs="Courier New"/>
    </w:rPr>
  </w:style>
  <w:style w:type="paragraph" w:customStyle="1" w:styleId="z1">
    <w:name w:val="z1"/>
    <w:basedOn w:val="a"/>
    <w:uiPriority w:val="99"/>
    <w:rsid w:val="00E07B42"/>
    <w:pPr>
      <w:spacing w:before="100" w:beforeAutospacing="1" w:after="100" w:afterAutospacing="1"/>
    </w:pPr>
  </w:style>
  <w:style w:type="paragraph" w:customStyle="1" w:styleId="p2">
    <w:name w:val="p2"/>
    <w:basedOn w:val="a"/>
    <w:uiPriority w:val="99"/>
    <w:rsid w:val="00E07B42"/>
    <w:pPr>
      <w:spacing w:before="100" w:beforeAutospacing="1" w:after="100" w:afterAutospacing="1"/>
    </w:pPr>
  </w:style>
  <w:style w:type="character" w:styleId="aff">
    <w:name w:val="Hyperlink"/>
    <w:basedOn w:val="a0"/>
    <w:unhideWhenUsed/>
    <w:rsid w:val="00E07B42"/>
    <w:rPr>
      <w:color w:val="0000FF"/>
      <w:u w:val="single"/>
    </w:rPr>
  </w:style>
  <w:style w:type="paragraph" w:customStyle="1" w:styleId="ConsTitle">
    <w:name w:val="ConsTitle"/>
    <w:rsid w:val="00E54764"/>
    <w:pPr>
      <w:widowControl w:val="0"/>
      <w:jc w:val="both"/>
    </w:pPr>
    <w:rPr>
      <w:rFonts w:ascii="Arial" w:hAnsi="Arial"/>
      <w:b/>
      <w:sz w:val="16"/>
    </w:rPr>
  </w:style>
  <w:style w:type="paragraph" w:customStyle="1" w:styleId="Default">
    <w:name w:val="Default"/>
    <w:rsid w:val="009372B9"/>
    <w:pPr>
      <w:autoSpaceDE w:val="0"/>
      <w:autoSpaceDN w:val="0"/>
      <w:adjustRightInd w:val="0"/>
    </w:pPr>
    <w:rPr>
      <w:color w:val="000000"/>
      <w:sz w:val="24"/>
      <w:szCs w:val="24"/>
    </w:rPr>
  </w:style>
  <w:style w:type="paragraph" w:customStyle="1" w:styleId="13">
    <w:name w:val="стиль1"/>
    <w:basedOn w:val="a"/>
    <w:rsid w:val="00EC3BA2"/>
    <w:pPr>
      <w:spacing w:before="100" w:beforeAutospacing="1" w:after="100" w:afterAutospacing="1"/>
      <w:jc w:val="left"/>
    </w:pPr>
  </w:style>
  <w:style w:type="character" w:styleId="aff0">
    <w:name w:val="page number"/>
    <w:basedOn w:val="a0"/>
    <w:rsid w:val="00584F65"/>
  </w:style>
  <w:style w:type="table" w:customStyle="1" w:styleId="110">
    <w:name w:val="Сетка таблицы11"/>
    <w:basedOn w:val="a1"/>
    <w:next w:val="aa"/>
    <w:uiPriority w:val="59"/>
    <w:rsid w:val="009F2E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856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und">
    <w:name w:val="found"/>
    <w:basedOn w:val="a0"/>
    <w:rsid w:val="007F2E3C"/>
  </w:style>
  <w:style w:type="table" w:customStyle="1" w:styleId="14">
    <w:name w:val="Сетка таблицы1"/>
    <w:basedOn w:val="a1"/>
    <w:next w:val="aa"/>
    <w:uiPriority w:val="59"/>
    <w:rsid w:val="00715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80">
      <w:bodyDiv w:val="1"/>
      <w:marLeft w:val="0"/>
      <w:marRight w:val="0"/>
      <w:marTop w:val="0"/>
      <w:marBottom w:val="0"/>
      <w:divBdr>
        <w:top w:val="none" w:sz="0" w:space="0" w:color="auto"/>
        <w:left w:val="none" w:sz="0" w:space="0" w:color="auto"/>
        <w:bottom w:val="none" w:sz="0" w:space="0" w:color="auto"/>
        <w:right w:val="none" w:sz="0" w:space="0" w:color="auto"/>
      </w:divBdr>
    </w:div>
    <w:div w:id="62796915">
      <w:bodyDiv w:val="1"/>
      <w:marLeft w:val="0"/>
      <w:marRight w:val="0"/>
      <w:marTop w:val="0"/>
      <w:marBottom w:val="0"/>
      <w:divBdr>
        <w:top w:val="none" w:sz="0" w:space="0" w:color="auto"/>
        <w:left w:val="none" w:sz="0" w:space="0" w:color="auto"/>
        <w:bottom w:val="none" w:sz="0" w:space="0" w:color="auto"/>
        <w:right w:val="none" w:sz="0" w:space="0" w:color="auto"/>
      </w:divBdr>
    </w:div>
    <w:div w:id="67269229">
      <w:bodyDiv w:val="1"/>
      <w:marLeft w:val="0"/>
      <w:marRight w:val="0"/>
      <w:marTop w:val="0"/>
      <w:marBottom w:val="0"/>
      <w:divBdr>
        <w:top w:val="none" w:sz="0" w:space="0" w:color="auto"/>
        <w:left w:val="none" w:sz="0" w:space="0" w:color="auto"/>
        <w:bottom w:val="none" w:sz="0" w:space="0" w:color="auto"/>
        <w:right w:val="none" w:sz="0" w:space="0" w:color="auto"/>
      </w:divBdr>
    </w:div>
    <w:div w:id="137038037">
      <w:bodyDiv w:val="1"/>
      <w:marLeft w:val="0"/>
      <w:marRight w:val="0"/>
      <w:marTop w:val="0"/>
      <w:marBottom w:val="0"/>
      <w:divBdr>
        <w:top w:val="none" w:sz="0" w:space="0" w:color="auto"/>
        <w:left w:val="none" w:sz="0" w:space="0" w:color="auto"/>
        <w:bottom w:val="none" w:sz="0" w:space="0" w:color="auto"/>
        <w:right w:val="none" w:sz="0" w:space="0" w:color="auto"/>
      </w:divBdr>
    </w:div>
    <w:div w:id="188566138">
      <w:bodyDiv w:val="1"/>
      <w:marLeft w:val="0"/>
      <w:marRight w:val="0"/>
      <w:marTop w:val="0"/>
      <w:marBottom w:val="0"/>
      <w:divBdr>
        <w:top w:val="none" w:sz="0" w:space="0" w:color="auto"/>
        <w:left w:val="none" w:sz="0" w:space="0" w:color="auto"/>
        <w:bottom w:val="none" w:sz="0" w:space="0" w:color="auto"/>
        <w:right w:val="none" w:sz="0" w:space="0" w:color="auto"/>
      </w:divBdr>
      <w:divsChild>
        <w:div w:id="822508139">
          <w:marLeft w:val="0"/>
          <w:marRight w:val="0"/>
          <w:marTop w:val="0"/>
          <w:marBottom w:val="0"/>
          <w:divBdr>
            <w:top w:val="none" w:sz="0" w:space="0" w:color="auto"/>
            <w:left w:val="none" w:sz="0" w:space="0" w:color="auto"/>
            <w:bottom w:val="none" w:sz="0" w:space="0" w:color="auto"/>
            <w:right w:val="none" w:sz="0" w:space="0" w:color="auto"/>
          </w:divBdr>
          <w:divsChild>
            <w:div w:id="1250499781">
              <w:marLeft w:val="0"/>
              <w:marRight w:val="0"/>
              <w:marTop w:val="0"/>
              <w:marBottom w:val="0"/>
              <w:divBdr>
                <w:top w:val="none" w:sz="0" w:space="0" w:color="auto"/>
                <w:left w:val="none" w:sz="0" w:space="0" w:color="auto"/>
                <w:bottom w:val="none" w:sz="0" w:space="0" w:color="auto"/>
                <w:right w:val="none" w:sz="0" w:space="0" w:color="auto"/>
              </w:divBdr>
              <w:divsChild>
                <w:div w:id="1959021325">
                  <w:marLeft w:val="0"/>
                  <w:marRight w:val="0"/>
                  <w:marTop w:val="0"/>
                  <w:marBottom w:val="0"/>
                  <w:divBdr>
                    <w:top w:val="none" w:sz="0" w:space="0" w:color="auto"/>
                    <w:left w:val="none" w:sz="0" w:space="0" w:color="auto"/>
                    <w:bottom w:val="none" w:sz="0" w:space="0" w:color="auto"/>
                    <w:right w:val="none" w:sz="0" w:space="0" w:color="auto"/>
                  </w:divBdr>
                  <w:divsChild>
                    <w:div w:id="187571462">
                      <w:marLeft w:val="0"/>
                      <w:marRight w:val="0"/>
                      <w:marTop w:val="0"/>
                      <w:marBottom w:val="0"/>
                      <w:divBdr>
                        <w:top w:val="none" w:sz="0" w:space="0" w:color="auto"/>
                        <w:left w:val="none" w:sz="0" w:space="0" w:color="auto"/>
                        <w:bottom w:val="single" w:sz="6" w:space="0" w:color="CCCCCC"/>
                        <w:right w:val="none" w:sz="0" w:space="0" w:color="auto"/>
                      </w:divBdr>
                      <w:divsChild>
                        <w:div w:id="2001544255">
                          <w:marLeft w:val="0"/>
                          <w:marRight w:val="2160"/>
                          <w:marTop w:val="0"/>
                          <w:marBottom w:val="0"/>
                          <w:divBdr>
                            <w:top w:val="none" w:sz="0" w:space="0" w:color="auto"/>
                            <w:left w:val="none" w:sz="0" w:space="0" w:color="auto"/>
                            <w:bottom w:val="none" w:sz="0" w:space="0" w:color="auto"/>
                            <w:right w:val="none" w:sz="0" w:space="0" w:color="auto"/>
                          </w:divBdr>
                          <w:divsChild>
                            <w:div w:id="340426203">
                              <w:marLeft w:val="0"/>
                              <w:marRight w:val="0"/>
                              <w:marTop w:val="0"/>
                              <w:marBottom w:val="0"/>
                              <w:divBdr>
                                <w:top w:val="none" w:sz="0" w:space="0" w:color="auto"/>
                                <w:left w:val="none" w:sz="0" w:space="0" w:color="auto"/>
                                <w:bottom w:val="none" w:sz="0" w:space="0" w:color="auto"/>
                                <w:right w:val="none" w:sz="0" w:space="0" w:color="auto"/>
                              </w:divBdr>
                              <w:divsChild>
                                <w:div w:id="79522961">
                                  <w:marLeft w:val="0"/>
                                  <w:marRight w:val="0"/>
                                  <w:marTop w:val="0"/>
                                  <w:marBottom w:val="0"/>
                                  <w:divBdr>
                                    <w:top w:val="none" w:sz="0" w:space="0" w:color="auto"/>
                                    <w:left w:val="none" w:sz="0" w:space="0" w:color="auto"/>
                                    <w:bottom w:val="none" w:sz="0" w:space="0" w:color="auto"/>
                                    <w:right w:val="none" w:sz="0" w:space="0" w:color="auto"/>
                                  </w:divBdr>
                                  <w:divsChild>
                                    <w:div w:id="941761021">
                                      <w:marLeft w:val="100"/>
                                      <w:marRight w:val="0"/>
                                      <w:marTop w:val="0"/>
                                      <w:marBottom w:val="0"/>
                                      <w:divBdr>
                                        <w:top w:val="none" w:sz="0" w:space="0" w:color="auto"/>
                                        <w:left w:val="none" w:sz="0" w:space="0" w:color="auto"/>
                                        <w:bottom w:val="none" w:sz="0" w:space="0" w:color="auto"/>
                                        <w:right w:val="none" w:sz="0" w:space="0" w:color="auto"/>
                                      </w:divBdr>
                                      <w:divsChild>
                                        <w:div w:id="1124932258">
                                          <w:marLeft w:val="0"/>
                                          <w:marRight w:val="-10080"/>
                                          <w:marTop w:val="0"/>
                                          <w:marBottom w:val="0"/>
                                          <w:divBdr>
                                            <w:top w:val="none" w:sz="0" w:space="0" w:color="auto"/>
                                            <w:left w:val="none" w:sz="0" w:space="0" w:color="auto"/>
                                            <w:bottom w:val="none" w:sz="0" w:space="0" w:color="auto"/>
                                            <w:right w:val="none" w:sz="0" w:space="0" w:color="auto"/>
                                          </w:divBdr>
                                          <w:divsChild>
                                            <w:div w:id="12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4954">
      <w:bodyDiv w:val="1"/>
      <w:marLeft w:val="0"/>
      <w:marRight w:val="0"/>
      <w:marTop w:val="0"/>
      <w:marBottom w:val="0"/>
      <w:divBdr>
        <w:top w:val="none" w:sz="0" w:space="0" w:color="auto"/>
        <w:left w:val="none" w:sz="0" w:space="0" w:color="auto"/>
        <w:bottom w:val="none" w:sz="0" w:space="0" w:color="auto"/>
        <w:right w:val="none" w:sz="0" w:space="0" w:color="auto"/>
      </w:divBdr>
    </w:div>
    <w:div w:id="195657515">
      <w:bodyDiv w:val="1"/>
      <w:marLeft w:val="0"/>
      <w:marRight w:val="0"/>
      <w:marTop w:val="0"/>
      <w:marBottom w:val="0"/>
      <w:divBdr>
        <w:top w:val="none" w:sz="0" w:space="0" w:color="auto"/>
        <w:left w:val="none" w:sz="0" w:space="0" w:color="auto"/>
        <w:bottom w:val="none" w:sz="0" w:space="0" w:color="auto"/>
        <w:right w:val="none" w:sz="0" w:space="0" w:color="auto"/>
      </w:divBdr>
    </w:div>
    <w:div w:id="268122877">
      <w:bodyDiv w:val="1"/>
      <w:marLeft w:val="0"/>
      <w:marRight w:val="0"/>
      <w:marTop w:val="0"/>
      <w:marBottom w:val="0"/>
      <w:divBdr>
        <w:top w:val="none" w:sz="0" w:space="0" w:color="auto"/>
        <w:left w:val="none" w:sz="0" w:space="0" w:color="auto"/>
        <w:bottom w:val="none" w:sz="0" w:space="0" w:color="auto"/>
        <w:right w:val="none" w:sz="0" w:space="0" w:color="auto"/>
      </w:divBdr>
    </w:div>
    <w:div w:id="432289654">
      <w:bodyDiv w:val="1"/>
      <w:marLeft w:val="0"/>
      <w:marRight w:val="0"/>
      <w:marTop w:val="0"/>
      <w:marBottom w:val="0"/>
      <w:divBdr>
        <w:top w:val="none" w:sz="0" w:space="0" w:color="auto"/>
        <w:left w:val="none" w:sz="0" w:space="0" w:color="auto"/>
        <w:bottom w:val="none" w:sz="0" w:space="0" w:color="auto"/>
        <w:right w:val="none" w:sz="0" w:space="0" w:color="auto"/>
      </w:divBdr>
    </w:div>
    <w:div w:id="492336855">
      <w:bodyDiv w:val="1"/>
      <w:marLeft w:val="0"/>
      <w:marRight w:val="0"/>
      <w:marTop w:val="0"/>
      <w:marBottom w:val="0"/>
      <w:divBdr>
        <w:top w:val="none" w:sz="0" w:space="0" w:color="auto"/>
        <w:left w:val="none" w:sz="0" w:space="0" w:color="auto"/>
        <w:bottom w:val="none" w:sz="0" w:space="0" w:color="auto"/>
        <w:right w:val="none" w:sz="0" w:space="0" w:color="auto"/>
      </w:divBdr>
    </w:div>
    <w:div w:id="620840747">
      <w:bodyDiv w:val="1"/>
      <w:marLeft w:val="0"/>
      <w:marRight w:val="0"/>
      <w:marTop w:val="0"/>
      <w:marBottom w:val="0"/>
      <w:divBdr>
        <w:top w:val="none" w:sz="0" w:space="0" w:color="auto"/>
        <w:left w:val="none" w:sz="0" w:space="0" w:color="auto"/>
        <w:bottom w:val="none" w:sz="0" w:space="0" w:color="auto"/>
        <w:right w:val="none" w:sz="0" w:space="0" w:color="auto"/>
      </w:divBdr>
    </w:div>
    <w:div w:id="640425328">
      <w:bodyDiv w:val="1"/>
      <w:marLeft w:val="0"/>
      <w:marRight w:val="0"/>
      <w:marTop w:val="0"/>
      <w:marBottom w:val="0"/>
      <w:divBdr>
        <w:top w:val="none" w:sz="0" w:space="0" w:color="auto"/>
        <w:left w:val="none" w:sz="0" w:space="0" w:color="auto"/>
        <w:bottom w:val="none" w:sz="0" w:space="0" w:color="auto"/>
        <w:right w:val="none" w:sz="0" w:space="0" w:color="auto"/>
      </w:divBdr>
    </w:div>
    <w:div w:id="657684848">
      <w:bodyDiv w:val="1"/>
      <w:marLeft w:val="0"/>
      <w:marRight w:val="0"/>
      <w:marTop w:val="0"/>
      <w:marBottom w:val="0"/>
      <w:divBdr>
        <w:top w:val="none" w:sz="0" w:space="0" w:color="auto"/>
        <w:left w:val="none" w:sz="0" w:space="0" w:color="auto"/>
        <w:bottom w:val="none" w:sz="0" w:space="0" w:color="auto"/>
        <w:right w:val="none" w:sz="0" w:space="0" w:color="auto"/>
      </w:divBdr>
    </w:div>
    <w:div w:id="705914683">
      <w:bodyDiv w:val="1"/>
      <w:marLeft w:val="0"/>
      <w:marRight w:val="0"/>
      <w:marTop w:val="0"/>
      <w:marBottom w:val="0"/>
      <w:divBdr>
        <w:top w:val="none" w:sz="0" w:space="0" w:color="auto"/>
        <w:left w:val="none" w:sz="0" w:space="0" w:color="auto"/>
        <w:bottom w:val="none" w:sz="0" w:space="0" w:color="auto"/>
        <w:right w:val="none" w:sz="0" w:space="0" w:color="auto"/>
      </w:divBdr>
    </w:div>
    <w:div w:id="726802675">
      <w:bodyDiv w:val="1"/>
      <w:marLeft w:val="0"/>
      <w:marRight w:val="0"/>
      <w:marTop w:val="0"/>
      <w:marBottom w:val="0"/>
      <w:divBdr>
        <w:top w:val="none" w:sz="0" w:space="0" w:color="auto"/>
        <w:left w:val="none" w:sz="0" w:space="0" w:color="auto"/>
        <w:bottom w:val="none" w:sz="0" w:space="0" w:color="auto"/>
        <w:right w:val="none" w:sz="0" w:space="0" w:color="auto"/>
      </w:divBdr>
    </w:div>
    <w:div w:id="752166514">
      <w:bodyDiv w:val="1"/>
      <w:marLeft w:val="0"/>
      <w:marRight w:val="0"/>
      <w:marTop w:val="0"/>
      <w:marBottom w:val="0"/>
      <w:divBdr>
        <w:top w:val="none" w:sz="0" w:space="0" w:color="auto"/>
        <w:left w:val="none" w:sz="0" w:space="0" w:color="auto"/>
        <w:bottom w:val="none" w:sz="0" w:space="0" w:color="auto"/>
        <w:right w:val="none" w:sz="0" w:space="0" w:color="auto"/>
      </w:divBdr>
    </w:div>
    <w:div w:id="819806991">
      <w:bodyDiv w:val="1"/>
      <w:marLeft w:val="0"/>
      <w:marRight w:val="0"/>
      <w:marTop w:val="0"/>
      <w:marBottom w:val="0"/>
      <w:divBdr>
        <w:top w:val="none" w:sz="0" w:space="0" w:color="auto"/>
        <w:left w:val="none" w:sz="0" w:space="0" w:color="auto"/>
        <w:bottom w:val="none" w:sz="0" w:space="0" w:color="auto"/>
        <w:right w:val="none" w:sz="0" w:space="0" w:color="auto"/>
      </w:divBdr>
    </w:div>
    <w:div w:id="824395498">
      <w:bodyDiv w:val="1"/>
      <w:marLeft w:val="0"/>
      <w:marRight w:val="0"/>
      <w:marTop w:val="0"/>
      <w:marBottom w:val="0"/>
      <w:divBdr>
        <w:top w:val="none" w:sz="0" w:space="0" w:color="auto"/>
        <w:left w:val="none" w:sz="0" w:space="0" w:color="auto"/>
        <w:bottom w:val="none" w:sz="0" w:space="0" w:color="auto"/>
        <w:right w:val="none" w:sz="0" w:space="0" w:color="auto"/>
      </w:divBdr>
    </w:div>
    <w:div w:id="869532637">
      <w:bodyDiv w:val="1"/>
      <w:marLeft w:val="0"/>
      <w:marRight w:val="0"/>
      <w:marTop w:val="0"/>
      <w:marBottom w:val="0"/>
      <w:divBdr>
        <w:top w:val="none" w:sz="0" w:space="0" w:color="auto"/>
        <w:left w:val="none" w:sz="0" w:space="0" w:color="auto"/>
        <w:bottom w:val="none" w:sz="0" w:space="0" w:color="auto"/>
        <w:right w:val="none" w:sz="0" w:space="0" w:color="auto"/>
      </w:divBdr>
    </w:div>
    <w:div w:id="897399445">
      <w:bodyDiv w:val="1"/>
      <w:marLeft w:val="0"/>
      <w:marRight w:val="0"/>
      <w:marTop w:val="0"/>
      <w:marBottom w:val="0"/>
      <w:divBdr>
        <w:top w:val="none" w:sz="0" w:space="0" w:color="auto"/>
        <w:left w:val="none" w:sz="0" w:space="0" w:color="auto"/>
        <w:bottom w:val="none" w:sz="0" w:space="0" w:color="auto"/>
        <w:right w:val="none" w:sz="0" w:space="0" w:color="auto"/>
      </w:divBdr>
    </w:div>
    <w:div w:id="951933977">
      <w:bodyDiv w:val="1"/>
      <w:marLeft w:val="0"/>
      <w:marRight w:val="0"/>
      <w:marTop w:val="0"/>
      <w:marBottom w:val="0"/>
      <w:divBdr>
        <w:top w:val="none" w:sz="0" w:space="0" w:color="auto"/>
        <w:left w:val="none" w:sz="0" w:space="0" w:color="auto"/>
        <w:bottom w:val="none" w:sz="0" w:space="0" w:color="auto"/>
        <w:right w:val="none" w:sz="0" w:space="0" w:color="auto"/>
      </w:divBdr>
    </w:div>
    <w:div w:id="962462377">
      <w:bodyDiv w:val="1"/>
      <w:marLeft w:val="0"/>
      <w:marRight w:val="0"/>
      <w:marTop w:val="0"/>
      <w:marBottom w:val="0"/>
      <w:divBdr>
        <w:top w:val="none" w:sz="0" w:space="0" w:color="auto"/>
        <w:left w:val="none" w:sz="0" w:space="0" w:color="auto"/>
        <w:bottom w:val="none" w:sz="0" w:space="0" w:color="auto"/>
        <w:right w:val="none" w:sz="0" w:space="0" w:color="auto"/>
      </w:divBdr>
    </w:div>
    <w:div w:id="983586966">
      <w:bodyDiv w:val="1"/>
      <w:marLeft w:val="0"/>
      <w:marRight w:val="0"/>
      <w:marTop w:val="0"/>
      <w:marBottom w:val="0"/>
      <w:divBdr>
        <w:top w:val="none" w:sz="0" w:space="0" w:color="auto"/>
        <w:left w:val="none" w:sz="0" w:space="0" w:color="auto"/>
        <w:bottom w:val="none" w:sz="0" w:space="0" w:color="auto"/>
        <w:right w:val="none" w:sz="0" w:space="0" w:color="auto"/>
      </w:divBdr>
    </w:div>
    <w:div w:id="1040937983">
      <w:bodyDiv w:val="1"/>
      <w:marLeft w:val="0"/>
      <w:marRight w:val="0"/>
      <w:marTop w:val="0"/>
      <w:marBottom w:val="0"/>
      <w:divBdr>
        <w:top w:val="none" w:sz="0" w:space="0" w:color="auto"/>
        <w:left w:val="none" w:sz="0" w:space="0" w:color="auto"/>
        <w:bottom w:val="none" w:sz="0" w:space="0" w:color="auto"/>
        <w:right w:val="none" w:sz="0" w:space="0" w:color="auto"/>
      </w:divBdr>
    </w:div>
    <w:div w:id="1054426318">
      <w:bodyDiv w:val="1"/>
      <w:marLeft w:val="0"/>
      <w:marRight w:val="0"/>
      <w:marTop w:val="0"/>
      <w:marBottom w:val="0"/>
      <w:divBdr>
        <w:top w:val="none" w:sz="0" w:space="0" w:color="auto"/>
        <w:left w:val="none" w:sz="0" w:space="0" w:color="auto"/>
        <w:bottom w:val="none" w:sz="0" w:space="0" w:color="auto"/>
        <w:right w:val="none" w:sz="0" w:space="0" w:color="auto"/>
      </w:divBdr>
    </w:div>
    <w:div w:id="1065027916">
      <w:bodyDiv w:val="1"/>
      <w:marLeft w:val="0"/>
      <w:marRight w:val="0"/>
      <w:marTop w:val="0"/>
      <w:marBottom w:val="0"/>
      <w:divBdr>
        <w:top w:val="none" w:sz="0" w:space="0" w:color="auto"/>
        <w:left w:val="none" w:sz="0" w:space="0" w:color="auto"/>
        <w:bottom w:val="none" w:sz="0" w:space="0" w:color="auto"/>
        <w:right w:val="none" w:sz="0" w:space="0" w:color="auto"/>
      </w:divBdr>
    </w:div>
    <w:div w:id="1071270536">
      <w:bodyDiv w:val="1"/>
      <w:marLeft w:val="0"/>
      <w:marRight w:val="0"/>
      <w:marTop w:val="0"/>
      <w:marBottom w:val="0"/>
      <w:divBdr>
        <w:top w:val="none" w:sz="0" w:space="0" w:color="auto"/>
        <w:left w:val="none" w:sz="0" w:space="0" w:color="auto"/>
        <w:bottom w:val="none" w:sz="0" w:space="0" w:color="auto"/>
        <w:right w:val="none" w:sz="0" w:space="0" w:color="auto"/>
      </w:divBdr>
    </w:div>
    <w:div w:id="1109742076">
      <w:bodyDiv w:val="1"/>
      <w:marLeft w:val="0"/>
      <w:marRight w:val="0"/>
      <w:marTop w:val="0"/>
      <w:marBottom w:val="0"/>
      <w:divBdr>
        <w:top w:val="none" w:sz="0" w:space="0" w:color="auto"/>
        <w:left w:val="none" w:sz="0" w:space="0" w:color="auto"/>
        <w:bottom w:val="none" w:sz="0" w:space="0" w:color="auto"/>
        <w:right w:val="none" w:sz="0" w:space="0" w:color="auto"/>
      </w:divBdr>
    </w:div>
    <w:div w:id="1133985450">
      <w:bodyDiv w:val="1"/>
      <w:marLeft w:val="0"/>
      <w:marRight w:val="0"/>
      <w:marTop w:val="0"/>
      <w:marBottom w:val="0"/>
      <w:divBdr>
        <w:top w:val="none" w:sz="0" w:space="0" w:color="auto"/>
        <w:left w:val="none" w:sz="0" w:space="0" w:color="auto"/>
        <w:bottom w:val="none" w:sz="0" w:space="0" w:color="auto"/>
        <w:right w:val="none" w:sz="0" w:space="0" w:color="auto"/>
      </w:divBdr>
    </w:div>
    <w:div w:id="1195729268">
      <w:bodyDiv w:val="1"/>
      <w:marLeft w:val="0"/>
      <w:marRight w:val="0"/>
      <w:marTop w:val="0"/>
      <w:marBottom w:val="0"/>
      <w:divBdr>
        <w:top w:val="none" w:sz="0" w:space="0" w:color="auto"/>
        <w:left w:val="none" w:sz="0" w:space="0" w:color="auto"/>
        <w:bottom w:val="none" w:sz="0" w:space="0" w:color="auto"/>
        <w:right w:val="none" w:sz="0" w:space="0" w:color="auto"/>
      </w:divBdr>
    </w:div>
    <w:div w:id="1213542755">
      <w:bodyDiv w:val="1"/>
      <w:marLeft w:val="0"/>
      <w:marRight w:val="0"/>
      <w:marTop w:val="0"/>
      <w:marBottom w:val="0"/>
      <w:divBdr>
        <w:top w:val="none" w:sz="0" w:space="0" w:color="auto"/>
        <w:left w:val="none" w:sz="0" w:space="0" w:color="auto"/>
        <w:bottom w:val="none" w:sz="0" w:space="0" w:color="auto"/>
        <w:right w:val="none" w:sz="0" w:space="0" w:color="auto"/>
      </w:divBdr>
    </w:div>
    <w:div w:id="1224029210">
      <w:bodyDiv w:val="1"/>
      <w:marLeft w:val="0"/>
      <w:marRight w:val="0"/>
      <w:marTop w:val="0"/>
      <w:marBottom w:val="0"/>
      <w:divBdr>
        <w:top w:val="none" w:sz="0" w:space="0" w:color="auto"/>
        <w:left w:val="none" w:sz="0" w:space="0" w:color="auto"/>
        <w:bottom w:val="none" w:sz="0" w:space="0" w:color="auto"/>
        <w:right w:val="none" w:sz="0" w:space="0" w:color="auto"/>
      </w:divBdr>
    </w:div>
    <w:div w:id="1255017735">
      <w:bodyDiv w:val="1"/>
      <w:marLeft w:val="0"/>
      <w:marRight w:val="0"/>
      <w:marTop w:val="0"/>
      <w:marBottom w:val="0"/>
      <w:divBdr>
        <w:top w:val="none" w:sz="0" w:space="0" w:color="auto"/>
        <w:left w:val="none" w:sz="0" w:space="0" w:color="auto"/>
        <w:bottom w:val="none" w:sz="0" w:space="0" w:color="auto"/>
        <w:right w:val="none" w:sz="0" w:space="0" w:color="auto"/>
      </w:divBdr>
    </w:div>
    <w:div w:id="1281259644">
      <w:bodyDiv w:val="1"/>
      <w:marLeft w:val="0"/>
      <w:marRight w:val="0"/>
      <w:marTop w:val="0"/>
      <w:marBottom w:val="0"/>
      <w:divBdr>
        <w:top w:val="none" w:sz="0" w:space="0" w:color="auto"/>
        <w:left w:val="none" w:sz="0" w:space="0" w:color="auto"/>
        <w:bottom w:val="none" w:sz="0" w:space="0" w:color="auto"/>
        <w:right w:val="none" w:sz="0" w:space="0" w:color="auto"/>
      </w:divBdr>
    </w:div>
    <w:div w:id="1294821972">
      <w:bodyDiv w:val="1"/>
      <w:marLeft w:val="0"/>
      <w:marRight w:val="0"/>
      <w:marTop w:val="0"/>
      <w:marBottom w:val="0"/>
      <w:divBdr>
        <w:top w:val="none" w:sz="0" w:space="0" w:color="auto"/>
        <w:left w:val="none" w:sz="0" w:space="0" w:color="auto"/>
        <w:bottom w:val="none" w:sz="0" w:space="0" w:color="auto"/>
        <w:right w:val="none" w:sz="0" w:space="0" w:color="auto"/>
      </w:divBdr>
    </w:div>
    <w:div w:id="1320033695">
      <w:bodyDiv w:val="1"/>
      <w:marLeft w:val="0"/>
      <w:marRight w:val="0"/>
      <w:marTop w:val="0"/>
      <w:marBottom w:val="0"/>
      <w:divBdr>
        <w:top w:val="none" w:sz="0" w:space="0" w:color="auto"/>
        <w:left w:val="none" w:sz="0" w:space="0" w:color="auto"/>
        <w:bottom w:val="none" w:sz="0" w:space="0" w:color="auto"/>
        <w:right w:val="none" w:sz="0" w:space="0" w:color="auto"/>
      </w:divBdr>
    </w:div>
    <w:div w:id="1329752932">
      <w:bodyDiv w:val="1"/>
      <w:marLeft w:val="0"/>
      <w:marRight w:val="0"/>
      <w:marTop w:val="0"/>
      <w:marBottom w:val="0"/>
      <w:divBdr>
        <w:top w:val="none" w:sz="0" w:space="0" w:color="auto"/>
        <w:left w:val="none" w:sz="0" w:space="0" w:color="auto"/>
        <w:bottom w:val="none" w:sz="0" w:space="0" w:color="auto"/>
        <w:right w:val="none" w:sz="0" w:space="0" w:color="auto"/>
      </w:divBdr>
    </w:div>
    <w:div w:id="1399285279">
      <w:bodyDiv w:val="1"/>
      <w:marLeft w:val="0"/>
      <w:marRight w:val="0"/>
      <w:marTop w:val="0"/>
      <w:marBottom w:val="0"/>
      <w:divBdr>
        <w:top w:val="none" w:sz="0" w:space="0" w:color="auto"/>
        <w:left w:val="none" w:sz="0" w:space="0" w:color="auto"/>
        <w:bottom w:val="none" w:sz="0" w:space="0" w:color="auto"/>
        <w:right w:val="none" w:sz="0" w:space="0" w:color="auto"/>
      </w:divBdr>
    </w:div>
    <w:div w:id="1451322813">
      <w:bodyDiv w:val="1"/>
      <w:marLeft w:val="0"/>
      <w:marRight w:val="0"/>
      <w:marTop w:val="0"/>
      <w:marBottom w:val="0"/>
      <w:divBdr>
        <w:top w:val="none" w:sz="0" w:space="0" w:color="auto"/>
        <w:left w:val="none" w:sz="0" w:space="0" w:color="auto"/>
        <w:bottom w:val="none" w:sz="0" w:space="0" w:color="auto"/>
        <w:right w:val="none" w:sz="0" w:space="0" w:color="auto"/>
      </w:divBdr>
    </w:div>
    <w:div w:id="1471901901">
      <w:bodyDiv w:val="1"/>
      <w:marLeft w:val="0"/>
      <w:marRight w:val="0"/>
      <w:marTop w:val="0"/>
      <w:marBottom w:val="0"/>
      <w:divBdr>
        <w:top w:val="none" w:sz="0" w:space="0" w:color="auto"/>
        <w:left w:val="none" w:sz="0" w:space="0" w:color="auto"/>
        <w:bottom w:val="none" w:sz="0" w:space="0" w:color="auto"/>
        <w:right w:val="none" w:sz="0" w:space="0" w:color="auto"/>
      </w:divBdr>
    </w:div>
    <w:div w:id="1499685481">
      <w:bodyDiv w:val="1"/>
      <w:marLeft w:val="0"/>
      <w:marRight w:val="0"/>
      <w:marTop w:val="0"/>
      <w:marBottom w:val="0"/>
      <w:divBdr>
        <w:top w:val="none" w:sz="0" w:space="0" w:color="auto"/>
        <w:left w:val="none" w:sz="0" w:space="0" w:color="auto"/>
        <w:bottom w:val="none" w:sz="0" w:space="0" w:color="auto"/>
        <w:right w:val="none" w:sz="0" w:space="0" w:color="auto"/>
      </w:divBdr>
    </w:div>
    <w:div w:id="1501044110">
      <w:bodyDiv w:val="1"/>
      <w:marLeft w:val="0"/>
      <w:marRight w:val="0"/>
      <w:marTop w:val="0"/>
      <w:marBottom w:val="0"/>
      <w:divBdr>
        <w:top w:val="none" w:sz="0" w:space="0" w:color="auto"/>
        <w:left w:val="none" w:sz="0" w:space="0" w:color="auto"/>
        <w:bottom w:val="none" w:sz="0" w:space="0" w:color="auto"/>
        <w:right w:val="none" w:sz="0" w:space="0" w:color="auto"/>
      </w:divBdr>
    </w:div>
    <w:div w:id="1523980942">
      <w:bodyDiv w:val="1"/>
      <w:marLeft w:val="0"/>
      <w:marRight w:val="0"/>
      <w:marTop w:val="0"/>
      <w:marBottom w:val="0"/>
      <w:divBdr>
        <w:top w:val="none" w:sz="0" w:space="0" w:color="auto"/>
        <w:left w:val="none" w:sz="0" w:space="0" w:color="auto"/>
        <w:bottom w:val="none" w:sz="0" w:space="0" w:color="auto"/>
        <w:right w:val="none" w:sz="0" w:space="0" w:color="auto"/>
      </w:divBdr>
    </w:div>
    <w:div w:id="1575699420">
      <w:bodyDiv w:val="1"/>
      <w:marLeft w:val="0"/>
      <w:marRight w:val="0"/>
      <w:marTop w:val="0"/>
      <w:marBottom w:val="0"/>
      <w:divBdr>
        <w:top w:val="none" w:sz="0" w:space="0" w:color="auto"/>
        <w:left w:val="none" w:sz="0" w:space="0" w:color="auto"/>
        <w:bottom w:val="none" w:sz="0" w:space="0" w:color="auto"/>
        <w:right w:val="none" w:sz="0" w:space="0" w:color="auto"/>
      </w:divBdr>
    </w:div>
    <w:div w:id="1612736264">
      <w:bodyDiv w:val="1"/>
      <w:marLeft w:val="0"/>
      <w:marRight w:val="0"/>
      <w:marTop w:val="0"/>
      <w:marBottom w:val="0"/>
      <w:divBdr>
        <w:top w:val="none" w:sz="0" w:space="0" w:color="auto"/>
        <w:left w:val="none" w:sz="0" w:space="0" w:color="auto"/>
        <w:bottom w:val="none" w:sz="0" w:space="0" w:color="auto"/>
        <w:right w:val="none" w:sz="0" w:space="0" w:color="auto"/>
      </w:divBdr>
    </w:div>
    <w:div w:id="1625115366">
      <w:bodyDiv w:val="1"/>
      <w:marLeft w:val="0"/>
      <w:marRight w:val="0"/>
      <w:marTop w:val="0"/>
      <w:marBottom w:val="0"/>
      <w:divBdr>
        <w:top w:val="none" w:sz="0" w:space="0" w:color="auto"/>
        <w:left w:val="none" w:sz="0" w:space="0" w:color="auto"/>
        <w:bottom w:val="none" w:sz="0" w:space="0" w:color="auto"/>
        <w:right w:val="none" w:sz="0" w:space="0" w:color="auto"/>
      </w:divBdr>
    </w:div>
    <w:div w:id="1646159971">
      <w:bodyDiv w:val="1"/>
      <w:marLeft w:val="0"/>
      <w:marRight w:val="0"/>
      <w:marTop w:val="0"/>
      <w:marBottom w:val="0"/>
      <w:divBdr>
        <w:top w:val="none" w:sz="0" w:space="0" w:color="auto"/>
        <w:left w:val="none" w:sz="0" w:space="0" w:color="auto"/>
        <w:bottom w:val="none" w:sz="0" w:space="0" w:color="auto"/>
        <w:right w:val="none" w:sz="0" w:space="0" w:color="auto"/>
      </w:divBdr>
    </w:div>
    <w:div w:id="1662731483">
      <w:bodyDiv w:val="1"/>
      <w:marLeft w:val="0"/>
      <w:marRight w:val="0"/>
      <w:marTop w:val="0"/>
      <w:marBottom w:val="0"/>
      <w:divBdr>
        <w:top w:val="none" w:sz="0" w:space="0" w:color="auto"/>
        <w:left w:val="none" w:sz="0" w:space="0" w:color="auto"/>
        <w:bottom w:val="none" w:sz="0" w:space="0" w:color="auto"/>
        <w:right w:val="none" w:sz="0" w:space="0" w:color="auto"/>
      </w:divBdr>
    </w:div>
    <w:div w:id="1736783225">
      <w:bodyDiv w:val="1"/>
      <w:marLeft w:val="0"/>
      <w:marRight w:val="0"/>
      <w:marTop w:val="0"/>
      <w:marBottom w:val="0"/>
      <w:divBdr>
        <w:top w:val="none" w:sz="0" w:space="0" w:color="auto"/>
        <w:left w:val="none" w:sz="0" w:space="0" w:color="auto"/>
        <w:bottom w:val="none" w:sz="0" w:space="0" w:color="auto"/>
        <w:right w:val="none" w:sz="0" w:space="0" w:color="auto"/>
      </w:divBdr>
    </w:div>
    <w:div w:id="1754155712">
      <w:bodyDiv w:val="1"/>
      <w:marLeft w:val="0"/>
      <w:marRight w:val="0"/>
      <w:marTop w:val="0"/>
      <w:marBottom w:val="0"/>
      <w:divBdr>
        <w:top w:val="none" w:sz="0" w:space="0" w:color="auto"/>
        <w:left w:val="none" w:sz="0" w:space="0" w:color="auto"/>
        <w:bottom w:val="none" w:sz="0" w:space="0" w:color="auto"/>
        <w:right w:val="none" w:sz="0" w:space="0" w:color="auto"/>
      </w:divBdr>
    </w:div>
    <w:div w:id="1766220330">
      <w:bodyDiv w:val="1"/>
      <w:marLeft w:val="0"/>
      <w:marRight w:val="0"/>
      <w:marTop w:val="0"/>
      <w:marBottom w:val="0"/>
      <w:divBdr>
        <w:top w:val="none" w:sz="0" w:space="0" w:color="auto"/>
        <w:left w:val="none" w:sz="0" w:space="0" w:color="auto"/>
        <w:bottom w:val="none" w:sz="0" w:space="0" w:color="auto"/>
        <w:right w:val="none" w:sz="0" w:space="0" w:color="auto"/>
      </w:divBdr>
    </w:div>
    <w:div w:id="1804151164">
      <w:bodyDiv w:val="1"/>
      <w:marLeft w:val="0"/>
      <w:marRight w:val="0"/>
      <w:marTop w:val="0"/>
      <w:marBottom w:val="0"/>
      <w:divBdr>
        <w:top w:val="none" w:sz="0" w:space="0" w:color="auto"/>
        <w:left w:val="none" w:sz="0" w:space="0" w:color="auto"/>
        <w:bottom w:val="none" w:sz="0" w:space="0" w:color="auto"/>
        <w:right w:val="none" w:sz="0" w:space="0" w:color="auto"/>
      </w:divBdr>
      <w:divsChild>
        <w:div w:id="2108308690">
          <w:marLeft w:val="0"/>
          <w:marRight w:val="0"/>
          <w:marTop w:val="0"/>
          <w:marBottom w:val="0"/>
          <w:divBdr>
            <w:top w:val="none" w:sz="0" w:space="0" w:color="auto"/>
            <w:left w:val="none" w:sz="0" w:space="0" w:color="auto"/>
            <w:bottom w:val="none" w:sz="0" w:space="0" w:color="auto"/>
            <w:right w:val="none" w:sz="0" w:space="0" w:color="auto"/>
          </w:divBdr>
          <w:divsChild>
            <w:div w:id="1679195515">
              <w:marLeft w:val="0"/>
              <w:marRight w:val="0"/>
              <w:marTop w:val="0"/>
              <w:marBottom w:val="0"/>
              <w:divBdr>
                <w:top w:val="none" w:sz="0" w:space="0" w:color="auto"/>
                <w:left w:val="none" w:sz="0" w:space="0" w:color="auto"/>
                <w:bottom w:val="none" w:sz="0" w:space="0" w:color="auto"/>
                <w:right w:val="none" w:sz="0" w:space="0" w:color="auto"/>
              </w:divBdr>
              <w:divsChild>
                <w:div w:id="1629897632">
                  <w:marLeft w:val="0"/>
                  <w:marRight w:val="0"/>
                  <w:marTop w:val="0"/>
                  <w:marBottom w:val="0"/>
                  <w:divBdr>
                    <w:top w:val="none" w:sz="0" w:space="0" w:color="auto"/>
                    <w:left w:val="none" w:sz="0" w:space="0" w:color="auto"/>
                    <w:bottom w:val="none" w:sz="0" w:space="0" w:color="auto"/>
                    <w:right w:val="none" w:sz="0" w:space="0" w:color="auto"/>
                  </w:divBdr>
                  <w:divsChild>
                    <w:div w:id="582105601">
                      <w:marLeft w:val="0"/>
                      <w:marRight w:val="0"/>
                      <w:marTop w:val="0"/>
                      <w:marBottom w:val="0"/>
                      <w:divBdr>
                        <w:top w:val="none" w:sz="0" w:space="0" w:color="auto"/>
                        <w:left w:val="none" w:sz="0" w:space="0" w:color="auto"/>
                        <w:bottom w:val="none" w:sz="0" w:space="0" w:color="auto"/>
                        <w:right w:val="none" w:sz="0" w:space="0" w:color="auto"/>
                      </w:divBdr>
                      <w:divsChild>
                        <w:div w:id="1124809629">
                          <w:marLeft w:val="0"/>
                          <w:marRight w:val="0"/>
                          <w:marTop w:val="0"/>
                          <w:marBottom w:val="0"/>
                          <w:divBdr>
                            <w:top w:val="none" w:sz="0" w:space="0" w:color="auto"/>
                            <w:left w:val="none" w:sz="0" w:space="0" w:color="auto"/>
                            <w:bottom w:val="none" w:sz="0" w:space="0" w:color="auto"/>
                            <w:right w:val="none" w:sz="0" w:space="0" w:color="auto"/>
                          </w:divBdr>
                          <w:divsChild>
                            <w:div w:id="1985309925">
                              <w:marLeft w:val="0"/>
                              <w:marRight w:val="0"/>
                              <w:marTop w:val="0"/>
                              <w:marBottom w:val="0"/>
                              <w:divBdr>
                                <w:top w:val="none" w:sz="0" w:space="0" w:color="auto"/>
                                <w:left w:val="none" w:sz="0" w:space="0" w:color="auto"/>
                                <w:bottom w:val="none" w:sz="0" w:space="0" w:color="auto"/>
                                <w:right w:val="none" w:sz="0" w:space="0" w:color="auto"/>
                              </w:divBdr>
                              <w:divsChild>
                                <w:div w:id="669257508">
                                  <w:marLeft w:val="0"/>
                                  <w:marRight w:val="0"/>
                                  <w:marTop w:val="0"/>
                                  <w:marBottom w:val="0"/>
                                  <w:divBdr>
                                    <w:top w:val="none" w:sz="0" w:space="0" w:color="auto"/>
                                    <w:left w:val="none" w:sz="0" w:space="0" w:color="auto"/>
                                    <w:bottom w:val="none" w:sz="0" w:space="0" w:color="auto"/>
                                    <w:right w:val="none" w:sz="0" w:space="0" w:color="auto"/>
                                  </w:divBdr>
                                  <w:divsChild>
                                    <w:div w:id="1121649502">
                                      <w:marLeft w:val="0"/>
                                      <w:marRight w:val="0"/>
                                      <w:marTop w:val="0"/>
                                      <w:marBottom w:val="0"/>
                                      <w:divBdr>
                                        <w:top w:val="none" w:sz="0" w:space="0" w:color="auto"/>
                                        <w:left w:val="none" w:sz="0" w:space="0" w:color="auto"/>
                                        <w:bottom w:val="none" w:sz="0" w:space="0" w:color="auto"/>
                                        <w:right w:val="none" w:sz="0" w:space="0" w:color="auto"/>
                                      </w:divBdr>
                                      <w:divsChild>
                                        <w:div w:id="1374038174">
                                          <w:marLeft w:val="0"/>
                                          <w:marRight w:val="0"/>
                                          <w:marTop w:val="0"/>
                                          <w:marBottom w:val="0"/>
                                          <w:divBdr>
                                            <w:top w:val="none" w:sz="0" w:space="0" w:color="auto"/>
                                            <w:left w:val="none" w:sz="0" w:space="0" w:color="auto"/>
                                            <w:bottom w:val="none" w:sz="0" w:space="0" w:color="auto"/>
                                            <w:right w:val="none" w:sz="0" w:space="0" w:color="auto"/>
                                          </w:divBdr>
                                          <w:divsChild>
                                            <w:div w:id="1895071348">
                                              <w:marLeft w:val="0"/>
                                              <w:marRight w:val="0"/>
                                              <w:marTop w:val="0"/>
                                              <w:marBottom w:val="0"/>
                                              <w:divBdr>
                                                <w:top w:val="none" w:sz="0" w:space="0" w:color="auto"/>
                                                <w:left w:val="none" w:sz="0" w:space="0" w:color="auto"/>
                                                <w:bottom w:val="none" w:sz="0" w:space="0" w:color="auto"/>
                                                <w:right w:val="none" w:sz="0" w:space="0" w:color="auto"/>
                                              </w:divBdr>
                                              <w:divsChild>
                                                <w:div w:id="1494443038">
                                                  <w:marLeft w:val="0"/>
                                                  <w:marRight w:val="0"/>
                                                  <w:marTop w:val="0"/>
                                                  <w:marBottom w:val="0"/>
                                                  <w:divBdr>
                                                    <w:top w:val="none" w:sz="0" w:space="0" w:color="auto"/>
                                                    <w:left w:val="none" w:sz="0" w:space="0" w:color="auto"/>
                                                    <w:bottom w:val="none" w:sz="0" w:space="0" w:color="auto"/>
                                                    <w:right w:val="none" w:sz="0" w:space="0" w:color="auto"/>
                                                  </w:divBdr>
                                                  <w:divsChild>
                                                    <w:div w:id="24405291">
                                                      <w:marLeft w:val="0"/>
                                                      <w:marRight w:val="0"/>
                                                      <w:marTop w:val="0"/>
                                                      <w:marBottom w:val="0"/>
                                                      <w:divBdr>
                                                        <w:top w:val="none" w:sz="0" w:space="0" w:color="auto"/>
                                                        <w:left w:val="none" w:sz="0" w:space="0" w:color="auto"/>
                                                        <w:bottom w:val="none" w:sz="0" w:space="0" w:color="auto"/>
                                                        <w:right w:val="none" w:sz="0" w:space="0" w:color="auto"/>
                                                      </w:divBdr>
                                                      <w:divsChild>
                                                        <w:div w:id="1134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497087">
      <w:bodyDiv w:val="1"/>
      <w:marLeft w:val="0"/>
      <w:marRight w:val="0"/>
      <w:marTop w:val="0"/>
      <w:marBottom w:val="0"/>
      <w:divBdr>
        <w:top w:val="none" w:sz="0" w:space="0" w:color="auto"/>
        <w:left w:val="none" w:sz="0" w:space="0" w:color="auto"/>
        <w:bottom w:val="none" w:sz="0" w:space="0" w:color="auto"/>
        <w:right w:val="none" w:sz="0" w:space="0" w:color="auto"/>
      </w:divBdr>
    </w:div>
    <w:div w:id="1878621274">
      <w:bodyDiv w:val="1"/>
      <w:marLeft w:val="0"/>
      <w:marRight w:val="0"/>
      <w:marTop w:val="0"/>
      <w:marBottom w:val="0"/>
      <w:divBdr>
        <w:top w:val="none" w:sz="0" w:space="0" w:color="auto"/>
        <w:left w:val="none" w:sz="0" w:space="0" w:color="auto"/>
        <w:bottom w:val="none" w:sz="0" w:space="0" w:color="auto"/>
        <w:right w:val="none" w:sz="0" w:space="0" w:color="auto"/>
      </w:divBdr>
    </w:div>
    <w:div w:id="1942302099">
      <w:bodyDiv w:val="1"/>
      <w:marLeft w:val="0"/>
      <w:marRight w:val="0"/>
      <w:marTop w:val="0"/>
      <w:marBottom w:val="0"/>
      <w:divBdr>
        <w:top w:val="none" w:sz="0" w:space="0" w:color="auto"/>
        <w:left w:val="none" w:sz="0" w:space="0" w:color="auto"/>
        <w:bottom w:val="none" w:sz="0" w:space="0" w:color="auto"/>
        <w:right w:val="none" w:sz="0" w:space="0" w:color="auto"/>
      </w:divBdr>
    </w:div>
    <w:div w:id="2008246232">
      <w:bodyDiv w:val="1"/>
      <w:marLeft w:val="0"/>
      <w:marRight w:val="0"/>
      <w:marTop w:val="0"/>
      <w:marBottom w:val="0"/>
      <w:divBdr>
        <w:top w:val="none" w:sz="0" w:space="0" w:color="auto"/>
        <w:left w:val="none" w:sz="0" w:space="0" w:color="auto"/>
        <w:bottom w:val="none" w:sz="0" w:space="0" w:color="auto"/>
        <w:right w:val="none" w:sz="0" w:space="0" w:color="auto"/>
      </w:divBdr>
    </w:div>
    <w:div w:id="2071462810">
      <w:bodyDiv w:val="1"/>
      <w:marLeft w:val="0"/>
      <w:marRight w:val="0"/>
      <w:marTop w:val="0"/>
      <w:marBottom w:val="0"/>
      <w:divBdr>
        <w:top w:val="none" w:sz="0" w:space="0" w:color="auto"/>
        <w:left w:val="none" w:sz="0" w:space="0" w:color="auto"/>
        <w:bottom w:val="none" w:sz="0" w:space="0" w:color="auto"/>
        <w:right w:val="none" w:sz="0" w:space="0" w:color="auto"/>
      </w:divBdr>
    </w:div>
    <w:div w:id="2121484566">
      <w:bodyDiv w:val="1"/>
      <w:marLeft w:val="0"/>
      <w:marRight w:val="0"/>
      <w:marTop w:val="0"/>
      <w:marBottom w:val="0"/>
      <w:divBdr>
        <w:top w:val="none" w:sz="0" w:space="0" w:color="auto"/>
        <w:left w:val="none" w:sz="0" w:space="0" w:color="auto"/>
        <w:bottom w:val="none" w:sz="0" w:space="0" w:color="auto"/>
        <w:right w:val="none" w:sz="0" w:space="0" w:color="auto"/>
      </w:divBdr>
    </w:div>
    <w:div w:id="21421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16212883028175"/>
          <c:y val="0.28350596276136625"/>
          <c:w val="0.5847372087748286"/>
          <c:h val="0.71649404401372963"/>
        </c:manualLayout>
      </c:layout>
      <c:ofPieChart>
        <c:ofPieType val="bar"/>
        <c:varyColors val="1"/>
        <c:ser>
          <c:idx val="0"/>
          <c:order val="0"/>
          <c:tx>
            <c:strRef>
              <c:f>Лист1!$B$1</c:f>
              <c:strCache>
                <c:ptCount val="1"/>
                <c:pt idx="0">
                  <c:v>Структура экономики городского округа город Мегион за I полугодие 2015 года</c:v>
                </c:pt>
              </c:strCache>
            </c:strRef>
          </c:tx>
          <c:explosion val="2"/>
          <c:dPt>
            <c:idx val="0"/>
            <c:bubble3D val="0"/>
            <c:explosion val="16"/>
            <c:spPr>
              <a:solidFill>
                <a:srgbClr val="FFC000"/>
              </a:solidFill>
            </c:spPr>
          </c:dPt>
          <c:dPt>
            <c:idx val="1"/>
            <c:bubble3D val="0"/>
            <c:explosion val="27"/>
          </c:dPt>
          <c:dPt>
            <c:idx val="2"/>
            <c:bubble3D val="0"/>
            <c:explosion val="12"/>
          </c:dPt>
          <c:dPt>
            <c:idx val="3"/>
            <c:bubble3D val="0"/>
            <c:spPr>
              <a:solidFill>
                <a:srgbClr val="35E7E7"/>
              </a:solidFill>
            </c:spPr>
          </c:dPt>
          <c:dPt>
            <c:idx val="4"/>
            <c:bubble3D val="0"/>
            <c:spPr>
              <a:solidFill>
                <a:schemeClr val="tx1">
                  <a:lumMod val="95000"/>
                  <a:lumOff val="5000"/>
                </a:schemeClr>
              </a:solidFill>
            </c:spPr>
          </c:dPt>
          <c:dLbls>
            <c:dLbl>
              <c:idx val="0"/>
              <c:layout>
                <c:manualLayout>
                  <c:x val="2.0345476393764036E-2"/>
                  <c:y val="0.17301702671781424"/>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5.7864621586076956E-3"/>
                  <c:y val="5.5377018550648366E-3"/>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1.5011226006387773E-2"/>
                  <c:y val="-0.17226832222895214"/>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2.0871201340796296E-2"/>
                  <c:y val="-0.21114846221145531"/>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4"/>
              <c:layout>
                <c:manualLayout>
                  <c:x val="4.6829364702906086E-2"/>
                  <c:y val="-0.24690658859950326"/>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2.0456471555513452E-2"/>
                  <c:y val="0"/>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6"/>
              <c:layout>
                <c:manualLayout>
                  <c:x val="-0.17363382860242579"/>
                  <c:y val="-1.1475611003170063E-2"/>
                </c:manualLayout>
              </c:layout>
              <c:tx>
                <c:rich>
                  <a:bodyPr/>
                  <a:lstStyle/>
                  <a:p>
                    <a:r>
                      <a:rPr lang="ru-RU" sz="893">
                        <a:latin typeface="Times New Roman" pitchFamily="18" charset="0"/>
                        <a:cs typeface="Times New Roman" pitchFamily="18" charset="0"/>
                      </a:rPr>
                      <a:t>Промышленность
66,4%</a:t>
                    </a:r>
                  </a:p>
                </c:rich>
              </c:tx>
              <c:dLblPos val="bestFit"/>
              <c:showLegendKey val="1"/>
              <c:showVal val="0"/>
              <c:showCatName val="0"/>
              <c:showSerName val="0"/>
              <c:showPercent val="0"/>
              <c:showBubbleSize val="0"/>
              <c:extLst>
                <c:ext xmlns:c15="http://schemas.microsoft.com/office/drawing/2012/chart" uri="{CE6537A1-D6FC-4f65-9D91-7224C49458BB}"/>
              </c:extLst>
            </c:dLbl>
            <c:dLbl>
              <c:idx val="7"/>
              <c:layout>
                <c:manualLayout>
                  <c:x val="1.6393837429757405E-2"/>
                  <c:y val="-8.4745762711865583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0"/>
                  <c:y val="3.0508474576271212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0.11467299776248167"/>
                  <c:y val="3.2713198985720453E-3"/>
                </c:manualLayout>
              </c:layout>
              <c:dLblPos val="bestFit"/>
              <c:showLegendKey val="1"/>
              <c:showVal val="0"/>
              <c:showCatName val="1"/>
              <c:showSerName val="0"/>
              <c:showPercent val="1"/>
              <c:showBubbleSize val="0"/>
              <c:extLst>
                <c:ext xmlns:c15="http://schemas.microsoft.com/office/drawing/2012/chart" uri="{CE6537A1-D6FC-4f65-9D91-7224C49458BB}"/>
              </c:extLst>
            </c:dLbl>
            <c:numFmt formatCode="0.0%" sourceLinked="0"/>
            <c:spPr>
              <a:noFill/>
              <a:ln w="25214">
                <a:noFill/>
              </a:ln>
            </c:spPr>
            <c:txPr>
              <a:bodyPr/>
              <a:lstStyle/>
              <a:p>
                <a:pPr>
                  <a:defRPr sz="893">
                    <a:latin typeface="Times New Roman" pitchFamily="18" charset="0"/>
                    <a:cs typeface="Times New Roman" pitchFamily="18" charset="0"/>
                  </a:defRPr>
                </a:pPr>
                <a:endParaRPr lang="ru-RU"/>
              </a:p>
            </c:txPr>
            <c:dLblPos val="bestFit"/>
            <c:showLegendKey val="1"/>
            <c:showVal val="0"/>
            <c:showCatName val="1"/>
            <c:showSerName val="0"/>
            <c:showPercent val="1"/>
            <c:showBubbleSize val="0"/>
            <c:showLeaderLines val="1"/>
            <c:extLst>
              <c:ext xmlns:c15="http://schemas.microsoft.com/office/drawing/2012/chart" uri="{CE6537A1-D6FC-4f65-9D91-7224C49458BB}"/>
            </c:extLst>
          </c:dLbls>
          <c:cat>
            <c:strRef>
              <c:f>Лист1!$A$2:$A$7</c:f>
              <c:strCache>
                <c:ptCount val="6"/>
                <c:pt idx="0">
                  <c:v>Прочие</c:v>
                </c:pt>
                <c:pt idx="1">
                  <c:v>Транспорт и связь</c:v>
                </c:pt>
                <c:pt idx="2">
                  <c:v>Строительство</c:v>
                </c:pt>
                <c:pt idx="3">
                  <c:v>Добыча полезных ископаемых</c:v>
                </c:pt>
                <c:pt idx="4">
                  <c:v>Обработывающие производства</c:v>
                </c:pt>
                <c:pt idx="5">
                  <c:v>Производство и распределение эл.энергии, газа и воды</c:v>
                </c:pt>
              </c:strCache>
            </c:strRef>
          </c:cat>
          <c:val>
            <c:numRef>
              <c:f>Лист1!$B$2:$B$7</c:f>
              <c:numCache>
                <c:formatCode>General</c:formatCode>
                <c:ptCount val="6"/>
                <c:pt idx="0">
                  <c:v>3650</c:v>
                </c:pt>
                <c:pt idx="1">
                  <c:v>2595.3000000000002</c:v>
                </c:pt>
                <c:pt idx="2">
                  <c:v>1962.5</c:v>
                </c:pt>
                <c:pt idx="3">
                  <c:v>12826.4</c:v>
                </c:pt>
                <c:pt idx="4">
                  <c:v>1028.5</c:v>
                </c:pt>
                <c:pt idx="5">
                  <c:v>2344</c:v>
                </c:pt>
              </c:numCache>
            </c:numRef>
          </c:val>
        </c:ser>
        <c:dLbls>
          <c:showLegendKey val="0"/>
          <c:showVal val="0"/>
          <c:showCatName val="1"/>
          <c:showSerName val="0"/>
          <c:showPercent val="1"/>
          <c:showBubbleSize val="0"/>
          <c:showLeaderLines val="1"/>
        </c:dLbls>
        <c:gapWidth val="100"/>
        <c:splitType val="pos"/>
        <c:splitPos val="3"/>
        <c:secondPieSize val="100"/>
        <c:serLines/>
      </c:ofPieChart>
      <c:spPr>
        <a:noFill/>
        <a:ln w="25214">
          <a:noFill/>
        </a:ln>
      </c:spPr>
    </c:plotArea>
    <c:plotVisOnly val="1"/>
    <c:dispBlanksAs val="zero"/>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6">
                <a:latin typeface="Times New Roman" pitchFamily="18" charset="0"/>
                <a:cs typeface="Times New Roman" pitchFamily="18" charset="0"/>
              </a:defRPr>
            </a:pPr>
            <a:r>
              <a:rPr lang="ru-RU" sz="1178">
                <a:latin typeface="Times New Roman" pitchFamily="18" charset="0"/>
                <a:cs typeface="Times New Roman" pitchFamily="18" charset="0"/>
              </a:rPr>
              <a:t>Структура доходов местного бюджета </a:t>
            </a:r>
          </a:p>
          <a:p>
            <a:pPr>
              <a:defRPr sz="1156">
                <a:latin typeface="Times New Roman" pitchFamily="18" charset="0"/>
                <a:cs typeface="Times New Roman" pitchFamily="18" charset="0"/>
              </a:defRPr>
            </a:pPr>
            <a:r>
              <a:rPr lang="ru-RU" sz="1178">
                <a:latin typeface="Times New Roman" pitchFamily="18" charset="0"/>
                <a:cs typeface="Times New Roman" pitchFamily="18" charset="0"/>
              </a:rPr>
              <a:t>городского округа город Мегион за 9</a:t>
            </a:r>
            <a:r>
              <a:rPr lang="ru-RU" sz="1178" baseline="0">
                <a:latin typeface="Times New Roman" pitchFamily="18" charset="0"/>
                <a:cs typeface="Times New Roman" pitchFamily="18" charset="0"/>
              </a:rPr>
              <a:t> месяцев</a:t>
            </a:r>
            <a:r>
              <a:rPr lang="ru-RU" sz="1178">
                <a:latin typeface="Times New Roman" pitchFamily="18" charset="0"/>
                <a:cs typeface="Times New Roman" pitchFamily="18" charset="0"/>
              </a:rPr>
              <a:t> 2016 года</a:t>
            </a:r>
          </a:p>
        </c:rich>
      </c:tx>
      <c:layout>
        <c:manualLayout>
          <c:xMode val="edge"/>
          <c:yMode val="edge"/>
          <c:x val="0.10624424882410667"/>
          <c:y val="0"/>
        </c:manualLayout>
      </c:layout>
      <c:overlay val="0"/>
      <c:spPr>
        <a:noFill/>
        <a:ln w="24935">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1.1264614650441424E-2"/>
          <c:y val="0.33219347581552305"/>
          <c:w val="0.438786856188431"/>
          <c:h val="0.52705116405903807"/>
        </c:manualLayout>
      </c:layout>
      <c:pie3DChart>
        <c:varyColors val="1"/>
        <c:ser>
          <c:idx val="0"/>
          <c:order val="0"/>
          <c:tx>
            <c:strRef>
              <c:f>Лист1!$B$1</c:f>
              <c:strCache>
                <c:ptCount val="1"/>
                <c:pt idx="0">
                  <c:v>Структура доходов местного бюджета городского округа город Мегион за I полугодие 2015 года</c:v>
                </c:pt>
              </c:strCache>
            </c:strRef>
          </c:tx>
          <c:spPr>
            <a:ln>
              <a:solidFill>
                <a:sysClr val="window" lastClr="FFFFFF"/>
              </a:solidFill>
            </a:ln>
          </c:spPr>
          <c:explosion val="5"/>
          <c:dLbls>
            <c:dLbl>
              <c:idx val="0"/>
              <c:layout>
                <c:manualLayout>
                  <c:x val="-8.0566179227596554E-2"/>
                  <c:y val="-6.199031939189419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9338548590517094E-2"/>
                  <c:y val="-0.136271261546852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876725636568157"/>
                  <c:y val="-0.1672461396870845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39212325732010772"/>
                  <c:y val="-8.241163036438622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8658656304325597"/>
                  <c:y val="9.347377032416402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8658877849692882"/>
                  <c:y val="0.1776620922384702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9.0044823942461744E-2"/>
                  <c:y val="0.2755407846746429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2889917169444726"/>
                  <c:y val="0.27456420220199745"/>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4935">
                <a:noFill/>
              </a:ln>
            </c:spPr>
            <c:txPr>
              <a:bodyPr/>
              <a:lstStyle/>
              <a:p>
                <a:pPr>
                  <a:defRPr sz="7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Налог на доходы физических лиц</c:v>
                </c:pt>
                <c:pt idx="1">
                  <c:v>Налог на совокупный доход</c:v>
                </c:pt>
                <c:pt idx="2">
                  <c:v>Налоги на имущество</c:v>
                </c:pt>
                <c:pt idx="3">
                  <c:v>Прочие налоговые доходы</c:v>
                </c:pt>
                <c:pt idx="4">
                  <c:v>Доходы от использования муниципальной собственности</c:v>
                </c:pt>
                <c:pt idx="5">
                  <c:v>Доходы от оказания платных услуг</c:v>
                </c:pt>
                <c:pt idx="6">
                  <c:v>Доходы от продажи материальных и нематериальных активов</c:v>
                </c:pt>
                <c:pt idx="7">
                  <c:v>Прочие неналоговые доходы</c:v>
                </c:pt>
                <c:pt idx="8">
                  <c:v>Безвозмездные перечисления</c:v>
                </c:pt>
              </c:strCache>
            </c:strRef>
          </c:cat>
          <c:val>
            <c:numRef>
              <c:f>Лист1!$B$2:$B$10</c:f>
              <c:numCache>
                <c:formatCode>General</c:formatCode>
                <c:ptCount val="9"/>
                <c:pt idx="0">
                  <c:v>499109.3</c:v>
                </c:pt>
                <c:pt idx="1">
                  <c:v>105191.1</c:v>
                </c:pt>
                <c:pt idx="2">
                  <c:v>20340.400000000001</c:v>
                </c:pt>
                <c:pt idx="3">
                  <c:v>16646</c:v>
                </c:pt>
                <c:pt idx="4">
                  <c:v>144290.20000000001</c:v>
                </c:pt>
                <c:pt idx="5">
                  <c:v>1110.7</c:v>
                </c:pt>
                <c:pt idx="6">
                  <c:v>44270.3</c:v>
                </c:pt>
                <c:pt idx="7">
                  <c:v>21250.9</c:v>
                </c:pt>
                <c:pt idx="8">
                  <c:v>1843360.8</c:v>
                </c:pt>
              </c:numCache>
            </c:numRef>
          </c:val>
        </c:ser>
        <c:dLbls>
          <c:showLegendKey val="0"/>
          <c:showVal val="0"/>
          <c:showCatName val="1"/>
          <c:showSerName val="0"/>
          <c:showPercent val="1"/>
          <c:showBubbleSize val="0"/>
          <c:showLeaderLines val="1"/>
        </c:dLbls>
      </c:pie3DChart>
      <c:spPr>
        <a:noFill/>
        <a:ln w="24935">
          <a:noFill/>
        </a:ln>
      </c:spPr>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itchFamily="18" charset="0"/>
                <a:cs typeface="Times New Roman" pitchFamily="18" charset="0"/>
              </a:defRPr>
            </a:pPr>
            <a:r>
              <a:rPr lang="ru-RU" sz="1100" b="0"/>
              <a:t>Структура налоговых доходов местного бюджета городского округа город Мегион за 9</a:t>
            </a:r>
            <a:r>
              <a:rPr lang="ru-RU" sz="1100" b="0" baseline="0"/>
              <a:t> месяцев</a:t>
            </a:r>
            <a:r>
              <a:rPr lang="ru-RU" sz="1100" b="0"/>
              <a:t> 2016 года</a:t>
            </a:r>
          </a:p>
        </c:rich>
      </c:tx>
      <c:layout>
        <c:manualLayout>
          <c:xMode val="edge"/>
          <c:yMode val="edge"/>
          <c:x val="0.1126282231828331"/>
          <c:y val="3.0303030303030304E-2"/>
        </c:manualLayout>
      </c:layout>
      <c:overlay val="0"/>
      <c:spPr>
        <a:noFill/>
        <a:ln w="23449">
          <a:noFill/>
        </a:ln>
      </c:spPr>
    </c:title>
    <c:autoTitleDeleted val="0"/>
    <c:view3D>
      <c:rotX val="75"/>
      <c:rotY val="0"/>
      <c:rAngAx val="0"/>
    </c:view3D>
    <c:floor>
      <c:thickness val="0"/>
    </c:floor>
    <c:sideWall>
      <c:thickness val="0"/>
    </c:sideWall>
    <c:backWall>
      <c:thickness val="0"/>
    </c:backWall>
    <c:plotArea>
      <c:layout>
        <c:manualLayout>
          <c:layoutTarget val="inner"/>
          <c:xMode val="edge"/>
          <c:yMode val="edge"/>
          <c:x val="0.40858263634619546"/>
          <c:y val="0.43811142925316154"/>
          <c:w val="0.322296159325341"/>
          <c:h val="0.56117076274556588"/>
        </c:manualLayout>
      </c:layout>
      <c:pie3DChart>
        <c:varyColors val="1"/>
        <c:ser>
          <c:idx val="0"/>
          <c:order val="0"/>
          <c:tx>
            <c:strRef>
              <c:f>Лист1!$B$1</c:f>
              <c:strCache>
                <c:ptCount val="1"/>
                <c:pt idx="0">
                  <c:v>Структура налоговых доходов местного бюджета городского округа город Мегион за I полугодие 2015 года</c:v>
                </c:pt>
              </c:strCache>
            </c:strRef>
          </c:tx>
          <c:dPt>
            <c:idx val="0"/>
            <c:bubble3D val="0"/>
            <c:spPr>
              <a:ln>
                <a:solidFill>
                  <a:schemeClr val="accent1"/>
                </a:solidFill>
              </a:ln>
            </c:spPr>
          </c:dPt>
          <c:dPt>
            <c:idx val="1"/>
            <c:bubble3D val="0"/>
            <c:spPr>
              <a:solidFill>
                <a:srgbClr val="FF0000"/>
              </a:solidFill>
            </c:spPr>
          </c:dPt>
          <c:dPt>
            <c:idx val="2"/>
            <c:bubble3D val="0"/>
            <c:spPr>
              <a:solidFill>
                <a:srgbClr val="92D050"/>
              </a:solidFill>
            </c:spPr>
          </c:dPt>
          <c:dPt>
            <c:idx val="3"/>
            <c:bubble3D val="0"/>
            <c:spPr>
              <a:solidFill>
                <a:srgbClr val="FFFF00"/>
              </a:solidFill>
            </c:spPr>
          </c:dPt>
          <c:dPt>
            <c:idx val="4"/>
            <c:bubble3D val="0"/>
            <c:spPr>
              <a:solidFill>
                <a:srgbClr val="FF99CC"/>
              </a:solidFill>
            </c:spPr>
          </c:dPt>
          <c:dLbls>
            <c:dLbl>
              <c:idx val="0"/>
              <c:layout>
                <c:manualLayout>
                  <c:x val="-0.20266858469614371"/>
                  <c:y val="-0.1432699212598425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432717544922331"/>
                  <c:y val="0.2284762204724417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86767279090102"/>
                  <c:y val="0.140508031496064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4905730533683356"/>
                  <c:y val="4.384125984251969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7.295036798471731E-3"/>
                  <c:y val="-4.4388371908056945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26067555707947082"/>
                  <c:y val="3.0783424799172832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3449">
                <a:noFill/>
              </a:ln>
            </c:spPr>
            <c:txPr>
              <a:bodyPr/>
              <a:lstStyle/>
              <a:p>
                <a:pPr>
                  <a:defRPr sz="10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Лист1!$A$2:$A$7</c:f>
              <c:strCache>
                <c:ptCount val="6"/>
                <c:pt idx="0">
                  <c:v>Налог на доходы физических лиц</c:v>
                </c:pt>
                <c:pt idx="1">
                  <c:v>Налоги на товары (работы, услуги) реализуемые на территории РФ</c:v>
                </c:pt>
                <c:pt idx="2">
                  <c:v>Налоги на совокупный доход</c:v>
                </c:pt>
                <c:pt idx="3">
                  <c:v>Земельный налог</c:v>
                </c:pt>
                <c:pt idx="4">
                  <c:v>Налог на имущество физических лиц</c:v>
                </c:pt>
                <c:pt idx="5">
                  <c:v>Прочие налоговые доходы</c:v>
                </c:pt>
              </c:strCache>
            </c:strRef>
          </c:cat>
          <c:val>
            <c:numRef>
              <c:f>Лист1!$B$2:$B$7</c:f>
              <c:numCache>
                <c:formatCode>General</c:formatCode>
                <c:ptCount val="6"/>
                <c:pt idx="0">
                  <c:v>499109.3</c:v>
                </c:pt>
                <c:pt idx="1">
                  <c:v>10224.4</c:v>
                </c:pt>
                <c:pt idx="2">
                  <c:v>105191.1</c:v>
                </c:pt>
                <c:pt idx="3">
                  <c:v>17299.5</c:v>
                </c:pt>
                <c:pt idx="4">
                  <c:v>3040.9</c:v>
                </c:pt>
                <c:pt idx="5">
                  <c:v>6421.7</c:v>
                </c:pt>
              </c:numCache>
            </c:numRef>
          </c:val>
        </c:ser>
        <c:dLbls>
          <c:showLegendKey val="0"/>
          <c:showVal val="0"/>
          <c:showCatName val="1"/>
          <c:showSerName val="0"/>
          <c:showPercent val="1"/>
          <c:showBubbleSize val="0"/>
          <c:showLeaderLines val="1"/>
        </c:dLbls>
      </c:pie3DChart>
      <c:spPr>
        <a:noFill/>
        <a:ln w="23449">
          <a:noFill/>
        </a:ln>
      </c:spPr>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itchFamily="18" charset="0"/>
                <a:cs typeface="Times New Roman" pitchFamily="18" charset="0"/>
              </a:defRPr>
            </a:pPr>
            <a:r>
              <a:rPr lang="ru-RU" sz="1100" b="0"/>
              <a:t>Структура неналоговых доходов местного бюджета городского округа город Мегион за 9</a:t>
            </a:r>
            <a:r>
              <a:rPr lang="ru-RU" sz="1100" b="0" baseline="0"/>
              <a:t> месяцев</a:t>
            </a:r>
            <a:r>
              <a:rPr lang="ru-RU" sz="1100" b="0"/>
              <a:t> 2016 года</a:t>
            </a:r>
          </a:p>
        </c:rich>
      </c:tx>
      <c:layout>
        <c:manualLayout>
          <c:xMode val="edge"/>
          <c:yMode val="edge"/>
          <c:x val="0.10799258718858226"/>
          <c:y val="2.7027027027027029E-2"/>
        </c:manualLayout>
      </c:layout>
      <c:overlay val="0"/>
      <c:spPr>
        <a:noFill/>
        <a:ln w="27763">
          <a:noFill/>
        </a:ln>
      </c:spPr>
    </c:title>
    <c:autoTitleDeleted val="0"/>
    <c:view3D>
      <c:rotX val="75"/>
      <c:rotY val="0"/>
      <c:rAngAx val="0"/>
    </c:view3D>
    <c:floor>
      <c:thickness val="0"/>
    </c:floor>
    <c:sideWall>
      <c:thickness val="0"/>
    </c:sideWall>
    <c:backWall>
      <c:thickness val="0"/>
    </c:backWall>
    <c:plotArea>
      <c:layout>
        <c:manualLayout>
          <c:layoutTarget val="inner"/>
          <c:xMode val="edge"/>
          <c:yMode val="edge"/>
          <c:x val="0.3252178344458212"/>
          <c:y val="0.28527677017900854"/>
          <c:w val="0.34360419414578253"/>
          <c:h val="0.62511634079447931"/>
        </c:manualLayout>
      </c:layout>
      <c:pie3DChart>
        <c:varyColors val="1"/>
        <c:ser>
          <c:idx val="0"/>
          <c:order val="0"/>
          <c:tx>
            <c:strRef>
              <c:f>Лист1!$B$1</c:f>
              <c:strCache>
                <c:ptCount val="1"/>
                <c:pt idx="0">
                  <c:v>Структура неналоговых доходов местного бюджета городского округа город Мегион за I полугодие 2015 года</c:v>
                </c:pt>
              </c:strCache>
            </c:strRef>
          </c:tx>
          <c:dPt>
            <c:idx val="0"/>
            <c:bubble3D val="0"/>
            <c:spPr>
              <a:ln>
                <a:solidFill>
                  <a:schemeClr val="accent1"/>
                </a:solidFill>
              </a:ln>
            </c:spPr>
          </c:dPt>
          <c:dPt>
            <c:idx val="1"/>
            <c:bubble3D val="0"/>
            <c:spPr>
              <a:solidFill>
                <a:srgbClr val="FF0000"/>
              </a:solidFill>
            </c:spPr>
          </c:dPt>
          <c:dPt>
            <c:idx val="2"/>
            <c:bubble3D val="0"/>
            <c:spPr>
              <a:solidFill>
                <a:srgbClr val="92D050"/>
              </a:solidFill>
            </c:spPr>
          </c:dPt>
          <c:dPt>
            <c:idx val="3"/>
            <c:bubble3D val="0"/>
            <c:spPr>
              <a:solidFill>
                <a:srgbClr val="FFFF00"/>
              </a:solidFill>
            </c:spPr>
          </c:dPt>
          <c:dLbls>
            <c:dLbl>
              <c:idx val="0"/>
              <c:layout>
                <c:manualLayout>
                  <c:x val="6.7573477490440598E-2"/>
                  <c:y val="-0.113486609458248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71002990711739E-2"/>
                  <c:y val="0.209737827715355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094933294102728"/>
                  <c:y val="-5.619868193524623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1868075919987021"/>
                  <c:y val="4.460438231737886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8883801665366909E-2"/>
                  <c:y val="0.10718663545435199"/>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w="27763">
                <a:noFill/>
              </a:ln>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Доходы от использования имущества, находящегося в государственной и муниципальной собственности</c:v>
                </c:pt>
                <c:pt idx="1">
                  <c:v>Платежи при пользовнии природными ресурсами</c:v>
                </c:pt>
                <c:pt idx="2">
                  <c:v>Доходы от оказания платных услуг</c:v>
                </c:pt>
                <c:pt idx="3">
                  <c:v>Доходы от продажи материальных и нематериальных активов</c:v>
                </c:pt>
                <c:pt idx="4">
                  <c:v>Прочие неналоговые доходы</c:v>
                </c:pt>
              </c:strCache>
            </c:strRef>
          </c:cat>
          <c:val>
            <c:numRef>
              <c:f>Лист1!$B$2:$B$6</c:f>
              <c:numCache>
                <c:formatCode>General</c:formatCode>
                <c:ptCount val="5"/>
                <c:pt idx="0">
                  <c:v>144290.20000000001</c:v>
                </c:pt>
                <c:pt idx="1">
                  <c:v>7345.7</c:v>
                </c:pt>
                <c:pt idx="2">
                  <c:v>1110.9000000000001</c:v>
                </c:pt>
                <c:pt idx="3">
                  <c:v>44270.3</c:v>
                </c:pt>
                <c:pt idx="4">
                  <c:v>13905.1</c:v>
                </c:pt>
              </c:numCache>
            </c:numRef>
          </c:val>
        </c:ser>
        <c:dLbls>
          <c:showLegendKey val="0"/>
          <c:showVal val="0"/>
          <c:showCatName val="1"/>
          <c:showSerName val="0"/>
          <c:showPercent val="1"/>
          <c:showBubbleSize val="0"/>
          <c:showLeaderLines val="1"/>
        </c:dLbls>
      </c:pie3DChart>
      <c:spPr>
        <a:noFill/>
        <a:ln w="27763">
          <a:noFill/>
        </a:ln>
      </c:spPr>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Расходы бюджета городского округа город Мегион </a:t>
            </a:r>
          </a:p>
          <a:p>
            <a:pPr>
              <a:defRPr sz="1000" b="0">
                <a:latin typeface="Times New Roman" pitchFamily="18" charset="0"/>
                <a:cs typeface="Times New Roman" pitchFamily="18" charset="0"/>
              </a:defRPr>
            </a:pPr>
            <a:r>
              <a:rPr lang="ru-RU" sz="1000" b="0">
                <a:latin typeface="Times New Roman" pitchFamily="18" charset="0"/>
                <a:cs typeface="Times New Roman" pitchFamily="18" charset="0"/>
              </a:rPr>
              <a:t>за январь-сентябрь 2015 -2016 гг.</a:t>
            </a:r>
          </a:p>
        </c:rich>
      </c:tx>
      <c:overlay val="0"/>
      <c:spPr>
        <a:noFill/>
        <a:ln w="25433">
          <a:noFill/>
        </a:ln>
      </c:spPr>
    </c:title>
    <c:autoTitleDeleted val="0"/>
    <c:view3D>
      <c:rotX val="15"/>
      <c:rotY val="20"/>
      <c:depthPercent val="100"/>
      <c:rAngAx val="1"/>
    </c:view3D>
    <c:floor>
      <c:thickness val="0"/>
      <c:spPr>
        <a:noFill/>
        <a:ln>
          <a:noFill/>
        </a:ln>
      </c:spPr>
    </c:floor>
    <c:sideWall>
      <c:thickness val="0"/>
    </c:sideWall>
    <c:backWall>
      <c:thickness val="0"/>
    </c:backWall>
    <c:plotArea>
      <c:layout>
        <c:manualLayout>
          <c:layoutTarget val="inner"/>
          <c:xMode val="edge"/>
          <c:yMode val="edge"/>
          <c:x val="2.0953228346456694E-2"/>
          <c:y val="0.1741648192034248"/>
          <c:w val="0.95564362204724462"/>
          <c:h val="0.62452717682134351"/>
        </c:manualLayout>
      </c:layout>
      <c:bar3DChart>
        <c:barDir val="col"/>
        <c:grouping val="clustered"/>
        <c:varyColors val="0"/>
        <c:ser>
          <c:idx val="0"/>
          <c:order val="0"/>
          <c:tx>
            <c:strRef>
              <c:f>Лист1!$B$1</c:f>
              <c:strCache>
                <c:ptCount val="1"/>
                <c:pt idx="0">
                  <c:v>Расходы бюджета городского округа город Мегион за январь-июнь 2014-2015 гг.</c:v>
                </c:pt>
              </c:strCache>
            </c:strRef>
          </c:tx>
          <c:invertIfNegative val="0"/>
          <c:dLbls>
            <c:dLbl>
              <c:idx val="0"/>
              <c:layout>
                <c:manualLayout>
                  <c:x val="2.0833333333333412E-2"/>
                  <c:y val="0.1428571428571440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14803149606299E-2"/>
                  <c:y val="0.16662831587799179"/>
                </c:manualLayout>
              </c:layout>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1000"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2015 года</c:v>
                </c:pt>
                <c:pt idx="1">
                  <c:v>9 месяцев 2016 года</c:v>
                </c:pt>
              </c:strCache>
            </c:strRef>
          </c:cat>
          <c:val>
            <c:numRef>
              <c:f>Лист1!$B$2:$B$3</c:f>
              <c:numCache>
                <c:formatCode>General</c:formatCode>
                <c:ptCount val="2"/>
                <c:pt idx="0">
                  <c:v>2768390.9</c:v>
                </c:pt>
                <c:pt idx="1">
                  <c:v>2644339.7999999998</c:v>
                </c:pt>
              </c:numCache>
            </c:numRef>
          </c:val>
        </c:ser>
        <c:dLbls>
          <c:showLegendKey val="0"/>
          <c:showVal val="0"/>
          <c:showCatName val="0"/>
          <c:showSerName val="0"/>
          <c:showPercent val="0"/>
          <c:showBubbleSize val="0"/>
        </c:dLbls>
        <c:gapWidth val="150"/>
        <c:shape val="cylinder"/>
        <c:axId val="365459536"/>
        <c:axId val="365461104"/>
        <c:axId val="0"/>
      </c:bar3DChart>
      <c:catAx>
        <c:axId val="3654595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65461104"/>
        <c:crosses val="autoZero"/>
        <c:auto val="1"/>
        <c:lblAlgn val="ctr"/>
        <c:lblOffset val="100"/>
        <c:noMultiLvlLbl val="0"/>
      </c:catAx>
      <c:valAx>
        <c:axId val="365461104"/>
        <c:scaling>
          <c:orientation val="minMax"/>
          <c:max val="550000"/>
          <c:min val="0"/>
        </c:scaling>
        <c:delete val="1"/>
        <c:axPos val="l"/>
        <c:majorGridlines>
          <c:spPr>
            <a:ln>
              <a:solidFill>
                <a:schemeClr val="bg1"/>
              </a:solidFill>
            </a:ln>
          </c:spPr>
        </c:majorGridlines>
        <c:title>
          <c:tx>
            <c:rich>
              <a:bodyPr rot="-540000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тыс.рублей</a:t>
                </a:r>
              </a:p>
            </c:rich>
          </c:tx>
          <c:overlay val="0"/>
        </c:title>
        <c:numFmt formatCode="General" sourceLinked="1"/>
        <c:majorTickMark val="out"/>
        <c:minorTickMark val="none"/>
        <c:tickLblPos val="nextTo"/>
        <c:crossAx val="365459536"/>
        <c:crosses val="autoZero"/>
        <c:crossBetween val="between"/>
      </c:valAx>
      <c:spPr>
        <a:noFill/>
        <a:ln w="25433">
          <a:noFill/>
        </a:ln>
      </c:spPr>
    </c:plotArea>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Times New Roman"/>
                <a:ea typeface="Times New Roman"/>
                <a:cs typeface="Times New Roman"/>
              </a:defRPr>
            </a:pPr>
            <a:r>
              <a:rPr lang="ru-RU" sz="1100" b="0"/>
              <a:t>Структура расходов бюджета городского округа город Мегион за январь-сентябрь 2016 года</a:t>
            </a:r>
          </a:p>
        </c:rich>
      </c:tx>
      <c:layout>
        <c:manualLayout>
          <c:xMode val="edge"/>
          <c:yMode val="edge"/>
          <c:x val="0.11037891268533712"/>
          <c:y val="1.8766756032171584E-2"/>
        </c:manualLayout>
      </c:layout>
      <c:overlay val="0"/>
      <c:spPr>
        <a:noFill/>
        <a:ln w="25377">
          <a:noFill/>
        </a:ln>
      </c:spPr>
    </c:title>
    <c:autoTitleDeleted val="0"/>
    <c:plotArea>
      <c:layout>
        <c:manualLayout>
          <c:layoutTarget val="inner"/>
          <c:xMode val="edge"/>
          <c:yMode val="edge"/>
          <c:x val="0.26853377265238876"/>
          <c:y val="0.35656836461126168"/>
          <c:w val="0.52718286655683688"/>
          <c:h val="0.52815013404825739"/>
        </c:manualLayout>
      </c:layout>
      <c:ofPieChart>
        <c:ofPieType val="bar"/>
        <c:varyColors val="1"/>
        <c:ser>
          <c:idx val="0"/>
          <c:order val="0"/>
          <c:tx>
            <c:strRef>
              <c:f>Sheet1!$A$2</c:f>
              <c:strCache>
                <c:ptCount val="1"/>
                <c:pt idx="0">
                  <c:v>Восток</c:v>
                </c:pt>
              </c:strCache>
            </c:strRef>
          </c:tx>
          <c:spPr>
            <a:solidFill>
              <a:srgbClr val="9999FF"/>
            </a:solidFill>
            <a:ln w="12689">
              <a:solidFill>
                <a:srgbClr val="000000"/>
              </a:solidFill>
              <a:prstDash val="solid"/>
            </a:ln>
          </c:spPr>
          <c:dPt>
            <c:idx val="1"/>
            <c:bubble3D val="0"/>
            <c:spPr>
              <a:solidFill>
                <a:srgbClr val="993366"/>
              </a:solidFill>
              <a:ln w="12689">
                <a:solidFill>
                  <a:srgbClr val="000000"/>
                </a:solidFill>
                <a:prstDash val="solid"/>
              </a:ln>
            </c:spPr>
          </c:dPt>
          <c:dPt>
            <c:idx val="2"/>
            <c:bubble3D val="0"/>
            <c:spPr>
              <a:solidFill>
                <a:srgbClr val="FF0000"/>
              </a:solidFill>
              <a:ln w="12689">
                <a:solidFill>
                  <a:srgbClr val="000000"/>
                </a:solidFill>
                <a:prstDash val="solid"/>
              </a:ln>
            </c:spPr>
          </c:dPt>
          <c:dPt>
            <c:idx val="3"/>
            <c:bubble3D val="0"/>
            <c:spPr>
              <a:solidFill>
                <a:srgbClr val="FFCC00"/>
              </a:solidFill>
              <a:ln w="12689">
                <a:solidFill>
                  <a:srgbClr val="000000"/>
                </a:solidFill>
                <a:prstDash val="solid"/>
              </a:ln>
            </c:spPr>
          </c:dPt>
          <c:dPt>
            <c:idx val="4"/>
            <c:bubble3D val="0"/>
            <c:spPr>
              <a:solidFill>
                <a:srgbClr val="660066"/>
              </a:solidFill>
              <a:ln w="12689">
                <a:solidFill>
                  <a:srgbClr val="000000"/>
                </a:solidFill>
                <a:prstDash val="solid"/>
              </a:ln>
            </c:spPr>
          </c:dPt>
          <c:dPt>
            <c:idx val="5"/>
            <c:bubble3D val="0"/>
            <c:spPr>
              <a:solidFill>
                <a:srgbClr val="FF8080"/>
              </a:solidFill>
              <a:ln w="12689">
                <a:solidFill>
                  <a:srgbClr val="000000"/>
                </a:solidFill>
                <a:prstDash val="solid"/>
              </a:ln>
            </c:spPr>
          </c:dPt>
          <c:dPt>
            <c:idx val="6"/>
            <c:bubble3D val="0"/>
            <c:spPr>
              <a:solidFill>
                <a:srgbClr val="00FF00"/>
              </a:solidFill>
              <a:ln w="12689">
                <a:solidFill>
                  <a:srgbClr val="000000"/>
                </a:solidFill>
                <a:prstDash val="solid"/>
              </a:ln>
            </c:spPr>
          </c:dPt>
          <c:dPt>
            <c:idx val="7"/>
            <c:bubble3D val="0"/>
            <c:spPr>
              <a:solidFill>
                <a:srgbClr val="CCCCFF"/>
              </a:solidFill>
              <a:ln w="12689">
                <a:solidFill>
                  <a:srgbClr val="000000"/>
                </a:solidFill>
                <a:prstDash val="solid"/>
              </a:ln>
            </c:spPr>
          </c:dPt>
          <c:dPt>
            <c:idx val="8"/>
            <c:bubble3D val="0"/>
            <c:spPr>
              <a:solidFill>
                <a:srgbClr val="000080"/>
              </a:solidFill>
              <a:ln w="12689">
                <a:solidFill>
                  <a:srgbClr val="000000"/>
                </a:solidFill>
                <a:prstDash val="solid"/>
              </a:ln>
            </c:spPr>
          </c:dPt>
          <c:dPt>
            <c:idx val="9"/>
            <c:bubble3D val="0"/>
            <c:spPr>
              <a:solidFill>
                <a:srgbClr val="FF00FF"/>
              </a:solidFill>
              <a:ln w="12689">
                <a:solidFill>
                  <a:srgbClr val="000000"/>
                </a:solidFill>
                <a:prstDash val="solid"/>
              </a:ln>
            </c:spPr>
          </c:dPt>
          <c:dPt>
            <c:idx val="10"/>
            <c:bubble3D val="0"/>
            <c:spPr>
              <a:solidFill>
                <a:srgbClr val="FFFF00"/>
              </a:solidFill>
              <a:ln w="12689">
                <a:solidFill>
                  <a:srgbClr val="000000"/>
                </a:solidFill>
                <a:prstDash val="solid"/>
              </a:ln>
            </c:spPr>
          </c:dPt>
          <c:dPt>
            <c:idx val="11"/>
            <c:bubble3D val="0"/>
            <c:spPr>
              <a:solidFill>
                <a:srgbClr val="00FFFF"/>
              </a:solidFill>
              <a:ln w="12689">
                <a:solidFill>
                  <a:srgbClr val="000000"/>
                </a:solidFill>
                <a:prstDash val="solid"/>
              </a:ln>
            </c:spPr>
          </c:dPt>
          <c:dLbls>
            <c:dLbl>
              <c:idx val="0"/>
              <c:layout>
                <c:manualLayout>
                  <c:x val="3.2338353821668955E-2"/>
                  <c:y val="6.787619956254531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5220603167588115E-2"/>
                  <c:y val="8.638886300201323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9049163841524883E-2"/>
                  <c:y val="-3.742289880671322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9888293859628026E-2"/>
                  <c:y val="-0.1259150090872134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9.1218096660331642E-3"/>
                  <c:y val="-0.1534602351238128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2.372296354716565E-3"/>
                  <c:y val="-6.904106960520274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1.2888698990145612E-2"/>
                  <c:y val="-0.1284978800726832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6.4757737269917192E-3"/>
                  <c:y val="-2.658607621827950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3.3903707772962488E-3"/>
                  <c:y val="7.040244969378828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0.13796632448407592"/>
                  <c:y val="1.3983539263858336E-2"/>
                </c:manualLayout>
              </c:layout>
              <c:tx>
                <c:rich>
                  <a:bodyPr/>
                  <a:lstStyle/>
                  <a:p>
                    <a:r>
                      <a:rPr lang="ru-RU"/>
                      <a:t>Социальная сфера </a:t>
                    </a:r>
                  </a:p>
                  <a:p>
                    <a:r>
                      <a:rPr lang="ru-RU"/>
                      <a:t>70,2%</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0.1856959340211784"/>
                  <c:y val="6.3245454346061894E-2"/>
                </c:manualLayout>
              </c:layout>
              <c:tx>
                <c:rich>
                  <a:bodyPr/>
                  <a:lstStyle/>
                  <a:p>
                    <a:r>
                      <a:rPr lang="ru-RU"/>
                      <a:t>Социальная сфера
72,1%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1"/>
              <c:layout>
                <c:manualLayout>
                  <c:x val="-0.16444707410512124"/>
                  <c:y val="2.5183110530068192E-2"/>
                </c:manualLayout>
              </c:layout>
              <c:tx>
                <c:rich>
                  <a:bodyPr/>
                  <a:lstStyle/>
                  <a:p>
                    <a:r>
                      <a:rPr lang="ru-RU"/>
                      <a:t>Социальная сфера
52,4%</a:t>
                    </a:r>
                  </a:p>
                </c:rich>
              </c:tx>
              <c:dLblPos val="bestFit"/>
              <c:showLegendKey val="0"/>
              <c:showVal val="0"/>
              <c:showCatName val="0"/>
              <c:showSerName val="0"/>
              <c:showPercent val="0"/>
              <c:showBubbleSize val="0"/>
              <c:extLst>
                <c:ext xmlns:c15="http://schemas.microsoft.com/office/drawing/2012/chart" uri="{CE6537A1-D6FC-4f65-9D91-7224C49458BB}"/>
              </c:extLst>
            </c:dLbl>
            <c:numFmt formatCode="0.00%" sourceLinked="0"/>
            <c:spPr>
              <a:noFill/>
              <a:ln w="25377">
                <a:noFill/>
              </a:ln>
            </c:spPr>
            <c:txPr>
              <a:bodyPr/>
              <a:lstStyle/>
              <a:p>
                <a:pPr>
                  <a:defRPr sz="799"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Sheet1!$B$1:$J$1</c:f>
              <c:strCache>
                <c:ptCount val="9"/>
                <c:pt idx="0">
                  <c:v>Общегосуд. расходы</c:v>
                </c:pt>
                <c:pt idx="1">
                  <c:v>Нац.безопасность и правоохранит.деят.</c:v>
                </c:pt>
                <c:pt idx="2">
                  <c:v>Нац. экономика</c:v>
                </c:pt>
                <c:pt idx="3">
                  <c:v>ЖКХ</c:v>
                </c:pt>
                <c:pt idx="4">
                  <c:v>СМИ</c:v>
                </c:pt>
                <c:pt idx="5">
                  <c:v>Образование</c:v>
                </c:pt>
                <c:pt idx="6">
                  <c:v>Культура</c:v>
                </c:pt>
                <c:pt idx="7">
                  <c:v>Физ.кульутра и спорт</c:v>
                </c:pt>
                <c:pt idx="8">
                  <c:v>Социальная политика</c:v>
                </c:pt>
              </c:strCache>
            </c:strRef>
          </c:cat>
          <c:val>
            <c:numRef>
              <c:f>Sheet1!$B$2:$J$2</c:f>
              <c:numCache>
                <c:formatCode>General</c:formatCode>
                <c:ptCount val="9"/>
                <c:pt idx="0">
                  <c:v>290955.2</c:v>
                </c:pt>
                <c:pt idx="1">
                  <c:v>31919.9</c:v>
                </c:pt>
                <c:pt idx="2">
                  <c:v>262987.7</c:v>
                </c:pt>
                <c:pt idx="3">
                  <c:v>193275.9</c:v>
                </c:pt>
                <c:pt idx="4">
                  <c:v>9034.4</c:v>
                </c:pt>
                <c:pt idx="5">
                  <c:v>1584263</c:v>
                </c:pt>
                <c:pt idx="6">
                  <c:v>132669.29999999999</c:v>
                </c:pt>
                <c:pt idx="7">
                  <c:v>41865.800000000003</c:v>
                </c:pt>
                <c:pt idx="8">
                  <c:v>97368.7</c:v>
                </c:pt>
              </c:numCache>
            </c:numRef>
          </c:val>
        </c:ser>
        <c:dLbls>
          <c:showLegendKey val="0"/>
          <c:showVal val="0"/>
          <c:showCatName val="1"/>
          <c:showSerName val="0"/>
          <c:showPercent val="1"/>
          <c:showBubbleSize val="0"/>
          <c:showLeaderLines val="1"/>
        </c:dLbls>
        <c:gapWidth val="100"/>
        <c:splitType val="pos"/>
        <c:splitPos val="4"/>
        <c:secondPieSize val="75"/>
        <c:serLines>
          <c:spPr>
            <a:ln w="12689">
              <a:solidFill>
                <a:srgbClr val="000000"/>
              </a:solidFill>
              <a:prstDash val="solid"/>
            </a:ln>
          </c:spPr>
        </c:serLines>
      </c:ofPieChart>
      <c:spPr>
        <a:noFill/>
        <a:ln w="25377">
          <a:noFill/>
        </a:ln>
      </c:spPr>
    </c:plotArea>
    <c:plotVisOnly val="1"/>
    <c:dispBlanksAs val="zero"/>
    <c:showDLblsOverMax val="0"/>
  </c:chart>
  <c:spPr>
    <a:noFill/>
    <a:ln>
      <a:noFill/>
    </a:ln>
  </c:spPr>
  <c:txPr>
    <a:bodyPr/>
    <a:lstStyle/>
    <a:p>
      <a:pPr>
        <a:defRPr sz="1649"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0.78514</cdr:x>
      <cdr:y>0.34615</cdr:y>
    </cdr:from>
    <cdr:to>
      <cdr:x>0.94378</cdr:x>
      <cdr:y>0.52137</cdr:y>
    </cdr:to>
    <cdr:sp macro="" textlink="">
      <cdr:nvSpPr>
        <cdr:cNvPr id="5" name="Выноска 2 (без границы) 4"/>
        <cdr:cNvSpPr/>
      </cdr:nvSpPr>
      <cdr:spPr>
        <a:xfrm xmlns:a="http://schemas.openxmlformats.org/drawingml/2006/main">
          <a:off x="4965700" y="1028700"/>
          <a:ext cx="1003300" cy="520700"/>
        </a:xfrm>
        <a:prstGeom xmlns:a="http://schemas.openxmlformats.org/drawingml/2006/main" prst="callout2">
          <a:avLst>
            <a:gd name="adj1" fmla="val 18750"/>
            <a:gd name="adj2" fmla="val -8333"/>
            <a:gd name="adj3" fmla="val 18750"/>
            <a:gd name="adj4" fmla="val -16667"/>
            <a:gd name="adj5" fmla="val 80394"/>
            <a:gd name="adj6" fmla="val -22617"/>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0.80723</cdr:x>
      <cdr:y>0.57692</cdr:y>
    </cdr:from>
    <cdr:to>
      <cdr:x>0.96787</cdr:x>
      <cdr:y>0.73504</cdr:y>
    </cdr:to>
    <cdr:sp macro="" textlink="">
      <cdr:nvSpPr>
        <cdr:cNvPr id="7" name="Выноска 2 (без границы) 6"/>
        <cdr:cNvSpPr/>
      </cdr:nvSpPr>
      <cdr:spPr>
        <a:xfrm xmlns:a="http://schemas.openxmlformats.org/drawingml/2006/main">
          <a:off x="5105400" y="1714500"/>
          <a:ext cx="1016000" cy="469900"/>
        </a:xfrm>
        <a:prstGeom xmlns:a="http://schemas.openxmlformats.org/drawingml/2006/main" prst="callout2">
          <a:avLst>
            <a:gd name="adj1" fmla="val 51182"/>
            <a:gd name="adj2" fmla="val -2083"/>
            <a:gd name="adj3" fmla="val 56588"/>
            <a:gd name="adj4" fmla="val -17917"/>
            <a:gd name="adj5" fmla="val 247635"/>
            <a:gd name="adj6" fmla="val -34167"/>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0.78715</cdr:x>
      <cdr:y>0.80342</cdr:y>
    </cdr:from>
    <cdr:to>
      <cdr:x>0.95582</cdr:x>
      <cdr:y>0.97009</cdr:y>
    </cdr:to>
    <cdr:sp macro="" textlink="">
      <cdr:nvSpPr>
        <cdr:cNvPr id="8" name="Выноска 2 (без границы) 7"/>
        <cdr:cNvSpPr/>
      </cdr:nvSpPr>
      <cdr:spPr>
        <a:xfrm xmlns:a="http://schemas.openxmlformats.org/drawingml/2006/main">
          <a:off x="4978400" y="2387600"/>
          <a:ext cx="1066800" cy="495300"/>
        </a:xfrm>
        <a:prstGeom xmlns:a="http://schemas.openxmlformats.org/drawingml/2006/main" prst="callout2">
          <a:avLst>
            <a:gd name="adj1" fmla="val 53772"/>
            <a:gd name="adj2" fmla="val -1302"/>
            <a:gd name="adj3" fmla="val 64346"/>
            <a:gd name="adj4" fmla="val -11892"/>
            <a:gd name="adj5" fmla="val 111041"/>
            <a:gd name="adj6" fmla="val -23081"/>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0.38653</cdr:x>
      <cdr:y>0.23619</cdr:y>
    </cdr:from>
    <cdr:to>
      <cdr:x>0.59286</cdr:x>
      <cdr:y>0.4643</cdr:y>
    </cdr:to>
    <cdr:sp macro="" textlink="">
      <cdr:nvSpPr>
        <cdr:cNvPr id="2" name="Блок-схема: решение 1"/>
        <cdr:cNvSpPr/>
      </cdr:nvSpPr>
      <cdr:spPr>
        <a:xfrm xmlns:a="http://schemas.openxmlformats.org/drawingml/2006/main">
          <a:off x="2454466" y="617931"/>
          <a:ext cx="1310195" cy="596782"/>
        </a:xfrm>
        <a:prstGeom xmlns:a="http://schemas.openxmlformats.org/drawingml/2006/main" prst="flowChartDecision">
          <a:avLst/>
        </a:prstGeom>
        <a:solidFill xmlns:a="http://schemas.openxmlformats.org/drawingml/2006/main">
          <a:srgbClr val="FFC000"/>
        </a:solidFill>
        <a:ln xmlns:a="http://schemas.openxmlformats.org/drawingml/2006/main">
          <a:solidFill>
            <a:srgbClr val="FFC000"/>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rgbClr val="FF0000"/>
              </a:solidFill>
            </a:rPr>
            <a:t>95,5%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5DFE-E892-411E-AD64-7F9663FE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Администрация г.Мегион</Company>
  <LinksUpToDate>false</LinksUpToDate>
  <CharactersWithSpaces>62529</CharactersWithSpaces>
  <SharedDoc>false</SharedDoc>
  <HLinks>
    <vt:vector size="6" baseType="variant">
      <vt:variant>
        <vt:i4>1572947</vt:i4>
      </vt:variant>
      <vt:variant>
        <vt:i4>42</vt:i4>
      </vt:variant>
      <vt:variant>
        <vt:i4>0</vt:i4>
      </vt:variant>
      <vt:variant>
        <vt:i4>5</vt:i4>
      </vt:variant>
      <vt:variant>
        <vt:lpwstr>http://admmegion.ru/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Пользователь</dc:creator>
  <cp:lastModifiedBy>Еградова Анастасия Александровна</cp:lastModifiedBy>
  <cp:revision>3</cp:revision>
  <cp:lastPrinted>2016-10-25T07:06:00Z</cp:lastPrinted>
  <dcterms:created xsi:type="dcterms:W3CDTF">2017-09-04T11:46:00Z</dcterms:created>
  <dcterms:modified xsi:type="dcterms:W3CDTF">2017-09-04T11:46:00Z</dcterms:modified>
</cp:coreProperties>
</file>