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A8" w:rsidRPr="00935DC7" w:rsidRDefault="00CF3EA8" w:rsidP="00CF3E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ПОСТАНОВЛЕНИЕ </w:t>
      </w:r>
    </w:p>
    <w:p w:rsidR="00CF3EA8" w:rsidRPr="00935DC7" w:rsidRDefault="00CF3EA8" w:rsidP="00CF3E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АДМИНИСТРАЦИИ ГОРОДА</w:t>
      </w:r>
    </w:p>
    <w:p w:rsidR="00CF3EA8" w:rsidRPr="00935DC7" w:rsidRDefault="00CF3EA8" w:rsidP="00CF3EA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F3EA8" w:rsidRPr="00935DC7" w:rsidRDefault="00CF3EA8" w:rsidP="00CF3EA8">
      <w:pPr>
        <w:spacing w:before="300" w:after="20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>от 27.12.2018                                                                                                                                       №2910</w:t>
      </w:r>
    </w:p>
    <w:p w:rsidR="00CF3EA8" w:rsidRPr="00935DC7" w:rsidRDefault="00CF3EA8" w:rsidP="00CF3EA8">
      <w:pPr>
        <w:spacing w:before="300" w:after="20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F3EA8" w:rsidRPr="00935DC7" w:rsidRDefault="00CF3EA8" w:rsidP="00CF3EA8">
      <w:pPr>
        <w:spacing w:before="300" w:after="20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>с изменениями от 12.07.2019</w:t>
      </w:r>
      <w:r w:rsidR="00776758"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№1417</w:t>
      </w:r>
      <w:r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>; 24.04.2020</w:t>
      </w:r>
      <w:r w:rsidR="00776758"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№818</w:t>
      </w:r>
      <w:r w:rsidR="004047ED"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от 01.10.2020 </w:t>
      </w:r>
      <w:r w:rsidR="002906C0"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>№1847</w:t>
      </w:r>
      <w:r w:rsidR="00216930" w:rsidRPr="00935DC7">
        <w:rPr>
          <w:rFonts w:ascii="Times New Roman" w:eastAsia="Times New Roman" w:hAnsi="Times New Roman" w:cs="Times New Roman"/>
          <w:color w:val="000000" w:themeColor="text1"/>
          <w:lang w:eastAsia="ru-RU"/>
        </w:rPr>
        <w:t>, от 18.02.2021 №372</w:t>
      </w:r>
    </w:p>
    <w:p w:rsidR="00CF3EA8" w:rsidRPr="00935DC7" w:rsidRDefault="00CF3EA8" w:rsidP="00CF3EA8">
      <w:pPr>
        <w:spacing w:after="200" w:line="276" w:lineRule="auto"/>
        <w:rPr>
          <w:rFonts w:ascii="Calibri" w:eastAsia="Calibri" w:hAnsi="Calibri" w:cs="Times New Roman"/>
          <w:color w:val="000000" w:themeColor="text1"/>
          <w:lang w:eastAsia="ru-RU"/>
        </w:rPr>
      </w:pPr>
    </w:p>
    <w:p w:rsidR="00CF3EA8" w:rsidRPr="00935DC7" w:rsidRDefault="00CF3EA8" w:rsidP="00CF3EA8">
      <w:pPr>
        <w:spacing w:before="300" w:after="20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F3EA8" w:rsidRPr="00935DC7" w:rsidRDefault="00CF3EA8" w:rsidP="00CF3EA8">
      <w:pPr>
        <w:spacing w:before="300" w:after="20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4"/>
        <w:tblW w:w="622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</w:tblGrid>
      <w:tr w:rsidR="003C42CE" w:rsidRPr="00935DC7" w:rsidTr="003C42CE">
        <w:trPr>
          <w:trHeight w:val="1360"/>
        </w:trPr>
        <w:tc>
          <w:tcPr>
            <w:tcW w:w="6228" w:type="dxa"/>
          </w:tcPr>
          <w:p w:rsidR="003C42CE" w:rsidRPr="00935DC7" w:rsidRDefault="003C42CE" w:rsidP="000E71BB">
            <w:pPr>
              <w:autoSpaceDE w:val="0"/>
              <w:autoSpaceDN w:val="0"/>
              <w:adjustRightInd w:val="0"/>
              <w:ind w:left="85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города от 27.12.2018 </w:t>
            </w:r>
          </w:p>
          <w:p w:rsidR="003C42CE" w:rsidRPr="00935DC7" w:rsidRDefault="003C42CE" w:rsidP="000E71BB">
            <w:pPr>
              <w:autoSpaceDE w:val="0"/>
              <w:autoSpaceDN w:val="0"/>
              <w:adjustRightInd w:val="0"/>
              <w:ind w:left="85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№2910 «Об утверждении муниципальной программы «Развитие жилищно-</w:t>
            </w:r>
          </w:p>
          <w:p w:rsidR="003C42CE" w:rsidRPr="00935DC7" w:rsidRDefault="003C42CE" w:rsidP="000E71BB">
            <w:pPr>
              <w:autoSpaceDE w:val="0"/>
              <w:autoSpaceDN w:val="0"/>
              <w:adjustRightInd w:val="0"/>
              <w:ind w:left="85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коммунального комплекса и повышение энергетической эффективности в городском округе город  </w:t>
            </w:r>
            <w:proofErr w:type="spellStart"/>
            <w:r w:rsidRPr="00935D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Мегион</w:t>
            </w:r>
            <w:proofErr w:type="spellEnd"/>
            <w:r w:rsidRPr="00935D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2019 – 2025 годы»</w:t>
            </w:r>
          </w:p>
        </w:tc>
      </w:tr>
    </w:tbl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2CE" w:rsidRPr="00935DC7" w:rsidRDefault="003C42CE" w:rsidP="003C42C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целях обеспечения отражения </w:t>
      </w:r>
      <w:r w:rsidRPr="00935DC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результата реализации, достижения целей исполнения мероприятия «Предоставление грантов в форме субсидии победителям конкурса поддержки местных инициатив» (в рамках инициативного бюджетирования) и в соответствии с требованиями раздела 2 «Механизм реализации мероприятий муниципальной программы» Модельной программы городского округа город </w:t>
      </w:r>
      <w:proofErr w:type="spellStart"/>
      <w:r w:rsidRPr="00935DC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Мегион</w:t>
      </w:r>
      <w:proofErr w:type="spellEnd"/>
      <w:r w:rsidRPr="00935DC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, утвержденной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 </w:t>
      </w:r>
      <w:proofErr w:type="spellStart"/>
      <w:r w:rsidRPr="00935DC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Мегион</w:t>
      </w:r>
      <w:proofErr w:type="spellEnd"/>
      <w:r w:rsidRPr="00935DC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»:</w:t>
      </w: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1.Внести в постановление администрации города от 27.12.2018 №2910 «Об утверждении муниципальной программы «Развитие жилищно-коммунального комплекса и повышение энергетической эффективности в городе </w:t>
      </w:r>
      <w:proofErr w:type="spell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Мегионе</w:t>
      </w:r>
      <w:proofErr w:type="spell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2019 – 2025 годы» следующие изменения:</w:t>
      </w: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proofErr w:type="gram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1.Заголовок</w:t>
      </w:r>
      <w:proofErr w:type="gram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постановления изложить в новой редакции: «О внесении изменений в постановление администрации города от 27.12.2018 №2910 «Об утверждении муниципальной программы «Развитие жилищно-коммунального комплекса и повышение энергетической эффективности в городе </w:t>
      </w:r>
      <w:proofErr w:type="spell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Мегионе</w:t>
      </w:r>
      <w:proofErr w:type="spell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2019-2025 годы».</w:t>
      </w: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proofErr w:type="gram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2.По</w:t>
      </w:r>
      <w:proofErr w:type="gram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всему тексту постановления  и в приложениях к постановлению слова «городской округ город </w:t>
      </w:r>
      <w:proofErr w:type="spell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Мегион</w:t>
      </w:r>
      <w:proofErr w:type="spell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 соответствующих падежах заменить на слова «город </w:t>
      </w:r>
      <w:proofErr w:type="spell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Мегион</w:t>
      </w:r>
      <w:proofErr w:type="spell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соответствующих падежах.</w:t>
      </w: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proofErr w:type="gram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3.Паспорт</w:t>
      </w:r>
      <w:proofErr w:type="gram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программы изложить в новой редакции, согласно приложению 1 к настоящему постановлению.</w:t>
      </w: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proofErr w:type="gram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4.Раздел</w:t>
      </w:r>
      <w:proofErr w:type="gram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«Механизм реализации муниципальной программы» изложить в новой редакции, согласно приложению 2 к настоящему постановлению.</w:t>
      </w:r>
    </w:p>
    <w:p w:rsidR="003C42CE" w:rsidRPr="00935DC7" w:rsidRDefault="003C42CE" w:rsidP="003C42C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1.5. Таблицу 1 «Целевые показатели муниципальной программы» </w:t>
      </w: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в новой редакции, согласно приложению 3 к настоящему постановлению.</w:t>
      </w:r>
    </w:p>
    <w:p w:rsidR="003C42CE" w:rsidRPr="00935DC7" w:rsidRDefault="003C42CE" w:rsidP="003C42C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1.</w:t>
      </w:r>
      <w:proofErr w:type="gramStart"/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6.Таблицу</w:t>
      </w:r>
      <w:proofErr w:type="gramEnd"/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4 «</w:t>
      </w: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показателями»  изложить  в новой редакции, согласно приложению 4 к настоящему постановлению.</w:t>
      </w:r>
    </w:p>
    <w:p w:rsidR="003C42CE" w:rsidRPr="00935DC7" w:rsidRDefault="003C42CE" w:rsidP="003C42CE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2.Управлению информационной политики администрации города опубликовать постановление в газете «</w:t>
      </w:r>
      <w:proofErr w:type="spellStart"/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Мегионские</w:t>
      </w:r>
      <w:proofErr w:type="spellEnd"/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3C42CE" w:rsidRPr="00935DC7" w:rsidRDefault="003C42CE" w:rsidP="003C42CE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3.Настоящее постановление вступает в силу после его официального опубликования. </w:t>
      </w:r>
    </w:p>
    <w:p w:rsidR="003C42CE" w:rsidRPr="00935DC7" w:rsidRDefault="003C42CE" w:rsidP="003C42CE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4.Контроль </w:t>
      </w:r>
      <w:proofErr w:type="gramStart"/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  выполнением</w:t>
      </w:r>
      <w:proofErr w:type="gramEnd"/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постановления возложить на заместителя главы города.</w:t>
      </w:r>
    </w:p>
    <w:p w:rsidR="003C42CE" w:rsidRPr="00935DC7" w:rsidRDefault="003C42CE" w:rsidP="003C42C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3C42CE" w:rsidRPr="00935DC7" w:rsidRDefault="003C42CE" w:rsidP="003C42C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3C42CE">
      <w:pPr>
        <w:spacing w:after="0" w:line="240" w:lineRule="auto"/>
        <w:ind w:left="-142" w:right="1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4109D" w:rsidRPr="00935DC7" w:rsidRDefault="0094109D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4109D" w:rsidRPr="00935DC7" w:rsidRDefault="0094109D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C42CE" w:rsidRPr="00935DC7" w:rsidRDefault="003C42CE" w:rsidP="00CF3EA8">
      <w:pPr>
        <w:spacing w:after="0" w:line="240" w:lineRule="auto"/>
        <w:ind w:left="4961" w:right="1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4109D" w:rsidRPr="00935DC7" w:rsidRDefault="00301435" w:rsidP="00CF3EA8">
      <w:pPr>
        <w:spacing w:after="0" w:line="240" w:lineRule="auto"/>
        <w:ind w:left="4961" w:right="1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935DC7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 1</w:t>
      </w:r>
      <w:proofErr w:type="gramEnd"/>
      <w:r w:rsidRPr="00935DC7">
        <w:rPr>
          <w:rFonts w:ascii="Times New Roman" w:eastAsia="Calibri" w:hAnsi="Times New Roman" w:cs="Times New Roman"/>
          <w:color w:val="000000" w:themeColor="text1"/>
        </w:rPr>
        <w:t xml:space="preserve"> к </w:t>
      </w:r>
      <w:r w:rsidR="00CF3EA8" w:rsidRPr="00935DC7">
        <w:rPr>
          <w:rFonts w:ascii="Times New Roman" w:eastAsia="Calibri" w:hAnsi="Times New Roman" w:cs="Times New Roman"/>
          <w:color w:val="000000" w:themeColor="text1"/>
        </w:rPr>
        <w:t xml:space="preserve">  постановлению  администрации города   </w:t>
      </w:r>
    </w:p>
    <w:p w:rsidR="00CF3EA8" w:rsidRPr="00935DC7" w:rsidRDefault="0094109D" w:rsidP="00CF3EA8">
      <w:pPr>
        <w:spacing w:after="0" w:line="240" w:lineRule="auto"/>
        <w:ind w:left="4961" w:right="1"/>
        <w:rPr>
          <w:rFonts w:ascii="Times New Roman" w:eastAsia="Calibri" w:hAnsi="Times New Roman" w:cs="Times New Roman"/>
          <w:color w:val="000000" w:themeColor="text1"/>
        </w:rPr>
      </w:pPr>
      <w:r w:rsidRPr="00935DC7">
        <w:rPr>
          <w:rFonts w:ascii="Times New Roman" w:eastAsia="Calibri" w:hAnsi="Times New Roman" w:cs="Times New Roman"/>
          <w:color w:val="000000" w:themeColor="text1"/>
        </w:rPr>
        <w:t>от 27.12.2018 №2910</w:t>
      </w:r>
      <w:r w:rsidR="00CF3EA8" w:rsidRPr="00935DC7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</w:t>
      </w:r>
      <w:r w:rsidRPr="00935DC7">
        <w:rPr>
          <w:rFonts w:ascii="Times New Roman" w:eastAsia="Calibri" w:hAnsi="Times New Roman" w:cs="Times New Roman"/>
          <w:color w:val="000000" w:themeColor="text1"/>
        </w:rPr>
        <w:t xml:space="preserve">                           </w:t>
      </w:r>
    </w:p>
    <w:p w:rsidR="00CF3EA8" w:rsidRPr="00935DC7" w:rsidRDefault="00CF3EA8" w:rsidP="00CF3EA8">
      <w:pPr>
        <w:spacing w:after="0" w:line="240" w:lineRule="auto"/>
        <w:ind w:left="4962" w:right="1" w:hanging="1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935DC7">
        <w:rPr>
          <w:rFonts w:ascii="Times New Roman" w:eastAsia="Calibri" w:hAnsi="Times New Roman" w:cs="Times New Roman"/>
          <w:color w:val="000000" w:themeColor="text1"/>
        </w:rPr>
        <w:t>Паспорт муниципальной программы</w:t>
      </w:r>
    </w:p>
    <w:p w:rsidR="004047ED" w:rsidRPr="00935DC7" w:rsidRDefault="004047ED" w:rsidP="00CF3E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935DC7">
        <w:rPr>
          <w:rFonts w:ascii="Times New Roman" w:eastAsia="Calibri" w:hAnsi="Times New Roman" w:cs="Times New Roman"/>
          <w:color w:val="000000" w:themeColor="text1"/>
        </w:rPr>
        <w:t>(далее-муниципальная программа)</w:t>
      </w:r>
    </w:p>
    <w:p w:rsidR="00CF3EA8" w:rsidRPr="00935DC7" w:rsidRDefault="00CF3EA8" w:rsidP="00CF3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8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7154"/>
      </w:tblGrid>
      <w:tr w:rsidR="00CF3EA8" w:rsidRPr="00935DC7" w:rsidTr="006B6155">
        <w:trPr>
          <w:trHeight w:val="505"/>
        </w:trPr>
        <w:tc>
          <w:tcPr>
            <w:tcW w:w="2666" w:type="dxa"/>
          </w:tcPr>
          <w:p w:rsidR="00CF3EA8" w:rsidRPr="00935DC7" w:rsidRDefault="00CF3EA8" w:rsidP="00CF3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Наименование 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муниципальной  программы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«Развитие жилищно-коммунального комплекса и повышение энергетической эффективности в 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е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е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на 2019 – 2025 годы»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i/>
                <w:color w:val="000000" w:themeColor="text1"/>
                <w:lang w:eastAsia="ko-KR"/>
              </w:rPr>
            </w:pPr>
          </w:p>
        </w:tc>
      </w:tr>
      <w:tr w:rsidR="00CF3EA8" w:rsidRPr="00935DC7" w:rsidTr="006B6155">
        <w:trPr>
          <w:trHeight w:val="1174"/>
        </w:trPr>
        <w:tc>
          <w:tcPr>
            <w:tcW w:w="2666" w:type="dxa"/>
          </w:tcPr>
          <w:p w:rsidR="00CF3EA8" w:rsidRPr="00935DC7" w:rsidRDefault="00CF3EA8" w:rsidP="00CF3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ind w:left="30" w:hanging="1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Постановление администрации города от 27.12.2018 №2910</w:t>
            </w:r>
          </w:p>
        </w:tc>
      </w:tr>
      <w:tr w:rsidR="00CF3EA8" w:rsidRPr="00935DC7" w:rsidTr="006B6155">
        <w:trPr>
          <w:trHeight w:val="495"/>
        </w:trPr>
        <w:tc>
          <w:tcPr>
            <w:tcW w:w="2666" w:type="dxa"/>
          </w:tcPr>
          <w:p w:rsidR="00CF3EA8" w:rsidRPr="00935DC7" w:rsidRDefault="00CF3EA8" w:rsidP="00CF3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Координатор муниципальной программы</w:t>
            </w:r>
          </w:p>
        </w:tc>
        <w:tc>
          <w:tcPr>
            <w:tcW w:w="7154" w:type="dxa"/>
          </w:tcPr>
          <w:p w:rsidR="00CF3EA8" w:rsidRPr="00935DC7" w:rsidRDefault="00E23372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Муниципальное казенное учреждение «</w:t>
            </w:r>
            <w:r w:rsidR="00351E76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Капитальное строительство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</w:t>
            </w:r>
          </w:p>
          <w:p w:rsidR="00CF3EA8" w:rsidRPr="00935DC7" w:rsidRDefault="00CF3EA8" w:rsidP="00CF3EA8">
            <w:pPr>
              <w:spacing w:after="0" w:line="240" w:lineRule="auto"/>
              <w:ind w:left="30" w:hanging="1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F3EA8" w:rsidRPr="00935DC7" w:rsidTr="006B6155">
        <w:trPr>
          <w:trHeight w:val="1012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Исполнители муниципальной программы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</w:p>
        </w:tc>
        <w:tc>
          <w:tcPr>
            <w:tcW w:w="7154" w:type="dxa"/>
          </w:tcPr>
          <w:p w:rsidR="00597295" w:rsidRPr="00935DC7" w:rsidRDefault="00597295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Муниципальное казенное учреждение «</w:t>
            </w:r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Управление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жилищно-коммунального хозяйства»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Муниципальное казенное учреждение «Капитальное строительство»</w:t>
            </w:r>
          </w:p>
          <w:p w:rsidR="0099087A" w:rsidRPr="00935DC7" w:rsidRDefault="0099087A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Администрация города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Департамент экономического развития и инвестиций администрации города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Муниципальные бюджетные учреждения </w:t>
            </w:r>
          </w:p>
        </w:tc>
      </w:tr>
      <w:tr w:rsidR="00CF3EA8" w:rsidRPr="00935DC7" w:rsidTr="006B6155">
        <w:trPr>
          <w:trHeight w:val="829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Цели муниципальной программы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Развитие жилищно-коммунального комплекса и повышение энергетической эффективности;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Создание условий для комфортного проживания граждан;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CF3EA8" w:rsidRPr="00935DC7" w:rsidTr="006B6155">
        <w:trPr>
          <w:trHeight w:val="2185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Задачи муниципальной программы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1.Улучше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ние санитарного состояния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2.Установление единого порядка содержания объектов внешнего благоустройства на территории 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а </w:t>
            </w:r>
            <w:proofErr w:type="spellStart"/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Мегиона</w:t>
            </w:r>
            <w:proofErr w:type="spellEnd"/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3.Модернизация систем коммунальной инфраструктуры на основе использования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энергоэффективных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экологически чистых технологий.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4.Строительство объектов коммунального комплекса </w:t>
            </w:r>
            <w:r w:rsidR="0099087A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</w:t>
            </w:r>
            <w:r w:rsidR="0099087A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Мегион</w:t>
            </w:r>
            <w:r w:rsidR="0099087A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5.Субсидии организациям город</w:t>
            </w:r>
            <w:r w:rsidR="009D6251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Мегион</w:t>
            </w:r>
            <w:r w:rsidR="009D6251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6.Энергосбережение в бюджетной сфере.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7.Энергосбережение в жилищной сфере.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9.Повышение эффективности управления и содержания общего имущества многоквартирных домов. </w:t>
            </w:r>
          </w:p>
        </w:tc>
      </w:tr>
      <w:tr w:rsidR="00CF3EA8" w:rsidRPr="00935DC7" w:rsidTr="006B6155">
        <w:trPr>
          <w:trHeight w:val="2185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Подпрограммы и основные мероприятия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Подпрограмма 1 «Содержание объектов внешнего благоустройства 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Основное мероприятие: «Обеспечение стабильной благополучной эпизоотической обстановки 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в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е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е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и защита населения от болезней, общих для человека и животных»;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Основное мероприятие: «Обеспечение единого порядка содержания объектов внешнего благоустройства»;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Основное мероприятие: «Строительство городского кладбища».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Подпрограмма 2 «Модернизация и реформирование жилищно-коммунального комплекса 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Основное мероприятие: Реконструкция, расширение, модернизация, строительство и капитальный ремонт объектов коммунального комплекса.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lastRenderedPageBreak/>
              <w:t>Основное мероприятие: Субсидии на возмещение недополученных доходов организациям, осуществляющим вывоз жидких бытовых отходов.</w:t>
            </w:r>
          </w:p>
          <w:p w:rsidR="00602B01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Основное мероприятие: Предоставление субвенции на возмещение недополученных доходов организациям, осуществляющим </w:t>
            </w:r>
            <w:r w:rsidR="00602B01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реализацию сжиженного газа населению по социально ориентированным ценам розничным ценам и предоставление субсидии на </w:t>
            </w:r>
            <w:proofErr w:type="gramStart"/>
            <w:r w:rsidR="00602B01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возмещение  расходов</w:t>
            </w:r>
            <w:proofErr w:type="gramEnd"/>
            <w:r w:rsidR="00602B01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организации за доставку населению сжиженного газа для бытовых нужд</w:t>
            </w:r>
          </w:p>
          <w:p w:rsidR="00602B01" w:rsidRPr="00935DC7" w:rsidRDefault="00602B01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Основное мероприятие: Предоставление субсидии из бюджета города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на финансовое обеспечение затрат юридическим лицам (за исключением муниципальных учреждений)</w:t>
            </w:r>
          </w:p>
          <w:p w:rsidR="00CF3EA8" w:rsidRPr="00935DC7" w:rsidRDefault="00602B01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«Энергосбережение и повышение энергетической эффективности и </w:t>
            </w:r>
            <w:proofErr w:type="spellStart"/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энергобезопасности</w:t>
            </w:r>
            <w:proofErr w:type="spellEnd"/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муниципального образования город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="00CF3EA8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Основное мероприятие: Энергосбережение в бюджетной сфере.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Подпрограмма 4 «Капитальный ремонт, реконструкция и ремонт муниципального жилищного фонда город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4047ED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Основное мероприятие: Капитальный ремонт, реконструкция и ремонт муниципального жилого фонда.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Подпрограмма 5 «Содействие проведению капитального ремонта многоквартирных домов на территории город</w:t>
            </w:r>
            <w:r w:rsidR="00301435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301435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»;</w:t>
            </w:r>
          </w:p>
          <w:p w:rsidR="00CF3EA8" w:rsidRPr="00935DC7" w:rsidRDefault="00CF3EA8" w:rsidP="0030143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Основное мероприятие: Муниципальная поддержка проведения капитального ремонта общего имущества в многоквартирных дома</w:t>
            </w:r>
            <w:r w:rsidR="00301435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х, расположенных на территории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город</w:t>
            </w:r>
            <w:r w:rsidR="00301435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</w:t>
            </w:r>
            <w:proofErr w:type="spell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Мегион</w:t>
            </w:r>
            <w:r w:rsidR="00301435"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</w:t>
            </w:r>
            <w:proofErr w:type="spell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.</w:t>
            </w:r>
          </w:p>
        </w:tc>
      </w:tr>
      <w:tr w:rsidR="00CF3EA8" w:rsidRPr="00935DC7" w:rsidTr="006B6155">
        <w:trPr>
          <w:trHeight w:val="95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lastRenderedPageBreak/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«Экология»</w:t>
            </w:r>
          </w:p>
        </w:tc>
      </w:tr>
      <w:tr w:rsidR="00CF3EA8" w:rsidRPr="00935DC7" w:rsidTr="006B6155">
        <w:trPr>
          <w:trHeight w:val="5212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1.Ежегодное количество отловленных безнадзорных и бродячих животных – 70 шт.;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2.Площадь, на которых проведены мероприятия по дератизации и дезинсекции – 176,2 га;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3.Ежегодное количество снесенного непригодного для проживания жилья – 105 шт.;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4.Площадь обслуживаемых магистральных и луговых </w:t>
            </w:r>
            <w:proofErr w:type="gram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газонов  -</w:t>
            </w:r>
            <w:proofErr w:type="gram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212,6 тыс.м²;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5.Количество обслуживаемых детских игровых площадок – 63 шт.;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6. Объем потребления электроэнергии на уличное освещение – 2 465,4 </w:t>
            </w:r>
            <w:proofErr w:type="spellStart"/>
            <w:proofErr w:type="gram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т.кВт</w:t>
            </w:r>
            <w:proofErr w:type="spellEnd"/>
            <w:proofErr w:type="gram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/ч;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7.Протяженность обслуживаемы</w:t>
            </w:r>
            <w:r w:rsidR="009D6251"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х сетей уличного освещения -  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61 км;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8.Количество обслуживаемых кладбищ – 3 шт.;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9.Общая площадь территории вновь построенного кладбища – 0 м²;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10.Проведенные </w:t>
            </w:r>
            <w:proofErr w:type="spell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противопаводковые</w:t>
            </w:r>
            <w:proofErr w:type="spell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мероприятия - 650 </w:t>
            </w:r>
            <w:proofErr w:type="spellStart"/>
            <w:proofErr w:type="gram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маш</w:t>
            </w:r>
            <w:proofErr w:type="spell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./</w:t>
            </w:r>
            <w:proofErr w:type="gram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час;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11.Количество объектов, подготовленных к новогодним мероприятиям – 3 шт.;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12.Количество площадей и скверов, на которых выполняются работы по содержанию и </w:t>
            </w:r>
            <w:proofErr w:type="gram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ремонту  –</w:t>
            </w:r>
            <w:proofErr w:type="gram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3 шт.;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13.</w:t>
            </w:r>
            <w:r w:rsidR="009D7FCC" w:rsidRPr="00935DC7">
              <w:rPr>
                <w:rFonts w:ascii="Times New Roman" w:eastAsia="Calibri" w:hAnsi="Times New Roman" w:cs="Times New Roman"/>
                <w:color w:val="000000" w:themeColor="text1"/>
              </w:rPr>
              <w:t>Количество грантов в форме субсидии, предоставленных победителям конкурса</w:t>
            </w:r>
            <w:r w:rsidR="007A11CB"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поддержки местных инициатив в рамках инициативного бюджетирования – </w:t>
            </w:r>
            <w:r w:rsidR="00B954B1" w:rsidRPr="00935DC7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9D6251"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единиц</w:t>
            </w:r>
            <w:r w:rsidR="00B954B1" w:rsidRPr="00935DC7"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="007A11CB" w:rsidRPr="00935DC7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14.Протяженность замененных ветхих сетей теплоснабжения, водоснабжения и водоотведения – 5,45 км;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15.Количество обслуживаемых пожарных гидрантов - 157 шт.;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16.Протяженность построенных сетей газоснабжения для газификации объектов социального назначения </w:t>
            </w:r>
            <w:r w:rsidR="00D705B4" w:rsidRPr="00935DC7">
              <w:rPr>
                <w:rFonts w:ascii="Times New Roman" w:eastAsia="Calibri" w:hAnsi="Times New Roman" w:cs="Times New Roman"/>
                <w:color w:val="000000" w:themeColor="text1"/>
              </w:rPr>
              <w:t>города Мегиона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-1 025 м;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17.Объем вывезенных жидких бытовых отходов – 83 452 м³;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18.Ежегодное обеспечение сжиженным газом населения в границах город</w:t>
            </w:r>
            <w:r w:rsidR="00D705B4" w:rsidRPr="00935DC7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Мегион</w:t>
            </w:r>
            <w:r w:rsidR="00D705B4" w:rsidRPr="00935DC7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proofErr w:type="spell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- 7 т/год;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D705B4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19.Количество установленных приборов </w:t>
            </w:r>
            <w:r w:rsidR="00D705B4" w:rsidRPr="00935DC7">
              <w:rPr>
                <w:rFonts w:ascii="Times New Roman" w:eastAsia="Calibri" w:hAnsi="Times New Roman" w:cs="Times New Roman"/>
                <w:color w:val="000000" w:themeColor="text1"/>
              </w:rPr>
              <w:t>учета энергоресурсов – 147 шт.;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20.Доля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– 99,9%;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21.Доля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– 65%;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22.Доля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 – 78%;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23.Доля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 – 75%;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24.Доля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– 100%;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25.Удельный расход электрической энергии на снабжение органов местного самоуправления и муниципальных учреждений (в расчете на 1 кв. метр общей площади) –51,11 Квт/час на м2;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26.Удельный расход тепловой энергии на снабжение органов местного самоуправления и муниципальных учреждений (в расчете на 1 кв. метр общей площади) – 0,167 Гкал/м2;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27.Удельный расход холодной воды на снабжение органов местного самоуправления и муниципальных учреждений (в расчете на 1 человека) – 1,73 м3 </w:t>
            </w:r>
            <w:proofErr w:type="gram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на  1</w:t>
            </w:r>
            <w:proofErr w:type="gram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чел.;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28.Удельный расход горячей воды на снабжение органов местного самоуправления и муниципальных учреждений (в расчете на 1 человека) – 0,20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м3 </w:t>
            </w:r>
            <w:proofErr w:type="gram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на  1</w:t>
            </w:r>
            <w:proofErr w:type="gram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чел.;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29.Удельный расход природного газа на снабжение органов местного самоуправления и муниципальных учреждений (в расчете на 1 человека) – 0 м3 </w:t>
            </w:r>
            <w:proofErr w:type="gram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на  1</w:t>
            </w:r>
            <w:proofErr w:type="gram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чел.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30.Доля светодиодных источников света в общем количестве источников </w:t>
            </w:r>
            <w:proofErr w:type="gram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света  в</w:t>
            </w:r>
            <w:proofErr w:type="gram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зданиях (помещениях), где размещаются органы местного самоуправления и муниципальные учреждения – 95%;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31.Удельный расход тепловой энергии в многоквартирных домах (в расчете на 1 кв. метр общей площади) – 0,20 Гкал/м2;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32.Удельный расход холодной воды в многоквартирных домах (в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расчете на 1 жителя) – 32,60 м3 </w:t>
            </w:r>
            <w:proofErr w:type="gram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на  1</w:t>
            </w:r>
            <w:proofErr w:type="gram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чел.;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33.Удельный расход горячей воды в многоквартирных домах (в расчете на 1 жителя) – 15,85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м3 </w:t>
            </w:r>
            <w:proofErr w:type="gramStart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на  1</w:t>
            </w:r>
            <w:proofErr w:type="gramEnd"/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чел.;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34.Удельный расход электрической энергии в многоквартирных домах (в расчете на 1 кв. метр общей площади) – 40,87 Квт/час на м2;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35.Удельный расход природного газа в многоквартирных домах с индивидуальными системами газового отопления (в расчете на 1 кв. метр общей площади) – 173 м3/м2;</w:t>
            </w:r>
          </w:p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36.Площадь муниципального жилищного фонда, в котором проведен капитальный ремонт или реконструкция – 1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 274 м²;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37.Доля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- 100 %.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</w:tr>
      <w:tr w:rsidR="00CF3EA8" w:rsidRPr="00935DC7" w:rsidTr="006B6155">
        <w:trPr>
          <w:trHeight w:val="495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highlight w:val="yellow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На 2019-2025 годы</w:t>
            </w:r>
          </w:p>
        </w:tc>
      </w:tr>
      <w:tr w:rsidR="00CF3EA8" w:rsidRPr="00935DC7" w:rsidTr="006B6155">
        <w:trPr>
          <w:trHeight w:val="1507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Параметры финансового обеспечения муниципальной программы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Общий объём финансирования муниципальной программы на 2019-2025 годы составит</w:t>
            </w:r>
            <w:r w:rsidR="009D6251"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:</w:t>
            </w:r>
            <w:r w:rsidR="00950165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460802,2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тыс. рублей, в том числе: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2019 год – </w:t>
            </w:r>
            <w:r w:rsidR="00582FFE"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101275,7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2020 год – </w:t>
            </w:r>
            <w:r w:rsidR="00950165">
              <w:rPr>
                <w:rFonts w:ascii="Times New Roman" w:eastAsia="Calibri" w:hAnsi="Times New Roman" w:cs="Times New Roman"/>
                <w:color w:val="000000" w:themeColor="text1"/>
              </w:rPr>
              <w:t>121621,7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2021 год – </w:t>
            </w:r>
            <w:r w:rsidR="00950165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45469,3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2022 год – </w:t>
            </w:r>
            <w:r w:rsidR="00950165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47989,1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2023 год – </w:t>
            </w:r>
            <w:r w:rsidR="00582FFE"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48148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,8 тыс. рублей;</w:t>
            </w:r>
          </w:p>
          <w:p w:rsidR="00CF3EA8" w:rsidRPr="00935DC7" w:rsidRDefault="00CF3EA8" w:rsidP="00CF3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2024 год – </w:t>
            </w:r>
            <w:r w:rsidR="00582FFE"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48148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,8 тыс. рублей;</w:t>
            </w:r>
          </w:p>
          <w:p w:rsidR="00CF3EA8" w:rsidRDefault="00CF3EA8" w:rsidP="00582FF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2025 год – </w:t>
            </w:r>
            <w:r w:rsidR="00582FFE"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 xml:space="preserve">48148,8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ru-RU"/>
              </w:rPr>
              <w:t>тыс. рублей.</w:t>
            </w:r>
          </w:p>
          <w:p w:rsidR="00950165" w:rsidRPr="00935DC7" w:rsidRDefault="00950165" w:rsidP="0058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F3EA8" w:rsidRPr="00935DC7" w:rsidTr="006B6155">
        <w:trPr>
          <w:trHeight w:val="1679"/>
        </w:trPr>
        <w:tc>
          <w:tcPr>
            <w:tcW w:w="2666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программы </w:t>
            </w:r>
          </w:p>
        </w:tc>
        <w:tc>
          <w:tcPr>
            <w:tcW w:w="7154" w:type="dxa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объем финансового обеспечения портфеля проекта на 2019-2024 годы составит 0 руб.</w:t>
            </w:r>
          </w:p>
        </w:tc>
      </w:tr>
    </w:tbl>
    <w:p w:rsidR="00CF3EA8" w:rsidRPr="00935DC7" w:rsidRDefault="00CF3EA8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sub_1001"/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" w:name="_GoBack"/>
      <w:bookmarkEnd w:id="1"/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2600" w:rsidRPr="00935DC7" w:rsidRDefault="008F2600" w:rsidP="00CF3EA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bookmarkEnd w:id="0"/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1.Раздел 1.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территории»:</w:t>
      </w:r>
    </w:p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«1.</w:t>
      </w:r>
      <w:proofErr w:type="gramStart"/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1.Формирование</w:t>
      </w:r>
      <w:proofErr w:type="gramEnd"/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Муниципальной программой предполагается реализация инвестиционных проектов </w:t>
      </w:r>
      <w:r w:rsidRPr="00935DC7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о заключении концессионного соглашения в отношении объектов теплоснабжения, централизованных систем горячего водоснабжения, холодного водоснабжения и водоотведения, отдельных объектов таких систем, с приложением проекта концессионного соглашения в </w:t>
      </w: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соответствии с постановлением администрации города от 27.04.2017 №802 «О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соглашений».</w:t>
      </w:r>
    </w:p>
    <w:p w:rsidR="00582FFE" w:rsidRPr="00935DC7" w:rsidRDefault="00582FFE" w:rsidP="00582FF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35DC7">
        <w:rPr>
          <w:rFonts w:ascii="Times New Roman" w:hAnsi="Times New Roman" w:cs="Times New Roman"/>
          <w:color w:val="000000" w:themeColor="text1"/>
          <w:sz w:val="24"/>
        </w:rPr>
        <w:t xml:space="preserve">Также администрацией города принято решение о проведении мероприятий по реконструкции улично-дорожной сети города </w:t>
      </w:r>
      <w:proofErr w:type="spellStart"/>
      <w:r w:rsidRPr="00935DC7">
        <w:rPr>
          <w:rFonts w:ascii="Times New Roman" w:hAnsi="Times New Roman" w:cs="Times New Roman"/>
          <w:color w:val="000000" w:themeColor="text1"/>
          <w:sz w:val="24"/>
        </w:rPr>
        <w:t>Мегиона</w:t>
      </w:r>
      <w:proofErr w:type="spellEnd"/>
      <w:r w:rsidRPr="00935DC7">
        <w:rPr>
          <w:rFonts w:ascii="Times New Roman" w:hAnsi="Times New Roman" w:cs="Times New Roman"/>
          <w:color w:val="000000" w:themeColor="text1"/>
          <w:sz w:val="24"/>
        </w:rPr>
        <w:t xml:space="preserve"> в рамках заключения концессионного соглашения. В рамках планируемого к заключению концессионного соглашения предполагается выполнение работ по 3 объектам: улицы Нефтяников, </w:t>
      </w:r>
      <w:proofErr w:type="spellStart"/>
      <w:r w:rsidRPr="00935DC7">
        <w:rPr>
          <w:rFonts w:ascii="Times New Roman" w:hAnsi="Times New Roman" w:cs="Times New Roman"/>
          <w:color w:val="000000" w:themeColor="text1"/>
          <w:sz w:val="24"/>
        </w:rPr>
        <w:t>Абазарова</w:t>
      </w:r>
      <w:proofErr w:type="spellEnd"/>
      <w:r w:rsidRPr="00935DC7">
        <w:rPr>
          <w:rFonts w:ascii="Times New Roman" w:hAnsi="Times New Roman" w:cs="Times New Roman"/>
          <w:color w:val="000000" w:themeColor="text1"/>
          <w:sz w:val="24"/>
        </w:rPr>
        <w:t xml:space="preserve"> и Пионерская.</w:t>
      </w:r>
    </w:p>
    <w:p w:rsidR="00582FFE" w:rsidRPr="00935DC7" w:rsidRDefault="00582FFE" w:rsidP="00356C5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1.</w:t>
      </w:r>
      <w:proofErr w:type="gramStart"/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2.Улучшение</w:t>
      </w:r>
      <w:proofErr w:type="gramEnd"/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 и обеспечения ее доступности для участников рынка.</w:t>
      </w:r>
    </w:p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Реализация мероприятий Программы поспособствует развитию жилищно-коммунального комплекса и повышению энергетической эффективности, созданию условий для комфортного проживания граждан, повышение качества и надежности</w:t>
      </w:r>
      <w:r w:rsidR="00E23DBF"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предоставления жилищно-коммунальных услуг населению.</w:t>
      </w:r>
    </w:p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</w:t>
      </w:r>
      <w:proofErr w:type="gramStart"/>
      <w:r w:rsidRPr="00935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3.Создание</w:t>
      </w:r>
      <w:proofErr w:type="gramEnd"/>
      <w:r w:rsidRPr="00935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582FFE" w:rsidRPr="00935DC7" w:rsidRDefault="00582FFE" w:rsidP="00582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благоприятных условий для ведения предпринимательской деятельности</w:t>
      </w: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позволит вовлечь в реализацию задач в данной сфере непосредственно граждан и малый бизнес. 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2.Раздел 2 «Механизм реализации муниципальной программы»: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софинансирования</w:t>
      </w:r>
      <w:proofErr w:type="spellEnd"/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 программы.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05.04.52013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</w:t>
      </w: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lastRenderedPageBreak/>
        <w:t>соответствии с мониторингом фактически достигнутых и целевых показателей реализации муниципальной программы;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предоставление отчета о выполнении муниципальной программы в департамент экономического развития и инвестиций администрации города.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7A11CB" w:rsidRPr="00935DC7" w:rsidRDefault="007A11CB" w:rsidP="007A1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Координатор муниципальной программы обеспечивает реализацию муниципальной программы, формирует предложения о внесении изменений в соответствии с установленными требованиями, в том числе предложения по выделению дополнительных средств на программные мероприятия, включению новых программных мероприятий и несет ответственность за достижение ее целевых показателей, конечных результатов ее реализации.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проекты правовых актов, необходимых для реализации муниципальной программы, и вносит их на утверждение главе города;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мониторинг реализации подпрограмм и (или) основных мероприятий муниципальной программы;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 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 исполнителям осуществление разработки отдельных мероприятий и планов их реализации; 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подготовку отчета и представляет его в департамент экономического развития и инвестиций в установленные сроки;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7A11CB" w:rsidRPr="00935DC7" w:rsidRDefault="007A11CB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освещение в средствах массовой информации и сети «Интернет» хода реализации муниципальной программы для информирования населения, бизнес-сообщества, общественных организаций.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Исполнитель муниципальной программы: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формирует и представляет координатору предложения по формированию комплексного плана (сетевого графика) по реализации муниципальной программы на </w:t>
      </w: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lastRenderedPageBreak/>
        <w:t>очередной финансовый год по мероприятиям муниципальной программы, исполнителем которых он является;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представляет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DE1723" w:rsidRPr="00935DC7" w:rsidRDefault="00DE1723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представляет информацию для подготовки годового отчета о ходе реализации и эффективности мероприятий муниципальной программы.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Для проведения текущего мониторинга реализации мероприятий муниципальной программы Координатор представляет в департамент экономического развития и инвестиций 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</w:t>
      </w:r>
      <w:r w:rsidR="00356C5B"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Мегион</w:t>
      </w:r>
      <w:r w:rsidR="00356C5B"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» (с изменениями).</w:t>
      </w:r>
    </w:p>
    <w:p w:rsidR="007A11CB" w:rsidRPr="00935DC7" w:rsidRDefault="007A11CB" w:rsidP="007A11C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предусмотрена реализация мероприятий в рамках инициативного бюджетирования «Количество грантов в форме субсидии, предоставленных победителям конкурса поддержки местных инициатив в рамках инициативного бюджетирования», призванных и предусматривающих участие граждан в решении проблем местного значения, преимущественно в сфере благоустройства мест общего пользования. Итоговым показателем, отражающим результат реализации мероприятий, является количество реализованных грантов</w:t>
      </w:r>
      <w:r w:rsidRPr="00935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форме субсидии победителям конкурса поддержки местных инициатив в рамках инициативного бюджетирования</w:t>
      </w:r>
      <w:r w:rsidRPr="00935DC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Также в рамках муниципальной программы предусмотрено осуществление мероприятий в рамках Плана мероприятий по реализации Стратегии социально-экономического развития город</w:t>
      </w:r>
      <w:r w:rsidR="00356C5B"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а</w:t>
      </w:r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Мегион</w:t>
      </w:r>
      <w:r w:rsidR="00356C5B"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а</w:t>
      </w:r>
      <w:proofErr w:type="spellEnd"/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на период до 2035 года, утвержденного постановлением администрации города от 15.11.2019 №2417: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модернизация сетей тепло-, водоснабжения и водоотведения в ходе реализации концессионного соглашения;</w:t>
      </w:r>
    </w:p>
    <w:p w:rsidR="007A11CB" w:rsidRPr="00935DC7" w:rsidRDefault="007A11CB" w:rsidP="007A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строительство (модернизация объектов инженерной инфраструктуры в соответствии с инвестиционными программами </w:t>
      </w:r>
      <w:proofErr w:type="spellStart"/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ресурсоснабжающих</w:t>
      </w:r>
      <w:proofErr w:type="spellEnd"/>
      <w:r w:rsidRPr="00935DC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организаций. </w:t>
      </w:r>
    </w:p>
    <w:p w:rsidR="00B21175" w:rsidRPr="00935DC7" w:rsidRDefault="00B21175" w:rsidP="007A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21175" w:rsidRPr="00935DC7" w:rsidRDefault="00B21175" w:rsidP="007A11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21175" w:rsidRPr="00935DC7" w:rsidRDefault="00B21175" w:rsidP="007A11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21175" w:rsidRPr="00935DC7" w:rsidRDefault="00B21175" w:rsidP="00CF3EA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B21175" w:rsidRPr="00935DC7" w:rsidSect="00597295">
          <w:headerReference w:type="default" r:id="rId8"/>
          <w:headerReference w:type="first" r:id="rId9"/>
          <w:pgSz w:w="11907" w:h="16840"/>
          <w:pgMar w:top="284" w:right="851" w:bottom="568" w:left="1701" w:header="680" w:footer="680" w:gutter="0"/>
          <w:cols w:space="720"/>
          <w:titlePg/>
          <w:docGrid w:linePitch="299"/>
        </w:sectPr>
      </w:pPr>
    </w:p>
    <w:tbl>
      <w:tblPr>
        <w:tblpPr w:leftFromText="180" w:rightFromText="180" w:vertAnchor="text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5"/>
        <w:gridCol w:w="851"/>
        <w:gridCol w:w="15"/>
        <w:gridCol w:w="4364"/>
        <w:gridCol w:w="1154"/>
        <w:gridCol w:w="1129"/>
        <w:gridCol w:w="6"/>
        <w:gridCol w:w="1128"/>
        <w:gridCol w:w="1134"/>
        <w:gridCol w:w="1134"/>
        <w:gridCol w:w="9"/>
        <w:gridCol w:w="1125"/>
        <w:gridCol w:w="1134"/>
        <w:gridCol w:w="1134"/>
        <w:gridCol w:w="1544"/>
      </w:tblGrid>
      <w:tr w:rsidR="00CF3EA8" w:rsidRPr="00935DC7" w:rsidTr="007A11CB">
        <w:trPr>
          <w:trHeight w:val="454"/>
        </w:trPr>
        <w:tc>
          <w:tcPr>
            <w:tcW w:w="15876" w:type="dxa"/>
            <w:gridSpan w:val="1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1175" w:rsidRPr="00935DC7" w:rsidRDefault="00B21175" w:rsidP="00B21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«Таблица 1</w:t>
            </w:r>
          </w:p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Целевые показатели муниципальной программы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F3EA8" w:rsidRPr="00935DC7" w:rsidTr="00BF2DA7">
        <w:trPr>
          <w:trHeight w:val="1928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пока</w:t>
            </w:r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зателя</w:t>
            </w:r>
            <w:proofErr w:type="spellEnd"/>
          </w:p>
        </w:tc>
        <w:tc>
          <w:tcPr>
            <w:tcW w:w="4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целевых показателей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Базовый показатель на начало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</w:t>
            </w:r>
            <w:proofErr w:type="spellEnd"/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</w:t>
            </w:r>
            <w:proofErr w:type="spellEnd"/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льной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програм</w:t>
            </w:r>
            <w:proofErr w:type="spellEnd"/>
          </w:p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</w:t>
            </w: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7C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Значения показател</w:t>
            </w:r>
            <w:r w:rsidR="007C2582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годам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F3EA8" w:rsidRPr="00935DC7" w:rsidTr="00BF2DA7">
        <w:trPr>
          <w:trHeight w:val="57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 г.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 г.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 г.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F3EA8" w:rsidRPr="00935DC7" w:rsidTr="00BF2DA7">
        <w:trPr>
          <w:trHeight w:val="57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3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CF3EA8" w:rsidRPr="00935DC7" w:rsidTr="00BF2DA7">
        <w:trPr>
          <w:trHeight w:val="30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Ежегодное количество отловленных безнадзорных и бродячих животных,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</w:tr>
      <w:tr w:rsidR="00CF3EA8" w:rsidRPr="00935DC7" w:rsidTr="00BF2DA7">
        <w:trPr>
          <w:trHeight w:val="45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F3EA8" w:rsidRPr="00935DC7" w:rsidTr="00BF2DA7">
        <w:trPr>
          <w:trHeight w:val="18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Ежегодное количество снесенного непригодного для проживания жилья,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</w:tr>
      <w:tr w:rsidR="00CF3EA8" w:rsidRPr="00935DC7" w:rsidTr="00BF2DA7">
        <w:trPr>
          <w:trHeight w:val="49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Объём потребления электроэнергии на уличное освещение,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т.кВт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2 465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Протяженность обслуживаемых сетей уличного освещения, км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обслуживаемых кладбищ, шт.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F3EA8" w:rsidRPr="00935DC7" w:rsidTr="00BF2DA7">
        <w:trPr>
          <w:trHeight w:val="386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F3EA8" w:rsidRPr="00935DC7" w:rsidTr="00BF2DA7">
        <w:trPr>
          <w:trHeight w:val="23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Проведенные </w:t>
            </w:r>
            <w:proofErr w:type="spell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противопаводковые</w:t>
            </w:r>
            <w:proofErr w:type="spell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 xml:space="preserve"> мероприятия, </w:t>
            </w:r>
            <w:proofErr w:type="spellStart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маш</w:t>
            </w:r>
            <w:proofErr w:type="spellEnd"/>
            <w:r w:rsidRPr="00935DC7">
              <w:rPr>
                <w:rFonts w:ascii="Times New Roman" w:eastAsia="Calibri" w:hAnsi="Times New Roman" w:cs="Times New Roman"/>
                <w:color w:val="000000" w:themeColor="text1"/>
              </w:rPr>
              <w:t>./час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объектов, подготовленных к новогодним мероприятиям, шт.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площадей и скверов, на которых выполняются работы по содержанию и ремонту, шт.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086FBC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FBC" w:rsidRPr="00935DC7" w:rsidRDefault="00086FBC" w:rsidP="0008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FBC" w:rsidRPr="00935DC7" w:rsidRDefault="00086FBC" w:rsidP="0008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грантов в форм субсидии, предоставленных победителям конкурса поддержки местных инициатив в рамках инициативного бюджетирования,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jc w:val="center"/>
              <w:rPr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jc w:val="center"/>
              <w:rPr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jc w:val="center"/>
              <w:rPr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jc w:val="center"/>
              <w:rPr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jc w:val="center"/>
              <w:rPr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FBC" w:rsidRPr="00935DC7" w:rsidRDefault="00086FBC" w:rsidP="0008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</w:tr>
      <w:tr w:rsidR="00CF3EA8" w:rsidRPr="00935DC7" w:rsidTr="00BF2DA7">
        <w:trPr>
          <w:trHeight w:val="91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5,45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41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Протяженность построенных сетей газоснабжения для газификации объектов социального назначения </w:t>
            </w:r>
            <w:r w:rsidR="00BF2DA7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41182C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орода </w:t>
            </w:r>
            <w:proofErr w:type="spellStart"/>
            <w:r w:rsidR="0041182C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Мегиона</w:t>
            </w:r>
            <w:proofErr w:type="spellEnd"/>
            <w:r w:rsidR="00BF2DA7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1025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83 452</w:t>
            </w:r>
          </w:p>
        </w:tc>
      </w:tr>
      <w:tr w:rsidR="00CF3EA8" w:rsidRPr="00935DC7" w:rsidTr="00BF2DA7">
        <w:trPr>
          <w:trHeight w:val="6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B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Ежегодное обеспечение  сжиженным газом населения в границах </w:t>
            </w:r>
            <w:r w:rsidR="00BF2DA7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города </w:t>
            </w:r>
            <w:proofErr w:type="spellStart"/>
            <w:r w:rsidR="00BF2DA7"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Мегиона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т/год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F3EA8" w:rsidRPr="00935DC7" w:rsidTr="00BF2DA7">
        <w:trPr>
          <w:trHeight w:val="7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BF2DA7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,9</w:t>
            </w:r>
          </w:p>
        </w:tc>
      </w:tr>
      <w:tr w:rsidR="00CF3EA8" w:rsidRPr="00935DC7" w:rsidTr="00BF2DA7">
        <w:trPr>
          <w:gridBefore w:val="1"/>
          <w:wBefore w:w="15" w:type="dxa"/>
          <w:trHeight w:val="1006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BF2DA7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BF2DA7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78,0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Доля объема горячей воды, расчеты за которую осуществляются с использованием </w:t>
            </w: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lastRenderedPageBreak/>
              <w:t>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площади), Квт/час на м2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67,83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51,11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общей площади), Гкал/м2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1,73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95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площади), Гкал/м2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холодной воды в многоквартирных домах (в расчете на 1 жителя), м3 на  1 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32,80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горячей воды в многоквартирных домах (в расчете на 1 жителя), м3 на  1 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электрической энергии в многоквартирных домах (в расчете на 1 кв. метр общей площади), Квт/час на  м2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40,87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40,87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EA8" w:rsidRPr="00935DC7" w:rsidRDefault="00CF3EA8" w:rsidP="00CF3EA8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173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1 274</w:t>
            </w:r>
          </w:p>
        </w:tc>
      </w:tr>
      <w:tr w:rsidR="00CF3EA8" w:rsidRPr="00935DC7" w:rsidTr="00BF2DA7">
        <w:trPr>
          <w:gridBefore w:val="1"/>
          <w:wBefore w:w="15" w:type="dxa"/>
          <w:trHeight w:val="470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домах,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pPr w:leftFromText="180" w:rightFromText="180" w:vertAnchor="text" w:tblpY="-1259"/>
        <w:tblW w:w="15875" w:type="dxa"/>
        <w:tblLayout w:type="fixed"/>
        <w:tblLook w:val="04A0" w:firstRow="1" w:lastRow="0" w:firstColumn="1" w:lastColumn="0" w:noHBand="0" w:noVBand="1"/>
      </w:tblPr>
      <w:tblGrid>
        <w:gridCol w:w="15875"/>
      </w:tblGrid>
      <w:tr w:rsidR="00935DC7" w:rsidRPr="00935DC7" w:rsidTr="000F47F0">
        <w:trPr>
          <w:trHeight w:val="315"/>
        </w:trPr>
        <w:tc>
          <w:tcPr>
            <w:tcW w:w="15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DA7" w:rsidRPr="00935DC7" w:rsidRDefault="00BF2DA7" w:rsidP="00DE4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1175" w:rsidRPr="00935DC7" w:rsidRDefault="00B21175" w:rsidP="00DE4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«Таблица 2</w:t>
            </w:r>
          </w:p>
          <w:p w:rsidR="00B21175" w:rsidRPr="00935DC7" w:rsidRDefault="00B21175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финансовых ресурсов муниципальной программы</w:t>
            </w:r>
          </w:p>
          <w:p w:rsidR="009D6251" w:rsidRPr="00935DC7" w:rsidRDefault="009D6251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-1950"/>
              <w:tblOverlap w:val="never"/>
              <w:tblW w:w="15875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2288"/>
              <w:gridCol w:w="2145"/>
              <w:gridCol w:w="2002"/>
              <w:gridCol w:w="1144"/>
              <w:gridCol w:w="1287"/>
              <w:gridCol w:w="1001"/>
              <w:gridCol w:w="1144"/>
              <w:gridCol w:w="1001"/>
              <w:gridCol w:w="1001"/>
              <w:gridCol w:w="1002"/>
              <w:gridCol w:w="1144"/>
            </w:tblGrid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осн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мероприятия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Основные мероприятия муниципальной программы (их связь с целевыми показателями муниципальной программы)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Координатор/исполнитель</w:t>
                  </w:r>
                </w:p>
              </w:tc>
              <w:tc>
                <w:tcPr>
                  <w:tcW w:w="2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872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Финансовые затраты на реализацию (тыс. рублей)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75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</w:tr>
            <w:tr w:rsidR="00935DC7" w:rsidRPr="00935DC7" w:rsidTr="00935DC7">
              <w:trPr>
                <w:trHeight w:val="718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</w:t>
                  </w:r>
                </w:p>
              </w:tc>
            </w:tr>
            <w:tr w:rsidR="00935DC7" w:rsidRPr="00935DC7" w:rsidTr="00935DC7">
              <w:trPr>
                <w:trHeight w:val="318"/>
              </w:trPr>
              <w:tc>
                <w:tcPr>
                  <w:tcW w:w="1587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Подпрограмма 1 «Содержание объектов внешнего благоустройства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»</w:t>
                  </w:r>
                </w:p>
              </w:tc>
            </w:tr>
            <w:tr w:rsidR="00935DC7" w:rsidRPr="00935DC7" w:rsidTr="00935DC7">
              <w:trPr>
                <w:trHeight w:val="705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1.1.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Обеспечение стабильной благополучной эпизоотической обстановки в городе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Мегионе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и защита населения от болезней, общих для человека и животных (1-2)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«Капитальное строительство»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13707,2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1094,2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5631,5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</w:tr>
            <w:tr w:rsidR="00935DC7" w:rsidRPr="00935DC7" w:rsidTr="00935DC7">
              <w:trPr>
                <w:trHeight w:val="1002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10635,3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1094,2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2559,6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</w:tr>
            <w:tr w:rsidR="00935DC7" w:rsidRPr="00935DC7" w:rsidTr="00935DC7">
              <w:trPr>
                <w:trHeight w:val="799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3071,9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3071,9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588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557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1.2.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Обеспечение единого порядка содержания объектов внешнего благоустройства (в том числе с применением инициативного бюджетирования) (3-8, 10-12, 13)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«Капитальное строительство»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227140,6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64" w:right="-10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39785,3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44851,3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</w:tr>
            <w:tr w:rsidR="00935DC7" w:rsidRPr="00935DC7" w:rsidTr="00935DC7">
              <w:trPr>
                <w:trHeight w:val="563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64" w:right="-10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692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64" w:right="-10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227140,6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64" w:right="-10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39785,3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44851,3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</w:tr>
            <w:tr w:rsidR="00935DC7" w:rsidRPr="00935DC7" w:rsidTr="00935DC7">
              <w:trPr>
                <w:trHeight w:val="657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firstLine="1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firstLine="1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231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1.3.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городского кладбища (9)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8728,9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8728,9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290"/>
              </w:trPr>
              <w:tc>
                <w:tcPr>
                  <w:tcW w:w="7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20" w:right="-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8728,9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8728,9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55"/>
              </w:trPr>
              <w:tc>
                <w:tcPr>
                  <w:tcW w:w="7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20" w:right="-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Итого по подпрограмме 1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20" w:right="-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249576,7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49608,4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50482,8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25896,3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30897,3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30897,3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30897,3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30897,3</w:t>
                  </w:r>
                </w:p>
              </w:tc>
            </w:tr>
            <w:tr w:rsidR="00935DC7" w:rsidRPr="00935DC7" w:rsidTr="00935DC7">
              <w:trPr>
                <w:trHeight w:val="322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20" w:right="-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1" w:right="-11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12" w:firstLine="1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2" w:right="-108" w:firstLine="1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514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10635,3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1094,2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2559,6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</w:tr>
            <w:tr w:rsidR="00935DC7" w:rsidRPr="00935DC7" w:rsidTr="00935DC7">
              <w:trPr>
                <w:trHeight w:val="312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238941,4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64" w:right="-10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48514,2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47923,2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3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29501,0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278"/>
              </w:trPr>
              <w:tc>
                <w:tcPr>
                  <w:tcW w:w="1587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Подпрограмма 2 «Модернизация и реформирование жилищно-коммунального комплекса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»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2.1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Реконструкция, расширение, модернизация, строительство и капитальный ремонт объектов коммунального комплекса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(14-16)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«Капитальное строительство»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76986,2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37569,6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9553,8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6095,2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5941,9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5941,9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5941,9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5941,9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46759,0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17738,7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5762,0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4755,9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4625,6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4625,6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4625,6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4625,6</w:t>
                  </w:r>
                </w:p>
              </w:tc>
            </w:tr>
            <w:tr w:rsidR="00935DC7" w:rsidRPr="00935DC7" w:rsidTr="00935DC7">
              <w:trPr>
                <w:trHeight w:val="546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30227,2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19830,9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3791,8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1339,3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1316,3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1316,3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1316,3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1316,3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7" w:right="-142" w:firstLine="3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24" w:right="-24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3" w:right="-14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2.2.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Субсидии на возмещение недополученных доходов организациям, осуществляющим вывоз жидких бытовых отходов (17)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департамент экономического развития и инвестиций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22574,5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6777,5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5797,0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4 000,0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</w:tr>
            <w:tr w:rsidR="00935DC7" w:rsidRPr="00935DC7" w:rsidTr="00935DC7">
              <w:trPr>
                <w:trHeight w:val="63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63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22574,5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6777,5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5 797,0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4 000,0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1 500,0</w:t>
                  </w:r>
                </w:p>
              </w:tc>
            </w:tr>
            <w:tr w:rsidR="00935DC7" w:rsidRPr="00935DC7" w:rsidTr="00935DC7">
              <w:trPr>
                <w:trHeight w:val="209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5" w:right="-13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7" w:right="-142" w:firstLine="3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24" w:right="-24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57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2.3.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Предоставление субвенции на возмещение </w:t>
                  </w: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недополученных доходов организациям, осуществляющим реализацию сжиженного газа населению по социально ориентированным розничным ценам и предоставление субсидии на возмещение расходов организации за доставку населению сжиженного газа для бытовых нужд.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(18)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 xml:space="preserve">Муниципальное казенное учреждение </w:t>
                  </w: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«Управление жилищно-коммунального хозяйства»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39343,0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4304,9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5710,7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5727,8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39193,0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4304,9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19" w:right="-156" w:hanging="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5560,7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5727,8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36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5899,9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150,0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150,0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2567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91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2.4.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Предоставление субсидии из бюджета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на финансовое обеспечение затрат юридическим лицам (за исключением муниципальных учреждений),    осуществляющим свою деятельность в сфере тепло-, водоснабжения и водоотведения и оказывающих коммунальные услуги населению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, связанных с погашением задолженности за потребленные топливно-</w:t>
                  </w: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энергетические ресурсы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Муниципальное казенное учреждение «Управление жилищно-коммунального хозяйства»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47041,8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47041,8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</w:tr>
            <w:tr w:rsidR="00935DC7" w:rsidRPr="00935DC7" w:rsidTr="00935DC7">
              <w:trPr>
                <w:trHeight w:val="40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43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47041,8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47041,8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jc w:val="center"/>
                    <w:rPr>
                      <w:color w:val="000000" w:themeColor="text1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0,0</w:t>
                  </w:r>
                </w:p>
              </w:tc>
            </w:tr>
            <w:tr w:rsidR="00935DC7" w:rsidRPr="00935DC7" w:rsidTr="00935DC7">
              <w:trPr>
                <w:trHeight w:val="542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1257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171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Итого по подпрограмме 2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185945,5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48652,0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56" w:hanging="12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68103,3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06" w:firstLine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15823,0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13341,8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13341,8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13341,8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13341,8</w:t>
                  </w:r>
                </w:p>
              </w:tc>
            </w:tr>
            <w:tr w:rsidR="00935DC7" w:rsidRPr="00935DC7" w:rsidTr="00935DC7">
              <w:trPr>
                <w:trHeight w:val="403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403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132993,8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22043,6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56" w:hanging="12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58364,5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06" w:firstLine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10483,7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10525,5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10525,5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10525,5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10525,5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52951,7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right="-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26608,4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9" w:right="-156" w:hanging="12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9738,8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06" w:firstLine="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5339,3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2816,3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2816,3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2816,3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2816,3</w:t>
                  </w:r>
                </w:p>
              </w:tc>
            </w:tr>
            <w:tr w:rsidR="00935DC7" w:rsidRPr="00935DC7" w:rsidTr="00935DC7">
              <w:trPr>
                <w:trHeight w:val="718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8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32" w:hanging="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1587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Подпрограмма 3 «Энергосбережение и повышение энергетической эффективности и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энергобезопасности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муниципального образования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»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3.1.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Энергосбережение в бюджетной сфере (19-30)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 муниципальное казенное учреждение «Капитальное строительство», муниципальные бюджетные учреждения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3350,3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590,5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</w:tr>
            <w:tr w:rsidR="00935DC7" w:rsidRPr="00935DC7" w:rsidTr="00935DC7">
              <w:trPr>
                <w:trHeight w:val="288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3350,3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590,5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15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Итого по подпрограмме  3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3350,3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590,5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3350,3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590,5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550,0</w:t>
                  </w:r>
                </w:p>
              </w:tc>
            </w:tr>
            <w:tr w:rsidR="00935DC7" w:rsidRPr="00935DC7" w:rsidTr="00935DC7">
              <w:trPr>
                <w:trHeight w:val="848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1587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Подпрограмма 4 «Капитальный ремонт, реконструкция и ремонт муниципального жилищного фонда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»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4.1.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Капитальный ремонт, реконструкция и ремонт муниципального жилого фонда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(36)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«Капитальное строительство»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9550,6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45" w:firstLine="6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1 305,5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hanging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745,1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45" w:firstLine="6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firstLine="7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9550,6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45" w:firstLine="6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1 305,5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hanging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745,1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1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</w:tr>
            <w:tr w:rsidR="00935DC7" w:rsidRPr="00935DC7" w:rsidTr="00935DC7">
              <w:trPr>
                <w:trHeight w:val="907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firstLine="7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Итого по подпрограмме  4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9550,6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45" w:firstLine="6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1 305,5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hanging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745,1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45" w:firstLine="6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firstLine="7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9550,6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45" w:firstLine="6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1 305,5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hanging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745,1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1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6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1 500,0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75" w:firstLine="7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4" w:right="-105" w:firstLine="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4" w:right="-1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1587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Подпрограмма 5 «Содействие проведению капитального ремонта многоквартирных домов на территории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»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5.1.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(31-35, 37)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хозяйства»,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«Капитальное строительство»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11900,0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23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02" w:right="-1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 w:hanging="14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23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02" w:right="-1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 w:hanging="14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2" w:right="-128" w:firstLine="23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11900,0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23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02" w:right="-11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Итого по подпрограмме  5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11900,0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1700,00,0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</w:tr>
            <w:tr w:rsidR="00935DC7" w:rsidRPr="00935DC7" w:rsidTr="00935DC7">
              <w:trPr>
                <w:trHeight w:val="103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15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11900,0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1 700,0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15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муниципальной программе: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460802,2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101275,7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121621,7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45469,3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47989,1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48148,8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48148,8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48148,8</w:t>
                  </w:r>
                </w:p>
              </w:tc>
            </w:tr>
            <w:tr w:rsidR="00935DC7" w:rsidRPr="00935DC7" w:rsidTr="00935DC7">
              <w:trPr>
                <w:trHeight w:val="93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163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144108,2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23137,8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60924,1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11880,0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11921,8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12081,5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12081,5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12081,5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316694,0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78137,9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60697,6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33589,3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36 067,3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36 067,3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36067,3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36067,3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62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инвестиции в объекты муниципальной собственности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2775,0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2775,0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2775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2775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4" w:right="-1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9" w:right="-13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35" w:right="-12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458027,2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101275,7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118846,7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45469,3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47989,1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48148,8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48148,8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48148,8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144108,2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23137,8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60924,1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11880,0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11921,8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12081,5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12081,5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12081,5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313919,0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78137,9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57922,6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33589,3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36 067,3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36 067,3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36067,3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36067,3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137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Исполнитель 1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Администрация города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Всего: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202987,3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42289,7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70028,3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20023,0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17541,8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17701,5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17701,5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17701,5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133472,9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22043,6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58364,5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34" w:right="-106" w:firstLine="2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10483,7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10525,5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10685,2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10685,2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10685,2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 w:right="-12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69514,4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8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20246,1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11663,8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60" w:right="-114" w:hanging="47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9539,3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5" w:right="-14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7016,3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7016,3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7016,3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7016,3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9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23" w:right="-10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1" w:right="-16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02" w:right="-114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399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Исполнитель 2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Муниципальное казенное учреждение «Капитальное строительство»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257270,9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5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58986,0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51049,4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7" w:right="-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25446,3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30 447,3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30 447,3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30 447,3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30 447,3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10635,3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1094,2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45" w:right="-102" w:firstLine="14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2559,6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45" w:right="-102" w:firstLine="138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1 396,3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1 396,3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1 396,3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1 396,3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246635,6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4" w:right="-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57891,8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48489,8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ind w:left="-249" w:right="-11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24050,0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29 051,0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29 051,0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29 051,0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29 051,0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Исполнитель 3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Муниципальное казенное учреждение «Управление жилищно-коммунального хозяйства»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Исполнитель 4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Департамент экономического развития и инвестиций администрации города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Исполнитель 5              Муниципальные бюджетные и автономные учреждения</w:t>
                  </w:r>
                </w:p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544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544,0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544,0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544,0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935DC7" w:rsidRPr="00935DC7" w:rsidTr="00935DC7">
              <w:trPr>
                <w:trHeight w:val="70"/>
              </w:trPr>
              <w:tc>
                <w:tcPr>
                  <w:tcW w:w="3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6251" w:rsidRPr="00935DC7" w:rsidRDefault="009D6251" w:rsidP="009D6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</w:tbl>
          <w:p w:rsidR="009D6251" w:rsidRPr="00935DC7" w:rsidRDefault="009D6251" w:rsidP="009D62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6251" w:rsidRPr="00935DC7" w:rsidRDefault="009D6251" w:rsidP="009D6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».</w:t>
            </w:r>
          </w:p>
          <w:p w:rsidR="009D6251" w:rsidRPr="00935DC7" w:rsidRDefault="009D6251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6251" w:rsidRPr="00935DC7" w:rsidRDefault="009D6251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6251" w:rsidRPr="00935DC7" w:rsidRDefault="009D6251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6251" w:rsidRPr="00935DC7" w:rsidRDefault="009D6251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1175" w:rsidRPr="00935DC7" w:rsidRDefault="00B21175" w:rsidP="00B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0"/>
      </w:tblGrid>
      <w:tr w:rsidR="00935DC7" w:rsidRPr="00935DC7" w:rsidTr="00597295">
        <w:trPr>
          <w:trHeight w:val="683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EA8" w:rsidRPr="00935DC7" w:rsidRDefault="00CF3EA8" w:rsidP="00DE48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«Таблица 3</w:t>
            </w:r>
          </w:p>
          <w:p w:rsidR="00CF3EA8" w:rsidRPr="00935DC7" w:rsidRDefault="00CF3EA8" w:rsidP="00CF3E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F3EA8" w:rsidRPr="00935DC7" w:rsidRDefault="00B21175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Мероприятия, реализуемые на принципах проектного управления, направленные в том числе на исполнение </w:t>
            </w:r>
            <w:r w:rsidR="00CF3EA8"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национальных и федеральных проектов </w:t>
            </w: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(программ) </w:t>
            </w:r>
            <w:r w:rsidR="00CF3EA8"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  <w:tbl>
            <w:tblPr>
              <w:tblW w:w="15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1560"/>
              <w:gridCol w:w="1701"/>
              <w:gridCol w:w="1275"/>
              <w:gridCol w:w="1560"/>
              <w:gridCol w:w="1417"/>
              <w:gridCol w:w="1843"/>
              <w:gridCol w:w="850"/>
              <w:gridCol w:w="709"/>
              <w:gridCol w:w="851"/>
              <w:gridCol w:w="850"/>
              <w:gridCol w:w="851"/>
              <w:gridCol w:w="850"/>
              <w:gridCol w:w="851"/>
            </w:tblGrid>
            <w:tr w:rsidR="00935DC7" w:rsidRPr="00935DC7" w:rsidTr="00597295">
              <w:trPr>
                <w:trHeight w:val="503"/>
              </w:trPr>
              <w:tc>
                <w:tcPr>
                  <w:tcW w:w="472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Наименование портфеля проектов, проекта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Наименование  проекта или мероприятия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Номер основного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мероприя-тия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Цели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Срок реализации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Источники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финансиро-вания</w:t>
                  </w:r>
                  <w:proofErr w:type="spellEnd"/>
                </w:p>
              </w:tc>
              <w:tc>
                <w:tcPr>
                  <w:tcW w:w="5812" w:type="dxa"/>
                  <w:gridSpan w:val="7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Параметры финансового обеспечения, тыс. рублей</w:t>
                  </w:r>
                </w:p>
              </w:tc>
            </w:tr>
            <w:tr w:rsidR="00935DC7" w:rsidRPr="00935DC7" w:rsidTr="00597295">
              <w:trPr>
                <w:trHeight w:val="502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8C1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</w:tr>
            <w:tr w:rsidR="00935DC7" w:rsidRPr="00935DC7" w:rsidTr="00597295">
              <w:tc>
                <w:tcPr>
                  <w:tcW w:w="472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35DC7" w:rsidRPr="00935DC7" w:rsidTr="00597295">
              <w:tc>
                <w:tcPr>
                  <w:tcW w:w="15640" w:type="dxa"/>
                  <w:gridSpan w:val="14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Портфели проектов, основанные на национальных и федеральных проектах Российской Федерации</w:t>
                  </w:r>
                </w:p>
              </w:tc>
            </w:tr>
            <w:tr w:rsidR="00935DC7" w:rsidRPr="00935DC7" w:rsidTr="001B56D5">
              <w:trPr>
                <w:trHeight w:val="311"/>
              </w:trPr>
              <w:tc>
                <w:tcPr>
                  <w:tcW w:w="472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«Экология»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«Чистая вода»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Повышение качества питьевой воды для населения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муници-пального</w:t>
                  </w:r>
                  <w:proofErr w:type="spellEnd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образования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01.02.2019-01.05.2019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405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405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405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405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иные источники финансирован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373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4"/>
                  <w:vMerge w:val="restart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Итого по портфелю проектов 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51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4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51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4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51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4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35DC7" w:rsidRPr="00935DC7" w:rsidTr="00597295">
              <w:trPr>
                <w:trHeight w:val="51"/>
              </w:trPr>
              <w:tc>
                <w:tcPr>
                  <w:tcW w:w="472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gridSpan w:val="4"/>
                  <w:vMerge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иные источник  </w:t>
                  </w:r>
                  <w:proofErr w:type="spellStart"/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финансирван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F3EA8" w:rsidRPr="00935DC7" w:rsidRDefault="00CF3EA8" w:rsidP="00CF3EA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CF3EA8" w:rsidRPr="00935DC7" w:rsidRDefault="00CF3EA8" w:rsidP="00CF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1175" w:rsidRPr="00935DC7" w:rsidRDefault="00CF3EA8" w:rsidP="00B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    </w:t>
            </w:r>
          </w:p>
          <w:p w:rsidR="00B21175" w:rsidRPr="00935DC7" w:rsidRDefault="00B21175" w:rsidP="00B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CF3EA8" w:rsidRPr="00935DC7" w:rsidRDefault="00CF3EA8" w:rsidP="00B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CF3EA8" w:rsidRPr="00935DC7" w:rsidRDefault="00CF3EA8" w:rsidP="00DE4815">
            <w:pPr>
              <w:spacing w:after="200" w:line="276" w:lineRule="auto"/>
              <w:jc w:val="right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35DC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«Таблица 4</w:t>
            </w:r>
          </w:p>
          <w:tbl>
            <w:tblPr>
              <w:tblW w:w="155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558"/>
              <w:gridCol w:w="2977"/>
              <w:gridCol w:w="3629"/>
              <w:gridCol w:w="5812"/>
            </w:tblGrid>
            <w:tr w:rsidR="00935DC7" w:rsidRPr="00935DC7" w:rsidTr="00597295">
              <w:trPr>
                <w:trHeight w:val="80"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35DC7" w:rsidRPr="00935DC7" w:rsidTr="00597295">
              <w:trPr>
                <w:trHeight w:val="683"/>
                <w:jc w:val="center"/>
              </w:trPr>
              <w:tc>
                <w:tcPr>
                  <w:tcW w:w="155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Характеристика основных мероприятий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муниципальной программы, их связь с целевыми показателями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35DC7" w:rsidRPr="00935DC7" w:rsidTr="00597295">
              <w:trPr>
                <w:trHeight w:val="537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1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Основные мероприятия</w:t>
                  </w:r>
                </w:p>
              </w:tc>
              <w:tc>
                <w:tcPr>
                  <w:tcW w:w="5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целевого показателя</w:t>
                  </w:r>
                </w:p>
              </w:tc>
            </w:tr>
            <w:tr w:rsidR="00935DC7" w:rsidRPr="00935DC7" w:rsidTr="00597295">
              <w:trPr>
                <w:trHeight w:val="458"/>
                <w:jc w:val="center"/>
              </w:trPr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1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35DC7" w:rsidRPr="00935DC7" w:rsidTr="00597295">
              <w:trPr>
                <w:trHeight w:val="802"/>
                <w:jc w:val="center"/>
              </w:trPr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основного мероприятия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Содержание (направления расходов)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      </w:r>
                </w:p>
              </w:tc>
              <w:tc>
                <w:tcPr>
                  <w:tcW w:w="5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8C12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Цель. Создание условий для комфортного проживания граждан в город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proofErr w:type="spellEnd"/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35DC7" w:rsidRPr="00935DC7" w:rsidTr="00597295">
              <w:trPr>
                <w:trHeight w:val="79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Задача 1. Улучшение санитарного состояния город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 </w:t>
                  </w:r>
                </w:p>
                <w:p w:rsidR="00CF3EA8" w:rsidRPr="00935DC7" w:rsidRDefault="00CF3EA8" w:rsidP="008C12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Задача 2.Установление единого порядка содержания объектов внешнего благоустройства на территории город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8C12A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Подпрограмма I «Содержание объектов внешнего благоустройства 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C12A9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935DC7" w:rsidRPr="00935DC7" w:rsidTr="00597295">
              <w:trPr>
                <w:trHeight w:val="613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023CD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Обеспечение стабильной благополучной эпизоотической обстановки в </w:t>
                  </w:r>
                  <w:r w:rsidR="00023CDD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городе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023CDD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защита населения от болезней, общих для человека и животных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мероприятий по предупреждению и ликвидации болезней животных, их лечению, защите населения от болезней, общих для человека и животных в рамках реализации переданных государственных полномочий, субвенции на проведение дезинсекции и дератизации на территории город</w:t>
                  </w:r>
                  <w:r w:rsidR="00023CDD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023CDD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F3EA8" w:rsidRPr="00935DC7" w:rsidRDefault="00CF3EA8" w:rsidP="00CF3EA8">
                  <w:pPr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Таблица 1 к муниципальной программе; Федеральный закон от 30.03.1999 №52-ФЗ «О санитарно-эпидемиологическом благополучии населения»; Закон Ханты-Мансийского автономного округа от 25.12.2000 №134-оз «О содержании и защите домашних животных на территории Ханты-Мансийского автономного округа - Югры»; Закон Ханты-Мансийского автономного округа-Югры от 05.04.2013 №29-оз «О наделении органов местного самоуправления муниципальных образований Ханты-Мансийского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автономного округа - Югры отдельным государственным полномочием Ханты-Мансийского автономного округа – Югры по проведению мероприятий по предупреждению и ликвидации болезней животных, их лечению, защите населения от болезней общих для человека и животных»; постановление Правительства Ханты-Мансийского автономного округа - Югры от 23.07.2001 №366-п  «Об утверждении  Правил содержания домашних животных в Ханты-Мансийском автономном округе и других организационных мероприятий».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Показатель 1. «Ежегодное количество отловленных безнадзорных и бродячих животных», шт. (определяется согласно фактической стоимости отлова, транспортировки, учета, содержания одного безнадзорного и бродячего животного). 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2. «Площадь, на которых проведены мероприятия по дератизации и дезинсекции, га (указывается площадь обработанной территории).</w:t>
                  </w:r>
                </w:p>
              </w:tc>
            </w:tr>
            <w:tr w:rsidR="00935DC7" w:rsidRPr="00935DC7" w:rsidTr="00597295">
              <w:trPr>
                <w:trHeight w:val="667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Обеспечение единого порядка содержания объектов внешнего благоустройства (в том числе с применением инициативного бюджетирования)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Потребление электроэнергии на уличное освещение, обслуживание сетей уличного освещения,  содержание кладбищ, планировка территории, содержание детских игровых площадок (содержание, ремонт, установка нового оборудования), уход за газонами, закупка и посадка насаждений, выполнение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противопаводковых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мероприятий, снос сараев, гаражей,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балков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подготовка объектов к новогодним мероприятиям, ремонт и содержание площадей и скверов, обслуживание и ремонт пожарных гидрантов, предоставление грантов в форме субсидии победителям конкурса поддержки местных инициатив в рамках инициативного бюджетирования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3EA8" w:rsidRPr="00935DC7" w:rsidRDefault="00CF3EA8" w:rsidP="008D32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Таблица1 к муниципальной программе; Федеральный закон от 12.01.1996 №8-ФЗ «О погребении и похоронном деле»; решение Думы 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 22.06.2018 №278 «О правилах благоустройства территории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»; постановление администрации 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 19.10.2017 №2070 «О конкурсном отборе проектов поддержки местных инициатив».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Показатель 3. «Ежегодное количество снесенного непригодного для проживания жилья», шт. (показатель определяется согласно составленным дефектным ведомостям и локальным сметным расчетам в рамках предусмотренного объема финансирования на данные цели).                                                           Показатель 4. «Площадь обслуживаемых магистральных и луговых газонов», </w:t>
                  </w:r>
                  <w:proofErr w:type="gram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тыс.м</w:t>
                  </w:r>
                  <w:proofErr w:type="gram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² (указывается общая площадь магистральных и луговых газонов территории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на которой выполняются работы).                                                      Показатель 5. «Количество обслуживаемых детских игровых площадок», шт. (указывается количество детских игровых площадок, состоящих в реестре муниципальной собственности).                                 Показатель 6. «Объем потребления электроэнергии на уличное освещение», </w:t>
                  </w:r>
                  <w:proofErr w:type="spellStart"/>
                  <w:proofErr w:type="gram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т.кВт</w:t>
                  </w:r>
                  <w:proofErr w:type="spellEnd"/>
                  <w:proofErr w:type="gram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/ч (указывается объем потребляемой электрической энергии на уличное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освещение, согласно показаниям приборов учета электрической энергии).  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7 «Протяженность обслуживаемых сетей уличного освещения», км (указывается общая протяженность сетей уличного освещ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ения территории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). 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Показатель 8 «Количество обслуживаемых кладбищ), шт. (указывается общее количество кладбищ на территории 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на которых выполняются работы).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Показатель 10 «Проведенные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противопаводковые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мероприятия», </w:t>
                  </w:r>
                  <w:proofErr w:type="spellStart"/>
                  <w:proofErr w:type="gram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маш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./</w:t>
                  </w:r>
                  <w:proofErr w:type="gram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час (указывается объем талых вод, откаченных мотопомпой и 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илососной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машиной, согласно дефектной ведомости на оказание услуг по выполнению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противопаводковых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мероприятий в соответствии с заключаемым ежегодно муниципальным контрактом).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11 «Количество объектов, подготовленных к новогодним мероприятиям», шт. (указывается количество построенных объектов в рамках подготовки к новогодним мероприятиям в соответствии с заключаемым ежегодно муниципальным контрактом).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Показатель 12 «Количество обслуживаемых площадей и скверов», шт. (указывается количество площадей и скверов 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на которых выполняются работы в рамках предусмотренного объема финансирования на данные цели).</w:t>
                  </w:r>
                </w:p>
                <w:p w:rsidR="00CF3EA8" w:rsidRPr="00935DC7" w:rsidRDefault="00CF3EA8" w:rsidP="00086FB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13.</w:t>
                  </w:r>
                  <w:r w:rsidR="00086FBC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«Количество грантов в форме субсидии, предоставленных победителям конкурса поддержки местных инициатив в рамках инициативного бюджетирования»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(указывается количество </w:t>
                  </w:r>
                  <w:r w:rsidR="00086FBC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грантов в виде субсидии, предоставленных победителям конкурса поддержки местных инициатив в рамках инициативного бюджетирования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).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Строительство городского кладбища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Строительство объекта: «Городское кладбище (2-я очередь)»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Таблица 1 к муниципальной программе, Федеральный закон от 12.01.1996 №8-ФЗ «О погребении и похоронном деле»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7. «Общая площадь территории вновь построенного кладбища», м² (указывается площадь территории вновь построенного кладбища, согласно разработанной проектной документации/по факту выполненных работ).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Цель. Развитие жилищно-коммунального комплекса и повышение энергетической эффективности</w:t>
                  </w:r>
                </w:p>
              </w:tc>
            </w:tr>
            <w:tr w:rsidR="00935DC7" w:rsidRPr="00935DC7" w:rsidTr="00597295">
              <w:trPr>
                <w:trHeight w:val="58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Задача 3. Модернизация систем коммунальной инфраструктуры на основе использования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энергоэффективных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экологически чистых технологий. 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Задача </w:t>
                  </w:r>
                  <w:proofErr w:type="gram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4.Строительство</w:t>
                  </w:r>
                  <w:proofErr w:type="gram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объектов коммунального комплекса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  <w:p w:rsidR="00CF3EA8" w:rsidRPr="00935DC7" w:rsidRDefault="00CF3EA8" w:rsidP="008D32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Задача 5.Субсидии организациям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35DC7" w:rsidRPr="00935DC7" w:rsidTr="00597295">
              <w:trPr>
                <w:trHeight w:val="312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8D32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Подпрограмма II «Модернизация и реформирование жилищно-коммунального комплекса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Реконструкция, расширение, модернизация, строительство и капитальный ремонт объектов коммунального комплекса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Субсидия на реализацию полномочий в сфере жилищно-коммунального комплекса (капитальный ремонт (с заменой) газопроводов, систем теплоснабжения, водоснабжения и водоотведения с целью подготовки к осенне-зимнему периоду), обслуживание и ремонт пожарных гидрантов, газификация школы на 300 учащихся в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п.Высокий</w:t>
                  </w:r>
                  <w:proofErr w:type="spellEnd"/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Таблица 1 к муниципальной программе; постановление Правительства Ханты-Мансийского автономного округа - Югры от 05.10.2018 №347-п «О государственной программе Ханты-Мансийского автономного округа - Югры «Жилищно-коммунальный комплекс и городская среда»,</w:t>
                  </w:r>
                </w:p>
                <w:p w:rsidR="00CF3EA8" w:rsidRPr="00935DC7" w:rsidRDefault="00CF3EA8" w:rsidP="008D32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постановление администрации 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 16.03.2017 №504 «Об утверждении порядка предоставления субсидий на возмещение затрат или неполученных доходов на жилищно-коммунальные услуги и капитальный ремонт инженерных сетей и объектов коммунального назначения на территории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Показатель 14. «Протяженность замененных ветхих сетей теплоснабжения, водоснабжения и водоотведения», км (указывается протяженность отремонтированных инженерных сетей в рамках подготовки к осенне-зимнему периоду). 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15 «Количество обслуживаемых пожарных гидрантов», шт. (указывается общее количество пожарных гидрантов на территории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).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Показатель 16 «Протяженность построенных сетей газоснабжения для газификации объектов социального назначения городского округа», м (указывается протяженность построенных сетей газоснабжения для газификации объектов социального назначения 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).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35DC7" w:rsidRPr="00935DC7" w:rsidTr="00597295">
              <w:trPr>
                <w:trHeight w:val="281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Субсидии на возмещение недополученных доходов организациям, осуществляющим вывоз жидких бытовых отходов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Предоставление субсидии  на возмещение недополученных доходов организациям, осуществляющим вывоз жидких бытовых отходов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8D32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Таблица 1 к муниципальной программе; постановление администрации 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 16.03.2017 №504 «Об утверждении порядка предоставления субсидий на возмещение затрат или неполученных доходов на жилищно-коммунальные услуги и капитальный ремонт инженерных сетей и объектов коммунального назначения на территории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 (с изменениями)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17. «Объем вывезенных жидких бытовых отходов», м³ (определяется по факту оказанных услуг, согласно предоставленным документам на получение субсидии в рамках постановления администрации города от 16.03.2017 №504).</w:t>
                  </w:r>
                </w:p>
              </w:tc>
            </w:tr>
            <w:tr w:rsidR="00935DC7" w:rsidRPr="00935DC7" w:rsidTr="00597295">
              <w:trPr>
                <w:trHeight w:val="384"/>
                <w:jc w:val="center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Предоставление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Предоставление субвенции на возмещение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недополученных доходов организациям, осуществляющим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реализацию населению сжиженного газа по социально ориентированным розничным ценам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Таблица 1 к муниципальной программе; постановление Правительства Ханты-Мансийского автономного округа - Югры от 05.10.2018 №347-п «О государственной программе Ханты-Мансийского автономного округа - Югры «Жилищно-коммунальный комплекс и городская среда».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8D32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18. «Ежегодное обеспечение  сжиженным газом населения в границах город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8D32C2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», т/год (определяется исходя из фактического объема реализованного населению сжиженного газа, согласно предоставленным документам на получение субсидии).</w:t>
                  </w:r>
                </w:p>
              </w:tc>
            </w:tr>
            <w:tr w:rsidR="00935DC7" w:rsidRPr="00935DC7" w:rsidTr="00597295">
              <w:trPr>
                <w:trHeight w:val="58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Цель. Развитие жилищно-коммунального комплекса и повышение энергетической эффективности</w:t>
                  </w:r>
                </w:p>
              </w:tc>
            </w:tr>
            <w:tr w:rsidR="00935DC7" w:rsidRPr="00935DC7" w:rsidTr="00597295">
              <w:trPr>
                <w:trHeight w:val="115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Задача 6. Энергосбережение в бюджетной сфере. Задача 7. Энергосбережение в жилищной сфере.</w:t>
                  </w:r>
                </w:p>
              </w:tc>
            </w:tr>
            <w:tr w:rsidR="00935DC7" w:rsidRPr="00935DC7" w:rsidTr="00597295">
              <w:trPr>
                <w:trHeight w:val="119"/>
                <w:jc w:val="center"/>
              </w:trPr>
              <w:tc>
                <w:tcPr>
                  <w:tcW w:w="1555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0E31B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Подпрограмма III «Энергосбережение и повышение энергетической эффективности и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энергобезопасности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город</w:t>
                  </w:r>
                  <w:r w:rsidR="000E31B3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0E31B3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935DC7" w:rsidRPr="00935DC7" w:rsidTr="00597295">
              <w:trPr>
                <w:trHeight w:val="53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Энергосбережение в бюджетной сфере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Оснащение индивидуальными и общедомовыми приборами учета энергоресурсов жилого фонда  (установка и замена вышедших из строя)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Таблица 1 к муниципальной программе; Федеральный закон от 23.11.2009 № 261-ФЗ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19. «Количество установленных приборов учета энергоресурсов», шт. (определяется согласно фактической стоимости приобретения,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цели).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20.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образования», %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доля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объема электрической энергии,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 электрической энергии,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общий объем электрической энергии, потребляемой (используемой) на территории муниципального образования)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21.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образования», %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доля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объема тепловой энергии,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 тепловой энергии,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общий объем тепловой энергии,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lastRenderedPageBreak/>
                    <w:t>потребляемой (используемой) на территории муниципального образования)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22.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образования», %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доля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объема холодной воды,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 холодной воды,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общий объем холодной воды, потребляемой (используемой) на территории муниципального образования)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23.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образования», %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доля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объема горячей воды,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 горячей воды, расчеты за которую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общий объем горячей воды, потребляемой (используемой) на территории муниципального образования)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24.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образования», %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доля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lastRenderedPageBreak/>
                    <w:t>объема природного газа, расчеты за который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п.у.п.г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 природного газа, расчеты за который осуществляются с использованием приборов учета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общий объем природного газа, потребляемого (используемого) на территории муниципального образования)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Показатель 25. «Удельный расход электрической энергии на снабжение органов местного самоуправления и муниципальных учреждений (в расчете на 1 кв. метр общей площади)», Квт/час на м2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электрической энергии на снабжение органов местного самоуправления и муниципальных учреждений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потребления электрической энергии органами местного самоуправления и муниципальными учреждениями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площадь зданий, помещений, в которых размещаются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органы местного самоуправления и муниципальные учреждения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Показатель 26. «Удельный расход тепловой энергии на снабжение органов местного самоуправления и муниципальных учреждений (в расчете на 1 кв. метр общей площади)», Гкал/м2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тепловой энергии на снабжение органов местного самоуправления и муниципальных учреждений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потребления тепловой энергии органами местного самоуправления и муниципальными учреждениями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площадь зданий, помещений, в которых размещаются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органы местного самоуправления и муниципальные учреждения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Показатель 27. «Удельный расход холодной воды на снабжение органов местного самоуправления и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lastRenderedPageBreak/>
                    <w:t xml:space="preserve">муниципальных учреждений (в расчете на 1 человека)», м3 на 1 чел.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холодной воды на снабжение органов местного самоуправления и муниципальных учреждений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потребления холодной воды органами местного самоуправления и муниципальными учреждениями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– среднегодовая численнос</w:t>
                  </w:r>
                  <w:r w:rsidR="000E31B3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ть постоянного населения 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Показатель 28. «Удельный расход горячей воды на снабжение органов местного самоуправления и муниципальных учреждений (в расчете на 1 человека)», м3 на 1 чел.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удельный расход горячей воды на снабжение органов местного самоуправления и муниципальных учреждений городского округа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объем потребления горячей воды органами местного самоуправления и муниципальными учреждениями гор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среднегодовая численность постоянного населения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Показатель 29. «Удельный расход природного газа на снабжение органов местного самоуправления и муниципальных учреждений (в расчете на 1 человека)», м3 на 1 чел.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природного газа на снабжение органов местного самоуправления и муниципальных учреждений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потребления природного газа органами местного самоуправления и муниципальными учреждениями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среднегодовая численность постоянного населения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30.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Доля светодиодных источников света в общем количестве источников света  в зданиях (помещениях), где размещаются органы местного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lastRenderedPageBreak/>
                    <w:t xml:space="preserve">самоуправления и муниципальные учреждения», %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с.и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 К(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с.и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.)/К(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с.и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доля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К(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с.и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количество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светодиодных источников света в зданиях (помещениях), где размещаются органы местного самоуправления и муниципальные учреждения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К(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общ.и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общее количество источников света  в зданиях (помещениях), где размещаются органы местного самоуправления и муниципальные учреждения </w:t>
                  </w:r>
                  <w:r w:rsidR="000E31B3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Цель. Создание условий для комфортного проживания граждан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Задача 8. Выполнение капитального ремонта с внедрением современных строительных материалов.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5B084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Подпрограмма IV «Капитальный ремонт, реконструкция и ремонт муниципального жилищного фонда город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935DC7" w:rsidRPr="00935DC7" w:rsidTr="00597295">
              <w:trPr>
                <w:trHeight w:val="632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Капитальный ремонт, реконструкция и ремонт муниципального жилого фонда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5B084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Капитальный ремонт, реконструкция и ремонт муниципального жилищного фонда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Таблица 1 к муниципальной программе; Жилищный кодекс Российской Федерации.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36. «Площадь муниципального жилищного фонда, в котором проведен капитальный ремонт или реконструкция», м² (указывается общая площадь муниципального жилищного фонда, на котором проведены данные работы).</w:t>
                  </w:r>
                </w:p>
              </w:tc>
            </w:tr>
            <w:tr w:rsidR="00935DC7" w:rsidRPr="00935DC7" w:rsidTr="00597295">
              <w:trPr>
                <w:trHeight w:val="188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Цель. Создание условий для комфортного проживания граждан;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Повышение качества и надежности предоставления жилищно-коммунальных услуг населению.</w:t>
                  </w:r>
                </w:p>
              </w:tc>
            </w:tr>
            <w:tr w:rsidR="00935DC7" w:rsidRPr="00935DC7" w:rsidTr="00597295">
              <w:trPr>
                <w:trHeight w:val="58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Задача 8. Выполнение капитального ремонта с внедрением современных строительных материалов. 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Задача 9. Повышение эффективности управления и содержания общего имущества многоквартирных домов. </w:t>
                  </w:r>
                </w:p>
              </w:tc>
            </w:tr>
            <w:tr w:rsidR="00935DC7" w:rsidRPr="00935DC7" w:rsidTr="00597295">
              <w:trPr>
                <w:trHeight w:val="503"/>
                <w:jc w:val="center"/>
              </w:trPr>
              <w:tc>
                <w:tcPr>
                  <w:tcW w:w="155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Подпрограмма V «Содействие проведению капитального ремонта многоквартирных домов на территории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935DC7" w:rsidRPr="00935DC7" w:rsidTr="00597295">
              <w:trPr>
                <w:trHeight w:val="7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5B084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Муниципальная поддержка проведения капитального ремонта общего имущества в многоквартирных домах, расположенных на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территории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города </w:t>
                  </w:r>
                  <w:proofErr w:type="spellStart"/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Мегиона</w:t>
                  </w:r>
                  <w:proofErr w:type="spellEnd"/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Муниципальная поддержка капитального ремонта общего имущества в многоквартирных домах, расположенных на территории муниципального образования автономного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округа, осуществляемого в соответствии с программой капитального ремонта общего имущества в многоквартирных домах, расположенных на территории автономного округа, утвержденной постановлением Правительства Ханты-Мансийского автономного округа - Югры от 25 декабря 2013 года № 568-п</w:t>
                  </w:r>
                </w:p>
              </w:tc>
              <w:tc>
                <w:tcPr>
                  <w:tcW w:w="3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Таблица 1 к муниципальной программе, Закон автономного округа от 01.07.2013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Закон автономного округа от 06.07.2005 №57-оз «О регулировании отдельных жилищных отношений в Ханты-Мансийском автономном округе – Югре»,  постановление Правительства автономного округа от 25.12.2013 №568-п «О Программе капитального ремонта общего имущества в многоквартирных домах, расположенных на территории Ханты-Мансийского автономного округа - Югры».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Показатель 31.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тепловой энергии в многоквартирных домах (в расчете на 1 кв. метр общей площади)», Гкал/м2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тепловой энергии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тепловой энергии, потребляемой (используемой)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площадь многоквартирных домов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Показатель 32.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холодной воды в многоквартирных домах (в расчете на 1 жителя)», м3 на 1 чел.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холодной воды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холодной воды, потребляемой (используемой)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количество проживающих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обеспеченных холодным водоснабжением.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33.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горячей воды в многоквартирных домах (в расчете на 1 жителя)», м3 на 1 чел.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удельный расход горячей воды в многоквартирных домах городского округа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горячей воды, потребляемой (используемой)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; Ч(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г.в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количество проживающих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обеспеченных горячим водоснабжением.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34.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электрической энергии в многоквартирных домах (в расчете на 1 кв. метр общей площади)», Квт/час на м2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электрической энергии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э.э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электрической энергии, потребляемой (используемой) в многоквартирных домах </w:t>
                  </w:r>
                  <w:r w:rsidR="005B0848"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т.э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площадь многоквартирных домов </w:t>
                  </w:r>
                  <w:r w:rsidR="00BB69DE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35. «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площади)», м3/м2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(расчет осуществляется по формуле: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.), где УР(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удельный расход природного газа в многоквартирных домах </w:t>
                  </w:r>
                  <w:r w:rsidR="007168D6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 xml:space="preserve">объем природного газа, потребляемого (используемого) в многоквартирных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lastRenderedPageBreak/>
                    <w:t xml:space="preserve">домах </w:t>
                  </w:r>
                  <w:r w:rsidR="007168D6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п.г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– площадь многоквартирных домов </w:t>
                  </w:r>
                  <w:r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городского округа)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F3EA8" w:rsidRPr="00935DC7" w:rsidRDefault="00CF3EA8" w:rsidP="00CF3EA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Показатель 37. «Доля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домах», % (расчет осуществляется по формуле: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кр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=К(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кр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.)/К(общ.)*100, где Д(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кр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.) - 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домах; К(</w:t>
                  </w:r>
                  <w:proofErr w:type="spellStart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кр</w:t>
                  </w:r>
                  <w:proofErr w:type="spellEnd"/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.) - количество многоквартирных домов, на которых проведены работы по капитальному ремонту в плановом году; К(общ) - количество многоквартирных домов </w:t>
                  </w:r>
                  <w:r w:rsidR="007168D6" w:rsidRPr="00935DC7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ko-KR"/>
                    </w:rPr>
                    <w:t>города</w:t>
                  </w:r>
                  <w:r w:rsidRPr="00935DC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запланированных к выполнению работ по капитальному ремонту в соответствии с краткосрочным планом в плановом году).</w:t>
                  </w:r>
                </w:p>
              </w:tc>
            </w:tr>
          </w:tbl>
          <w:p w:rsidR="00CF3EA8" w:rsidRPr="00935DC7" w:rsidRDefault="00CF3EA8" w:rsidP="00CF3EA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E4815" w:rsidRPr="00935DC7" w:rsidRDefault="00DE4815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168D6" w:rsidRPr="00935DC7" w:rsidRDefault="007168D6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168D6" w:rsidRPr="00935DC7" w:rsidRDefault="007168D6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168D6" w:rsidRPr="00935DC7" w:rsidRDefault="007168D6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168D6" w:rsidRPr="00935DC7" w:rsidRDefault="007168D6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168D6" w:rsidRPr="00935DC7" w:rsidRDefault="007168D6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168D6" w:rsidRPr="00935DC7" w:rsidRDefault="007168D6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E4815" w:rsidRPr="00935DC7" w:rsidRDefault="00DE4815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742" w:type="dxa"/>
        <w:tblInd w:w="817" w:type="dxa"/>
        <w:tblLook w:val="04A0" w:firstRow="1" w:lastRow="0" w:firstColumn="1" w:lastColumn="0" w:noHBand="0" w:noVBand="1"/>
      </w:tblPr>
      <w:tblGrid>
        <w:gridCol w:w="349"/>
        <w:gridCol w:w="243"/>
        <w:gridCol w:w="259"/>
        <w:gridCol w:w="5811"/>
        <w:gridCol w:w="8080"/>
      </w:tblGrid>
      <w:tr w:rsidR="00CF3EA8" w:rsidRPr="00935DC7" w:rsidTr="00597295">
        <w:trPr>
          <w:trHeight w:val="37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5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DE4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«Таблица 5</w:t>
            </w:r>
          </w:p>
        </w:tc>
      </w:tr>
      <w:tr w:rsidR="00CF3EA8" w:rsidRPr="00935DC7" w:rsidTr="00597295">
        <w:trPr>
          <w:trHeight w:val="589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CF3EA8" w:rsidRPr="00935DC7" w:rsidTr="00597295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3EA8" w:rsidRPr="00935DC7" w:rsidTr="00597295">
        <w:trPr>
          <w:trHeight w:val="315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по преодолению рисков</w:t>
            </w:r>
          </w:p>
        </w:tc>
      </w:tr>
      <w:tr w:rsidR="00CF3EA8" w:rsidRPr="00935DC7" w:rsidTr="00597295">
        <w:trPr>
          <w:trHeight w:val="458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3EA8" w:rsidRPr="00935DC7" w:rsidTr="00597295">
        <w:trPr>
          <w:trHeight w:val="48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темпов роста экономики, уровня инвестиционной активности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Модернизация и технологическое обновление основных фондов жилищно-коммунального комплекса с применением </w:t>
            </w:r>
            <w:proofErr w:type="spellStart"/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</w:t>
            </w:r>
            <w:proofErr w:type="spellEnd"/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 энергосберегающего оборудования и материалов</w:t>
            </w:r>
          </w:p>
        </w:tc>
      </w:tr>
      <w:tr w:rsidR="00CF3EA8" w:rsidRPr="00935DC7" w:rsidTr="00597295">
        <w:trPr>
          <w:trHeight w:val="121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Ограниченные объемы бюджетных средств на финансирование мероприятий  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инвестиций в жилищно-коммунальный комплекс, обеспечение передачи объектов коммунального комплекса в концессию</w:t>
            </w:r>
          </w:p>
        </w:tc>
      </w:tr>
      <w:tr w:rsidR="00CF3EA8" w:rsidRPr="00935DC7" w:rsidTr="00597295">
        <w:trPr>
          <w:trHeight w:val="140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Недостаточная правовая грамотность  населения по вопросам жилищно-коммунального хозяйства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A8" w:rsidRPr="00935DC7" w:rsidRDefault="00CF3EA8" w:rsidP="00CF3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информационно-разъяснительных мероприятий с населением, встреч, семинаров</w:t>
            </w:r>
          </w:p>
        </w:tc>
      </w:tr>
    </w:tbl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35DC7">
        <w:rPr>
          <w:rFonts w:ascii="Times New Roman" w:eastAsia="Calibri" w:hAnsi="Times New Roman" w:cs="Times New Roman"/>
          <w:color w:val="000000" w:themeColor="text1"/>
        </w:rPr>
        <w:tab/>
      </w: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0" w:type="auto"/>
        <w:tblInd w:w="11590" w:type="dxa"/>
        <w:tblLook w:val="04A0" w:firstRow="1" w:lastRow="0" w:firstColumn="1" w:lastColumn="0" w:noHBand="0" w:noVBand="1"/>
      </w:tblPr>
      <w:tblGrid>
        <w:gridCol w:w="3549"/>
      </w:tblGrid>
      <w:tr w:rsidR="00CF3EA8" w:rsidRPr="00935DC7" w:rsidTr="00597295">
        <w:tc>
          <w:tcPr>
            <w:tcW w:w="3765" w:type="dxa"/>
            <w:shd w:val="clear" w:color="auto" w:fill="auto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F3EA8" w:rsidRPr="00935DC7" w:rsidRDefault="00CF3EA8" w:rsidP="00DE4815">
      <w:pPr>
        <w:tabs>
          <w:tab w:val="left" w:pos="5124"/>
        </w:tabs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«Таблица 6</w:t>
      </w: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D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Перечень объектов капитального строительства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481"/>
        <w:gridCol w:w="3161"/>
        <w:gridCol w:w="3161"/>
        <w:gridCol w:w="3228"/>
      </w:tblGrid>
      <w:tr w:rsidR="00CF3EA8" w:rsidRPr="00935DC7" w:rsidTr="007C2582">
        <w:trPr>
          <w:trHeight w:val="869"/>
        </w:trPr>
        <w:tc>
          <w:tcPr>
            <w:tcW w:w="840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81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Мощность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CF3EA8" w:rsidRPr="00935DC7" w:rsidTr="007C2582">
        <w:trPr>
          <w:trHeight w:val="637"/>
        </w:trPr>
        <w:tc>
          <w:tcPr>
            <w:tcW w:w="840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1" w:type="dxa"/>
            <w:shd w:val="clear" w:color="auto" w:fill="auto"/>
            <w:vAlign w:val="center"/>
          </w:tcPr>
          <w:p w:rsidR="00CF3EA8" w:rsidRPr="00935DC7" w:rsidRDefault="00CF3EA8" w:rsidP="00B21175">
            <w:pPr>
              <w:tabs>
                <w:tab w:val="left" w:pos="5124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Газификация школы на 300 учащихся в п. Высокий»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F3EA8" w:rsidRPr="00935DC7" w:rsidRDefault="00CF3EA8" w:rsidP="00CF3EA8">
            <w:pPr>
              <w:tabs>
                <w:tab w:val="left" w:pos="512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D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</w:tr>
    </w:tbl>
    <w:p w:rsidR="00CF3EA8" w:rsidRPr="00935DC7" w:rsidRDefault="00CF3EA8" w:rsidP="00CF3EA8">
      <w:pPr>
        <w:tabs>
          <w:tab w:val="left" w:pos="5124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935DC7">
        <w:rPr>
          <w:rFonts w:ascii="Times New Roman" w:eastAsia="Calibri" w:hAnsi="Times New Roman" w:cs="Times New Roman"/>
          <w:color w:val="000000" w:themeColor="text1"/>
        </w:rPr>
        <w:t>».</w:t>
      </w: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F3EA8" w:rsidRPr="00935DC7" w:rsidRDefault="00CF3EA8" w:rsidP="00CF3EA8">
      <w:pPr>
        <w:tabs>
          <w:tab w:val="left" w:pos="5124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1713BD" w:rsidRPr="00935DC7" w:rsidRDefault="001713BD">
      <w:pPr>
        <w:rPr>
          <w:color w:val="000000" w:themeColor="text1"/>
        </w:rPr>
      </w:pPr>
    </w:p>
    <w:sectPr w:rsidR="001713BD" w:rsidRPr="00935DC7" w:rsidSect="00597295">
      <w:pgSz w:w="16840" w:h="11907" w:orient="landscape"/>
      <w:pgMar w:top="1134" w:right="1134" w:bottom="284" w:left="567" w:header="28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9B" w:rsidRDefault="0046339B">
      <w:pPr>
        <w:spacing w:after="0" w:line="240" w:lineRule="auto"/>
      </w:pPr>
      <w:r>
        <w:separator/>
      </w:r>
    </w:p>
  </w:endnote>
  <w:endnote w:type="continuationSeparator" w:id="0">
    <w:p w:rsidR="0046339B" w:rsidRDefault="0046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9B" w:rsidRDefault="0046339B">
      <w:pPr>
        <w:spacing w:after="0" w:line="240" w:lineRule="auto"/>
      </w:pPr>
      <w:r>
        <w:separator/>
      </w:r>
    </w:p>
  </w:footnote>
  <w:footnote w:type="continuationSeparator" w:id="0">
    <w:p w:rsidR="0046339B" w:rsidRDefault="0046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B1" w:rsidRPr="00235E92" w:rsidRDefault="00B954B1" w:rsidP="00597295">
    <w:pPr>
      <w:pStyle w:val="a7"/>
      <w:jc w:val="center"/>
      <w:rPr>
        <w:rFonts w:ascii="Times New Roman" w:hAnsi="Times New Roman"/>
        <w:sz w:val="24"/>
      </w:rPr>
    </w:pPr>
    <w:r w:rsidRPr="002E1707">
      <w:rPr>
        <w:rFonts w:ascii="Times New Roman" w:hAnsi="Times New Roman"/>
        <w:sz w:val="24"/>
      </w:rPr>
      <w:fldChar w:fldCharType="begin"/>
    </w:r>
    <w:r w:rsidRPr="002E1707">
      <w:rPr>
        <w:rFonts w:ascii="Times New Roman" w:hAnsi="Times New Roman"/>
        <w:sz w:val="24"/>
      </w:rPr>
      <w:instrText>PAGE   \* MERGEFORMAT</w:instrText>
    </w:r>
    <w:r w:rsidRPr="002E1707">
      <w:rPr>
        <w:rFonts w:ascii="Times New Roman" w:hAnsi="Times New Roman"/>
        <w:sz w:val="24"/>
      </w:rPr>
      <w:fldChar w:fldCharType="separate"/>
    </w:r>
    <w:r w:rsidR="00950165">
      <w:rPr>
        <w:rFonts w:ascii="Times New Roman" w:hAnsi="Times New Roman"/>
        <w:noProof/>
        <w:sz w:val="24"/>
      </w:rPr>
      <w:t>22</w:t>
    </w:r>
    <w:r w:rsidRPr="002E1707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B1" w:rsidRPr="00251820" w:rsidRDefault="00B954B1" w:rsidP="00597295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447ED"/>
    <w:multiLevelType w:val="multilevel"/>
    <w:tmpl w:val="0146497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D2E"/>
    <w:multiLevelType w:val="multilevel"/>
    <w:tmpl w:val="2F981F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929B1"/>
    <w:multiLevelType w:val="hybridMultilevel"/>
    <w:tmpl w:val="6D167B9C"/>
    <w:lvl w:ilvl="0" w:tplc="8EE6965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1E88"/>
    <w:multiLevelType w:val="multilevel"/>
    <w:tmpl w:val="FC3AF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9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B6044"/>
    <w:multiLevelType w:val="hybridMultilevel"/>
    <w:tmpl w:val="B9FEC5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6C5932"/>
    <w:multiLevelType w:val="hybridMultilevel"/>
    <w:tmpl w:val="379E2874"/>
    <w:lvl w:ilvl="0" w:tplc="8EE696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21"/>
  </w:num>
  <w:num w:numId="14">
    <w:abstractNumId w:val="16"/>
  </w:num>
  <w:num w:numId="15">
    <w:abstractNumId w:val="8"/>
  </w:num>
  <w:num w:numId="16">
    <w:abstractNumId w:val="22"/>
  </w:num>
  <w:num w:numId="17">
    <w:abstractNumId w:val="18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  <w:num w:numId="22">
    <w:abstractNumId w:val="20"/>
  </w:num>
  <w:num w:numId="23">
    <w:abstractNumId w:val="10"/>
  </w:num>
  <w:num w:numId="24">
    <w:abstractNumId w:val="25"/>
  </w:num>
  <w:num w:numId="25">
    <w:abstractNumId w:val="27"/>
  </w:num>
  <w:num w:numId="26">
    <w:abstractNumId w:val="26"/>
  </w:num>
  <w:num w:numId="27">
    <w:abstractNumId w:val="12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0"/>
    <w:rsid w:val="00023CDD"/>
    <w:rsid w:val="00086FBC"/>
    <w:rsid w:val="000E31B3"/>
    <w:rsid w:val="000E71BB"/>
    <w:rsid w:val="000F47F0"/>
    <w:rsid w:val="001713BD"/>
    <w:rsid w:val="001B56D5"/>
    <w:rsid w:val="001C6BDD"/>
    <w:rsid w:val="001F3004"/>
    <w:rsid w:val="00205D4A"/>
    <w:rsid w:val="00211776"/>
    <w:rsid w:val="00216930"/>
    <w:rsid w:val="00220023"/>
    <w:rsid w:val="00227AB1"/>
    <w:rsid w:val="002906C0"/>
    <w:rsid w:val="00291FC6"/>
    <w:rsid w:val="002F1D7D"/>
    <w:rsid w:val="00301435"/>
    <w:rsid w:val="003068BC"/>
    <w:rsid w:val="00345140"/>
    <w:rsid w:val="00351E76"/>
    <w:rsid w:val="00354754"/>
    <w:rsid w:val="00356C5B"/>
    <w:rsid w:val="003C42CE"/>
    <w:rsid w:val="004047ED"/>
    <w:rsid w:val="004049C5"/>
    <w:rsid w:val="0041182C"/>
    <w:rsid w:val="0046339B"/>
    <w:rsid w:val="004A796A"/>
    <w:rsid w:val="00505DE3"/>
    <w:rsid w:val="00582FFE"/>
    <w:rsid w:val="00597295"/>
    <w:rsid w:val="005B0848"/>
    <w:rsid w:val="00602B01"/>
    <w:rsid w:val="006673B7"/>
    <w:rsid w:val="006724C7"/>
    <w:rsid w:val="006B6155"/>
    <w:rsid w:val="007168D6"/>
    <w:rsid w:val="00776758"/>
    <w:rsid w:val="007A11CB"/>
    <w:rsid w:val="007C2309"/>
    <w:rsid w:val="007C2582"/>
    <w:rsid w:val="007C41C6"/>
    <w:rsid w:val="008A2973"/>
    <w:rsid w:val="008C12A9"/>
    <w:rsid w:val="008D32C2"/>
    <w:rsid w:val="008F2600"/>
    <w:rsid w:val="00912254"/>
    <w:rsid w:val="00935DC7"/>
    <w:rsid w:val="0094109D"/>
    <w:rsid w:val="00950165"/>
    <w:rsid w:val="009655F0"/>
    <w:rsid w:val="0099087A"/>
    <w:rsid w:val="009B5EB0"/>
    <w:rsid w:val="009D6251"/>
    <w:rsid w:val="009D7FCC"/>
    <w:rsid w:val="00B1698B"/>
    <w:rsid w:val="00B21175"/>
    <w:rsid w:val="00B6245B"/>
    <w:rsid w:val="00B842FB"/>
    <w:rsid w:val="00B9367F"/>
    <w:rsid w:val="00B954B1"/>
    <w:rsid w:val="00BB69DE"/>
    <w:rsid w:val="00BC495D"/>
    <w:rsid w:val="00BF2DA7"/>
    <w:rsid w:val="00C17B50"/>
    <w:rsid w:val="00CF3EA8"/>
    <w:rsid w:val="00D12366"/>
    <w:rsid w:val="00D705B4"/>
    <w:rsid w:val="00DE1723"/>
    <w:rsid w:val="00DE4815"/>
    <w:rsid w:val="00E23372"/>
    <w:rsid w:val="00E23DBF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2508"/>
  <w15:chartTrackingRefBased/>
  <w15:docId w15:val="{8A47634A-9D6B-4F08-B0D3-A5AF864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F3EA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EA8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3E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CF3EA8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CF3EA8"/>
  </w:style>
  <w:style w:type="table" w:styleId="a4">
    <w:name w:val="Table Grid"/>
    <w:basedOn w:val="a2"/>
    <w:uiPriority w:val="59"/>
    <w:rsid w:val="00CF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F3E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CF3EA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CF3EA8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CF3EA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CF3EA8"/>
    <w:rPr>
      <w:rFonts w:ascii="Calibri" w:eastAsia="Calibri" w:hAnsi="Calibri" w:cs="Times New Roman"/>
    </w:rPr>
  </w:style>
  <w:style w:type="paragraph" w:styleId="ab">
    <w:name w:val="Balloon Text"/>
    <w:basedOn w:val="a0"/>
    <w:link w:val="ac"/>
    <w:uiPriority w:val="99"/>
    <w:semiHidden/>
    <w:unhideWhenUsed/>
    <w:rsid w:val="00CF3E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F3EA8"/>
    <w:rPr>
      <w:rFonts w:ascii="Tahoma" w:eastAsia="Calibri" w:hAnsi="Tahoma" w:cs="Tahoma"/>
      <w:sz w:val="16"/>
      <w:szCs w:val="16"/>
    </w:rPr>
  </w:style>
  <w:style w:type="character" w:styleId="ad">
    <w:name w:val="Hyperlink"/>
    <w:uiPriority w:val="99"/>
    <w:semiHidden/>
    <w:unhideWhenUsed/>
    <w:rsid w:val="00CF3E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CF3EA8"/>
    <w:rPr>
      <w:color w:val="800080"/>
      <w:u w:val="single"/>
    </w:rPr>
  </w:style>
  <w:style w:type="paragraph" w:customStyle="1" w:styleId="xl65">
    <w:name w:val="xl65"/>
    <w:basedOn w:val="a0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CF3E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CF3E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0"/>
    <w:rsid w:val="00CF3EA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CF3E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CF3E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F3E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CF3E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CF3E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CF3E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CF3E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CF3E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CF3E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CF3E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CF3E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CF3E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CF3E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CF3E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CF3E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CF3EA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CF3E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CF3E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CF3E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CF3E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CF3E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CF3E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CF3E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CF3E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CF3E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CF3E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CF3E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CF3E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CF3E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CF3E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CF3E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CF3E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CF3E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CF3E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CF3E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CF3E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CF3E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C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CF3E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CF3E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CF3E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CF3E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CF3E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CF3E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CF3E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CF3E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0"/>
    <w:rsid w:val="00CF3E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CF3EA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msonormal0">
    <w:name w:val="msonormal"/>
    <w:basedOn w:val="a0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CF3EA8"/>
    <w:rPr>
      <w:color w:val="008000"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,Char,Refer"/>
    <w:basedOn w:val="a0"/>
    <w:link w:val="af1"/>
    <w:rsid w:val="00CF3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Char Знак,Refer Знак"/>
    <w:basedOn w:val="a1"/>
    <w:link w:val="af0"/>
    <w:rsid w:val="00CF3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rsid w:val="00CF3EA8"/>
    <w:rPr>
      <w:vertAlign w:val="superscript"/>
    </w:rPr>
  </w:style>
  <w:style w:type="paragraph" w:customStyle="1" w:styleId="ConsPlusNormal">
    <w:name w:val="ConsPlusNormal"/>
    <w:link w:val="ConsPlusNormal0"/>
    <w:rsid w:val="00CF3E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EA8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aliases w:val="Обычный (Web)"/>
    <w:basedOn w:val="a0"/>
    <w:uiPriority w:val="99"/>
    <w:unhideWhenUsed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line number"/>
    <w:uiPriority w:val="99"/>
    <w:semiHidden/>
    <w:unhideWhenUsed/>
    <w:rsid w:val="00CF3EA8"/>
  </w:style>
  <w:style w:type="numbering" w:customStyle="1" w:styleId="110">
    <w:name w:val="Нет списка11"/>
    <w:next w:val="a3"/>
    <w:uiPriority w:val="99"/>
    <w:semiHidden/>
    <w:unhideWhenUsed/>
    <w:rsid w:val="00CF3EA8"/>
  </w:style>
  <w:style w:type="character" w:customStyle="1" w:styleId="apple-converted-space">
    <w:name w:val="apple-converted-space"/>
    <w:rsid w:val="00CF3EA8"/>
  </w:style>
  <w:style w:type="paragraph" w:customStyle="1" w:styleId="af5">
    <w:name w:val="Абзац"/>
    <w:basedOn w:val="a0"/>
    <w:link w:val="af6"/>
    <w:qFormat/>
    <w:rsid w:val="00CF3EA8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Абзац Знак"/>
    <w:link w:val="af5"/>
    <w:rsid w:val="00CF3E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List Paragraph"/>
    <w:aliases w:val="Абзац списка11,ПАРАГРАФ"/>
    <w:basedOn w:val="a0"/>
    <w:uiPriority w:val="34"/>
    <w:qFormat/>
    <w:rsid w:val="00CF3E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F3E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8">
    <w:name w:val="Strong"/>
    <w:qFormat/>
    <w:rsid w:val="00CF3EA8"/>
    <w:rPr>
      <w:b/>
      <w:bCs/>
    </w:rPr>
  </w:style>
  <w:style w:type="paragraph" w:styleId="af9">
    <w:name w:val="caption"/>
    <w:basedOn w:val="a0"/>
    <w:next w:val="a0"/>
    <w:uiPriority w:val="35"/>
    <w:unhideWhenUsed/>
    <w:qFormat/>
    <w:rsid w:val="00CF3EA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rsid w:val="00CF3EA8"/>
    <w:pPr>
      <w:numPr>
        <w:numId w:val="17"/>
      </w:num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styleId="afa">
    <w:name w:val="page number"/>
    <w:uiPriority w:val="99"/>
    <w:rsid w:val="00CF3EA8"/>
    <w:rPr>
      <w:rFonts w:cs="Times New Roman"/>
    </w:rPr>
  </w:style>
  <w:style w:type="paragraph" w:customStyle="1" w:styleId="BodyText22">
    <w:name w:val="Body Text 22"/>
    <w:basedOn w:val="a0"/>
    <w:uiPriority w:val="99"/>
    <w:rsid w:val="00CF3EA8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CF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rsid w:val="00CF3EA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F3EA8"/>
    <w:rPr>
      <w:rFonts w:ascii="Calibri" w:eastAsia="Calibri" w:hAnsi="Calibri" w:cs="Times New Roman"/>
    </w:rPr>
  </w:style>
  <w:style w:type="paragraph" w:customStyle="1" w:styleId="s1">
    <w:name w:val="s_1"/>
    <w:basedOn w:val="a0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B21175"/>
  </w:style>
  <w:style w:type="numbering" w:customStyle="1" w:styleId="120">
    <w:name w:val="Нет списка12"/>
    <w:next w:val="a3"/>
    <w:uiPriority w:val="99"/>
    <w:semiHidden/>
    <w:unhideWhenUsed/>
    <w:rsid w:val="00B21175"/>
  </w:style>
  <w:style w:type="table" w:customStyle="1" w:styleId="20">
    <w:name w:val="Сетка таблицы2"/>
    <w:basedOn w:val="a2"/>
    <w:next w:val="a4"/>
    <w:uiPriority w:val="59"/>
    <w:rsid w:val="00B21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1"/>
    <w:uiPriority w:val="99"/>
    <w:semiHidden/>
    <w:unhideWhenUsed/>
    <w:rsid w:val="00B2117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2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21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2117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211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">
    <w:name w:val="Сетка таблицы11"/>
    <w:basedOn w:val="a2"/>
    <w:next w:val="a4"/>
    <w:uiPriority w:val="59"/>
    <w:rsid w:val="00B2117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B21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4B93-C944-4732-A464-D9BC1429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7393</TotalTime>
  <Pages>36</Pages>
  <Words>9391</Words>
  <Characters>53534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Суяримбетова Галия Нуримановна</cp:lastModifiedBy>
  <cp:revision>43</cp:revision>
  <dcterms:created xsi:type="dcterms:W3CDTF">2020-08-07T06:07:00Z</dcterms:created>
  <dcterms:modified xsi:type="dcterms:W3CDTF">2021-03-12T09:45:00Z</dcterms:modified>
</cp:coreProperties>
</file>