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63F1" w:rsidRDefault="007663F1" w:rsidP="007663F1">
      <w:pPr>
        <w:ind w:left="0"/>
        <w:jc w:val="both"/>
        <w:rPr>
          <w:lang w:eastAsia="ru-RU"/>
        </w:rPr>
      </w:pPr>
    </w:p>
    <w:p w:rsidR="007663F1" w:rsidRPr="007663F1" w:rsidRDefault="007663F1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Приложение 1</w:t>
      </w:r>
    </w:p>
    <w:p w:rsidR="007663F1" w:rsidRPr="007663F1" w:rsidRDefault="007663F1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47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 администрации города</w:t>
      </w:r>
    </w:p>
    <w:p w:rsidR="007663F1" w:rsidRPr="007663F1" w:rsidRDefault="007663F1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№ _______</w:t>
      </w:r>
    </w:p>
    <w:p w:rsidR="007663F1" w:rsidRDefault="007663F1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5AC" w:rsidRDefault="00E475AC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5AC" w:rsidRPr="007663F1" w:rsidRDefault="00E475AC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63F1" w:rsidRPr="007663F1" w:rsidRDefault="007663F1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Думы города </w:t>
      </w:r>
      <w:proofErr w:type="spellStart"/>
      <w:r w:rsidRPr="007663F1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</w:p>
    <w:p w:rsidR="007663F1" w:rsidRDefault="007663F1" w:rsidP="00207752">
      <w:pPr>
        <w:rPr>
          <w:lang w:eastAsia="ru-RU"/>
        </w:rPr>
      </w:pPr>
    </w:p>
    <w:p w:rsidR="007663F1" w:rsidRDefault="007663F1" w:rsidP="00207752">
      <w:pPr>
        <w:rPr>
          <w:lang w:eastAsia="ru-RU"/>
        </w:rPr>
      </w:pPr>
    </w:p>
    <w:p w:rsidR="00E475AC" w:rsidRDefault="00E475AC" w:rsidP="00207752">
      <w:pPr>
        <w:rPr>
          <w:lang w:eastAsia="ru-RU"/>
        </w:rPr>
      </w:pPr>
    </w:p>
    <w:p w:rsidR="007663F1" w:rsidRDefault="007663F1" w:rsidP="00207752">
      <w:pPr>
        <w:rPr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 и 2019 годов</w:t>
      </w:r>
    </w:p>
    <w:p w:rsidR="00017B40" w:rsidRPr="00D954FC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округа город </w:t>
      </w:r>
      <w:proofErr w:type="spellStart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</w:p>
    <w:p w:rsidR="00017B40" w:rsidRPr="00D954FC" w:rsidRDefault="00017B40" w:rsidP="00017B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30074A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городского округа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3 758 602,2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2 536 751,1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547DE0" w:rsidRPr="00AF1949">
        <w:rPr>
          <w:rFonts w:ascii="Times New Roman" w:eastAsia="Calibri" w:hAnsi="Times New Roman" w:cs="Times New Roman"/>
          <w:sz w:val="24"/>
          <w:szCs w:val="24"/>
        </w:rPr>
        <w:t>3 880 787,3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547DE0" w:rsidRPr="00AF1949">
        <w:rPr>
          <w:rFonts w:ascii="Times New Roman" w:eastAsia="Calibri" w:hAnsi="Times New Roman" w:cs="Times New Roman"/>
          <w:sz w:val="24"/>
          <w:szCs w:val="24"/>
        </w:rPr>
        <w:t>122 185,1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613743" w:rsidRPr="00AF1949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долга городского округа на 1 января 201</w:t>
      </w:r>
      <w:r w:rsidR="0030074A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122 185,1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рублей, в том числе верхний предел долга по муниципальным гарантиям городского округа  в сумме 0,00 тыс. рублей;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610 925,5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F1949" w:rsidRDefault="00017B40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бюджета городского округа город 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2018 и 2019 годов: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3 705 342,8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3 478 608,3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2 468 316,1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2 218 822,7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3 816 675,2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3 579 391,1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условно утвержденные расходы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44 758,5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90 127,4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111 332,4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100 782,8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2019 года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111 332,4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2020 года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100 782,8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городского округа на 1 января 2019 года в сумме 0,00 тыс. рублей и на 1 января 2020 года в сумме 0,00 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предельный объем муниципального внутреннего долга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618 513,35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629 892,8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округа на 2018 год в сумме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1949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7313AF" w:rsidP="00017B40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 184.1 Бюджетного кодекса Российской Федерации и пунктом 1 статьи 2 Закона Ханты-Мансийского автономного округа - Югры </w:t>
      </w:r>
      <w:r w:rsidRPr="00AF1949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AF19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 автономного округа, бюджетом территориального государственного внебюджетного фонда и бюджетами муниципальных образований Ханты-Мансийского автономного округа – Югры н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BC6573" w:rsidRPr="00AF1949">
        <w:rPr>
          <w:rFonts w:ascii="Times New Roman" w:eastAsia="Calibri" w:hAnsi="Times New Roman" w:cs="Times New Roman"/>
          <w:sz w:val="24"/>
          <w:szCs w:val="24"/>
        </w:rPr>
        <w:t xml:space="preserve"> 2017 год</w:t>
      </w:r>
      <w:r w:rsidR="00BC657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2018 и 2019 годов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AF1949" w:rsidRDefault="00017B40" w:rsidP="00017B40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 2 Закона Ханты-Мансийского автономного округа - Югры "О бюджете Ханты-Мансийского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AF19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</w:t>
      </w:r>
      <w:r w:rsidRPr="00AF1949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х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рии Российской Федерации</w:t>
      </w:r>
      <w:proofErr w:type="gramEnd"/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>2017 год</w:t>
      </w:r>
      <w:r w:rsidR="00BC657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2018 и 2019 годов</w:t>
      </w:r>
      <w:r w:rsidR="00532775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1949">
        <w:rPr>
          <w:rFonts w:ascii="Calibri" w:eastAsia="Calibri" w:hAnsi="Calibri" w:cs="Times New Roman"/>
        </w:rPr>
        <w:tab/>
      </w: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AF1949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AF1949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округа.</w:t>
      </w:r>
    </w:p>
    <w:p w:rsidR="00017B40" w:rsidRPr="00AF1949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Мегиона.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Мегиона в установленном им порядке. </w:t>
      </w:r>
    </w:p>
    <w:p w:rsidR="00776BA2" w:rsidRPr="00AF1949" w:rsidRDefault="00776BA2" w:rsidP="00776BA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Субсидии юридическим лицам подлежат перечислению на лицевые счета</w:t>
      </w:r>
      <w:r w:rsidR="006D611C" w:rsidRPr="00AF1949">
        <w:rPr>
          <w:rFonts w:ascii="Times New Roman" w:eastAsia="Calibri" w:hAnsi="Times New Roman" w:cs="Times New Roman"/>
          <w:sz w:val="24"/>
          <w:szCs w:val="24"/>
        </w:rPr>
        <w:t>, открытые юридическим лицам в д</w:t>
      </w:r>
      <w:r w:rsidRPr="00AF1949">
        <w:rPr>
          <w:rFonts w:ascii="Times New Roman" w:eastAsia="Calibri" w:hAnsi="Times New Roman" w:cs="Times New Roman"/>
          <w:sz w:val="24"/>
          <w:szCs w:val="24"/>
        </w:rPr>
        <w:t>епартаменте финансов администрации города</w:t>
      </w:r>
      <w:r w:rsidR="006D611C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611C" w:rsidRPr="00AF1949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, предоставляемые:</w:t>
      </w:r>
    </w:p>
    <w:p w:rsidR="00776BA2" w:rsidRPr="00AF1949" w:rsidRDefault="00776BA2" w:rsidP="00776BA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в виде взносов в уставные капиталы и имущественных взносов;</w:t>
      </w:r>
    </w:p>
    <w:p w:rsidR="00776BA2" w:rsidRPr="00AF1949" w:rsidRDefault="00776BA2" w:rsidP="00776BA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на поддержку отраслей промышленности, за исключением возмещения фактически понесенных затрат в связи с производством (реализацией) товаров, выполнением работ, оказанием услуг;</w:t>
      </w:r>
    </w:p>
    <w:p w:rsidR="00776BA2" w:rsidRPr="00AF1949" w:rsidRDefault="00776BA2" w:rsidP="00776BA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предприятиям сельского хозяйства, получающим грант в форме субсидий на развитие семейных животноводческих ферм на базе крестьянских (фермерских) хозяйств.</w:t>
      </w:r>
    </w:p>
    <w:p w:rsidR="00017B40" w:rsidRPr="00AF1949" w:rsidRDefault="00776BA2" w:rsidP="00776BA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возникновение указанных обязательств, если иные условия не предусмотрены нормативными правовыми актами Российской Федерации.</w:t>
      </w:r>
    </w:p>
    <w:p w:rsidR="00776BA2" w:rsidRPr="00AF1949" w:rsidRDefault="00776BA2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AF1949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AF1949">
        <w:rPr>
          <w:rFonts w:ascii="Calibri" w:eastAsia="Calibri" w:hAnsi="Calibri" w:cs="Times New Roman"/>
        </w:rPr>
        <w:t xml:space="preserve">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AF19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AF1949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</w:t>
      </w:r>
      <w:r w:rsidRPr="00AF1949">
        <w:t xml:space="preserve"> н</w:t>
      </w:r>
      <w:r w:rsidRPr="00AF1949">
        <w:rPr>
          <w:rFonts w:ascii="Times New Roman" w:eastAsia="Calibri" w:hAnsi="Times New Roman" w:cs="Times New Roman"/>
          <w:sz w:val="24"/>
          <w:szCs w:val="24"/>
        </w:rPr>
        <w:t>а плановый период 2018 и 2019 годов согласно приложению 6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AF1949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7C6DA7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AF1949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на 2017 год согласно приложению 7 к настоящему решению;</w:t>
      </w:r>
    </w:p>
    <w:p w:rsidR="00017B40" w:rsidRPr="00AF1949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на плановый период 2018 и 2019 годов согласно приложению 8 к настоящему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7C6DA7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AF1949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9 к настоящему решению;</w:t>
      </w:r>
    </w:p>
    <w:p w:rsidR="007C6DA7" w:rsidRPr="00AF1949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10 к настоящему решению.</w:t>
      </w:r>
    </w:p>
    <w:p w:rsidR="007C6DA7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1E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 в её составе перечень главных распорядителей средств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341E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AF1949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11 к настоящему решению;</w:t>
      </w:r>
    </w:p>
    <w:p w:rsidR="005C341E" w:rsidRPr="00AF1949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12 к настоящему решению.</w:t>
      </w:r>
    </w:p>
    <w:p w:rsidR="00017B40" w:rsidRPr="00AF1949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1E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AF1949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341E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на 2017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96 901,8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AF1949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на 2018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98 340,1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AF1949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3) на 2019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99 810,4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B5" w:rsidRPr="00AF1949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15.</w:t>
      </w:r>
      <w:r w:rsidRPr="00AF1949"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Утвердить объем бюджетных ассигнований дорожного фонда городского округа город 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7BB5" w:rsidRPr="00AF1949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1)на 2017 год в сумме </w:t>
      </w:r>
      <w:r w:rsidR="0073616F">
        <w:rPr>
          <w:rFonts w:ascii="Times New Roman" w:eastAsia="Calibri" w:hAnsi="Times New Roman" w:cs="Times New Roman"/>
          <w:sz w:val="24"/>
          <w:szCs w:val="24"/>
        </w:rPr>
        <w:t>68 500,3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AF1949" w:rsidRDefault="0073616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2)на 2018 год в сумме 60 346,5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AF1949" w:rsidRDefault="0073616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3)на 2019 год в сумме 59 528,9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44026" w:rsidRPr="00AF1949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B5" w:rsidRPr="00AF1949" w:rsidRDefault="00C44026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16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.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07199D" w:rsidRPr="00AF1949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13 к настоящему решению;</w:t>
      </w:r>
    </w:p>
    <w:p w:rsidR="00017B40" w:rsidRPr="00AF1949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14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3A1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6153A1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источники внутреннего финансирования дефи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цита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6153A1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53A1" w:rsidRPr="00AF1949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15 к настоящему решению;</w:t>
      </w:r>
    </w:p>
    <w:p w:rsidR="00017B40" w:rsidRPr="00AF1949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16 к настоящему решению.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33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программу муниципальных внутренних заимствований городского округа</w:t>
      </w:r>
      <w:r w:rsidR="00F0216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</w:t>
      </w:r>
      <w:proofErr w:type="spellStart"/>
      <w:r w:rsidR="00F02163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8E7033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согласно приложению 1</w:t>
      </w:r>
      <w:r w:rsidR="00F02163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17B40" w:rsidRPr="00AF1949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18 к настоящему решению.</w:t>
      </w:r>
    </w:p>
    <w:p w:rsidR="00107E76" w:rsidRPr="00AF1949" w:rsidRDefault="00107E7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9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2017-2019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ах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право привлекать из бюджета Ханты-Мансийского автономного округа</w:t>
      </w:r>
      <w:r w:rsidR="00107E76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7-2019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ы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городского округа резервный фонд администрации города </w:t>
      </w:r>
      <w:proofErr w:type="spellStart"/>
      <w:r w:rsidR="00017B40" w:rsidRPr="00AF1949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1)на 2017 год в сумме 4 000,0 тыс. рублей;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2)на 2018 год в сумме 4 000,0 тыс. рублей;</w:t>
      </w:r>
    </w:p>
    <w:p w:rsidR="00017B40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3)на 2019 год в сумме 4 000,0 тыс. рублей.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75C2" w:rsidRPr="00AF1949">
        <w:rPr>
          <w:rFonts w:ascii="Times New Roman" w:eastAsia="Calibri" w:hAnsi="Times New Roman" w:cs="Times New Roman"/>
          <w:sz w:val="24"/>
          <w:szCs w:val="24"/>
        </w:rPr>
        <w:t>21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F1949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Pr="00AF1949">
        <w:rPr>
          <w:rFonts w:ascii="Times New Roman" w:eastAsia="Calibri" w:hAnsi="Times New Roman" w:cs="Times New Roman"/>
          <w:sz w:val="24"/>
          <w:szCs w:val="24"/>
        </w:rPr>
        <w:t>) реализацию социально значимого проекта среди социально ориентированных некоммерческих организаций на конкурсной основе;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481BB5" w:rsidRPr="00AF1949" w:rsidRDefault="007313AF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81BB5" w:rsidRPr="00AF1949">
        <w:rPr>
          <w:rFonts w:ascii="Times New Roman" w:eastAsia="Calibri" w:hAnsi="Times New Roman" w:cs="Times New Roman"/>
          <w:sz w:val="24"/>
          <w:szCs w:val="24"/>
        </w:rPr>
        <w:t>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возмещение недополученных доходов и (или) финансового обеспечения (возмещения) затрат  в связи с выполнением мероприятий по осуществлению дорожной деятельности на территории городского округа город  Мегион;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) проведение капитального ремонта общего имущества в многоквартирных домах, расположенных на территории городского округа город 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481BB5" w:rsidRPr="00AF19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361" w:rsidRPr="00AF1949" w:rsidRDefault="00481BB5" w:rsidP="00481B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 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</w:t>
      </w:r>
      <w:r w:rsidR="000C7DDD" w:rsidRPr="00AF1949">
        <w:rPr>
          <w:rFonts w:ascii="Times New Roman" w:eastAsia="Calibri" w:hAnsi="Times New Roman" w:cs="Times New Roman"/>
          <w:sz w:val="24"/>
          <w:szCs w:val="24"/>
        </w:rPr>
        <w:t>ими личной гигиены и режима дня;</w:t>
      </w:r>
    </w:p>
    <w:p w:rsidR="00BC0361" w:rsidRPr="00AF1949" w:rsidRDefault="00481BB5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AF1949">
        <w:rPr>
          <w:rFonts w:ascii="Times New Roman" w:eastAsia="Calibri" w:hAnsi="Times New Roman" w:cs="Times New Roman"/>
          <w:sz w:val="24"/>
          <w:szCs w:val="24"/>
        </w:rPr>
        <w:t>) возмещение части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«фенольных») для проживания жилых домах и приспособленных для проживания строений;</w:t>
      </w:r>
    </w:p>
    <w:p w:rsidR="00481BB5" w:rsidRPr="00AF1949" w:rsidRDefault="00481BB5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146FA0" w:rsidRPr="00AF1949">
        <w:rPr>
          <w:rFonts w:ascii="Times New Roman" w:eastAsia="Calibri" w:hAnsi="Times New Roman" w:cs="Times New Roman"/>
          <w:sz w:val="24"/>
          <w:szCs w:val="24"/>
        </w:rPr>
        <w:t>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) финансовое обеспечение затрат организаций, осуществляющих свою деятельность в сфере тепло, водоснабжения и водоотведения и оказывающих коммунальные услуги населению городского округа город 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, связанных с погашением задолженности за топливно-энергетические ресурсы.</w:t>
      </w:r>
    </w:p>
    <w:p w:rsidR="00017B40" w:rsidRPr="00AF1949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</w:t>
      </w:r>
      <w:r w:rsidR="006D62A2" w:rsidRPr="00AF1949">
        <w:rPr>
          <w:rFonts w:ascii="Times New Roman" w:eastAsia="Calibri" w:hAnsi="Times New Roman" w:cs="Times New Roman"/>
          <w:sz w:val="24"/>
          <w:szCs w:val="24"/>
        </w:rPr>
        <w:t xml:space="preserve"> Мегиона</w:t>
      </w:r>
      <w:r w:rsidRPr="00AF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8C" w:rsidRPr="00AF1949" w:rsidRDefault="00CB638C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решения, приводящие к увеличению в 201</w:t>
      </w:r>
      <w:r w:rsidR="008E703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AF1949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AF1949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F1949">
        <w:rPr>
          <w:rFonts w:ascii="Times New Roman" w:eastAsia="Calibri" w:hAnsi="Times New Roman" w:cs="Times New Roman"/>
          <w:sz w:val="24"/>
          <w:szCs w:val="24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3D36E3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а бюджета городского округа на </w:t>
      </w:r>
      <w:r w:rsidRPr="00AF1949">
        <w:rPr>
          <w:rFonts w:ascii="Times New Roman" w:eastAsia="Calibri" w:hAnsi="Times New Roman" w:cs="Times New Roman"/>
          <w:sz w:val="24"/>
          <w:szCs w:val="24"/>
        </w:rPr>
        <w:t>основании муниципального пр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авового акта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р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ешение. </w:t>
      </w:r>
    </w:p>
    <w:p w:rsidR="00017B40" w:rsidRPr="00AF1949" w:rsidRDefault="003D36E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3D7" w:rsidRPr="00AF1949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Pr="00AF1949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AF1949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</w:t>
      </w:r>
      <w:proofErr w:type="spellStart"/>
      <w:r w:rsidR="002249A6" w:rsidRPr="00AF194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2249A6" w:rsidRPr="00AF1949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proofErr w:type="spellStart"/>
      <w:r w:rsidR="008C4AC4" w:rsidRPr="00AF1949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от 30.11.2012 №306 </w:t>
      </w:r>
      <w:r w:rsidR="002249A6" w:rsidRPr="00AF1949">
        <w:rPr>
          <w:rFonts w:ascii="Times New Roman" w:eastAsia="Calibri" w:hAnsi="Times New Roman" w:cs="Times New Roman"/>
          <w:sz w:val="24"/>
          <w:szCs w:val="24"/>
        </w:rPr>
        <w:t>вправе вносить в 2017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округа, без внесения изменений в настоящее решение по следующим дополнительным основаниям: </w:t>
      </w:r>
    </w:p>
    <w:p w:rsidR="00017B40" w:rsidRPr="00AF1949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AF1949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разделам и подразделам классификации расходов бюджета на проведение отдельных мероприятий в рамках муниципальных программ городского округа;</w:t>
      </w:r>
    </w:p>
    <w:p w:rsidR="00017B40" w:rsidRPr="00AF1949" w:rsidRDefault="008736E8" w:rsidP="00017B40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разделами, подразделами, целевыми статьями, подгруппами видов расходов классификации расходов бюджетов;</w:t>
      </w:r>
    </w:p>
    <w:p w:rsidR="00B2674F" w:rsidRPr="00AF1949" w:rsidRDefault="00B2674F" w:rsidP="00B2674F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4)перераспределение бюджетных ассигнований, предусмотренных главным распорядителям бюджетных средств в целях реализации решений Президента Российской Федерации по повышению оплаты труда отдельных категорий работников;</w:t>
      </w:r>
    </w:p>
    <w:p w:rsidR="00017B40" w:rsidRPr="00AF1949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2674F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D30AE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AF1949" w:rsidRDefault="00017B40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4F" w:rsidRPr="00AF1949">
        <w:rPr>
          <w:rFonts w:ascii="Times New Roman" w:eastAsia="Calibri" w:hAnsi="Times New Roman" w:cs="Times New Roman"/>
          <w:sz w:val="24"/>
          <w:szCs w:val="24"/>
        </w:rPr>
        <w:t>6</w:t>
      </w:r>
      <w:r w:rsidRPr="00AF1949">
        <w:rPr>
          <w:rFonts w:ascii="Times New Roman" w:eastAsia="Calibri" w:hAnsi="Times New Roman" w:cs="Times New Roman"/>
          <w:sz w:val="24"/>
          <w:szCs w:val="24"/>
        </w:rPr>
        <w:t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автономного округа и Счетной палаты Ханты-Мансийского автономного округа – Югры, органов внешнего и внутреннего муниципального финансового контроля</w:t>
      </w:r>
      <w:r w:rsidR="00FB50FD" w:rsidRPr="00AF19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AF1949" w:rsidRDefault="00B2674F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округа - Югры, поступающих в виде единой субсидии</w:t>
      </w:r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соблюдением доли </w:t>
      </w:r>
      <w:proofErr w:type="spellStart"/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AF1949" w:rsidRDefault="00A97460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8)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AF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Разрешить администрации города </w:t>
      </w:r>
      <w:proofErr w:type="spellStart"/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AF1949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F1949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AF1949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C2DF1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C2DF1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Бюджетные инвестиции в объекты капитального строительства за счет средств бюджета автономного округа осуществляются в соответствии с Адресной инвестиционной программой Ханты-Мансийского автономного округа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9" w:history="1">
        <w:r w:rsidRPr="00AF1949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1949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AF1949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AF1949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017B40" w:rsidRPr="00AF1949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городского округа город </w:t>
      </w:r>
      <w:proofErr w:type="spellStart"/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017B40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AC" w:rsidRDefault="00E475AC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AC" w:rsidRPr="00AF1949" w:rsidRDefault="00E475AC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7B40" w:rsidRPr="00D954FC" w:rsidRDefault="00017B40" w:rsidP="00017B40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17B40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9" w:rsidRDefault="00AF1949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9" w:rsidRDefault="00AF1949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9" w:rsidRDefault="00AF1949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9" w:rsidRDefault="00AF1949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9" w:rsidRDefault="00AF1949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D954F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D954F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54F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954F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30AD" w:rsidRPr="00D954F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D954F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>
        <w:rPr>
          <w:rFonts w:ascii="Times New Roman" w:eastAsia="Calibri" w:hAnsi="Times New Roman" w:cs="Times New Roman"/>
          <w:sz w:val="24"/>
          <w:szCs w:val="24"/>
        </w:rPr>
        <w:t>_</w:t>
      </w:r>
      <w:r w:rsidRPr="00D954FC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>
        <w:rPr>
          <w:rFonts w:ascii="Times New Roman" w:eastAsia="Calibri" w:hAnsi="Times New Roman" w:cs="Times New Roman"/>
          <w:sz w:val="24"/>
          <w:szCs w:val="24"/>
        </w:rPr>
        <w:t>__</w:t>
      </w:r>
      <w:r w:rsidR="00CC7EE0">
        <w:rPr>
          <w:rFonts w:ascii="Times New Roman" w:eastAsia="Calibri" w:hAnsi="Times New Roman" w:cs="Times New Roman"/>
          <w:sz w:val="24"/>
          <w:szCs w:val="24"/>
        </w:rPr>
        <w:t>_____</w:t>
      </w:r>
      <w:r w:rsidRPr="00D954FC">
        <w:rPr>
          <w:rFonts w:ascii="Times New Roman" w:eastAsia="Calibri" w:hAnsi="Times New Roman" w:cs="Times New Roman"/>
          <w:sz w:val="24"/>
          <w:szCs w:val="24"/>
        </w:rPr>
        <w:t>_201</w:t>
      </w:r>
      <w:r w:rsidR="00CC7EE0">
        <w:rPr>
          <w:rFonts w:ascii="Times New Roman" w:eastAsia="Calibri" w:hAnsi="Times New Roman" w:cs="Times New Roman"/>
          <w:sz w:val="24"/>
          <w:szCs w:val="24"/>
        </w:rPr>
        <w:t>6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70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A932A6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>
        <w:rPr>
          <w:rFonts w:ascii="Times New Roman" w:eastAsia="Calibri" w:hAnsi="Times New Roman" w:cs="Times New Roman"/>
          <w:sz w:val="24"/>
          <w:szCs w:val="24"/>
        </w:rPr>
        <w:t>____</w:t>
      </w:r>
      <w:r w:rsidR="00A932A6" w:rsidRPr="00A932A6">
        <w:rPr>
          <w:rFonts w:ascii="Times New Roman" w:eastAsia="Calibri" w:hAnsi="Times New Roman" w:cs="Times New Roman"/>
          <w:sz w:val="24"/>
          <w:szCs w:val="24"/>
        </w:rPr>
        <w:t>___201</w:t>
      </w:r>
      <w:r w:rsidR="00CC7EE0">
        <w:rPr>
          <w:rFonts w:ascii="Times New Roman" w:eastAsia="Calibri" w:hAnsi="Times New Roman" w:cs="Times New Roman"/>
          <w:sz w:val="24"/>
          <w:szCs w:val="24"/>
        </w:rPr>
        <w:t>6</w:t>
      </w:r>
    </w:p>
    <w:sectPr w:rsidR="00017B40" w:rsidRPr="00017B40" w:rsidSect="00A932A6">
      <w:headerReference w:type="default" r:id="rId10"/>
      <w:headerReference w:type="first" r:id="rId11"/>
      <w:pgSz w:w="11906" w:h="16838" w:code="9"/>
      <w:pgMar w:top="426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5287F"/>
    <w:rsid w:val="00057629"/>
    <w:rsid w:val="000630B9"/>
    <w:rsid w:val="00063F40"/>
    <w:rsid w:val="000655D7"/>
    <w:rsid w:val="00065E8A"/>
    <w:rsid w:val="00066579"/>
    <w:rsid w:val="00066DBE"/>
    <w:rsid w:val="000673F9"/>
    <w:rsid w:val="0007199D"/>
    <w:rsid w:val="0008447F"/>
    <w:rsid w:val="00084E57"/>
    <w:rsid w:val="00085CF1"/>
    <w:rsid w:val="000906F8"/>
    <w:rsid w:val="0009150D"/>
    <w:rsid w:val="00091BBB"/>
    <w:rsid w:val="00093A8D"/>
    <w:rsid w:val="00096121"/>
    <w:rsid w:val="00096678"/>
    <w:rsid w:val="000A0335"/>
    <w:rsid w:val="000A23E0"/>
    <w:rsid w:val="000A2751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6532"/>
    <w:rsid w:val="000E25D4"/>
    <w:rsid w:val="000E4110"/>
    <w:rsid w:val="000E5BEA"/>
    <w:rsid w:val="000E69BE"/>
    <w:rsid w:val="000F1C0A"/>
    <w:rsid w:val="000F4576"/>
    <w:rsid w:val="000F4FFC"/>
    <w:rsid w:val="000F5A53"/>
    <w:rsid w:val="000F7405"/>
    <w:rsid w:val="000F752E"/>
    <w:rsid w:val="000F7DE0"/>
    <w:rsid w:val="001067EF"/>
    <w:rsid w:val="00107E76"/>
    <w:rsid w:val="001160C3"/>
    <w:rsid w:val="00116357"/>
    <w:rsid w:val="0012006E"/>
    <w:rsid w:val="00126AE8"/>
    <w:rsid w:val="00126FEC"/>
    <w:rsid w:val="00132CFC"/>
    <w:rsid w:val="001353D1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7948"/>
    <w:rsid w:val="00177D7E"/>
    <w:rsid w:val="00181FAA"/>
    <w:rsid w:val="001823B4"/>
    <w:rsid w:val="001832C5"/>
    <w:rsid w:val="001866EA"/>
    <w:rsid w:val="00186D1D"/>
    <w:rsid w:val="00187308"/>
    <w:rsid w:val="00190A3E"/>
    <w:rsid w:val="0019151E"/>
    <w:rsid w:val="001925DF"/>
    <w:rsid w:val="0019334B"/>
    <w:rsid w:val="00193DFE"/>
    <w:rsid w:val="001A2395"/>
    <w:rsid w:val="001A2687"/>
    <w:rsid w:val="001A3D7C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2DC"/>
    <w:rsid w:val="001C5465"/>
    <w:rsid w:val="001C65CA"/>
    <w:rsid w:val="001C6F3F"/>
    <w:rsid w:val="001D2A45"/>
    <w:rsid w:val="001E6FA6"/>
    <w:rsid w:val="001E71D4"/>
    <w:rsid w:val="001F2D61"/>
    <w:rsid w:val="001F3462"/>
    <w:rsid w:val="001F587D"/>
    <w:rsid w:val="002018C6"/>
    <w:rsid w:val="00202158"/>
    <w:rsid w:val="0020379C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4D3"/>
    <w:rsid w:val="00245032"/>
    <w:rsid w:val="00254C8A"/>
    <w:rsid w:val="0026357B"/>
    <w:rsid w:val="00263D42"/>
    <w:rsid w:val="002645B3"/>
    <w:rsid w:val="002734A1"/>
    <w:rsid w:val="002736E3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C23E1"/>
    <w:rsid w:val="002C4A77"/>
    <w:rsid w:val="002C699A"/>
    <w:rsid w:val="002C6D8F"/>
    <w:rsid w:val="002C7891"/>
    <w:rsid w:val="002D19D1"/>
    <w:rsid w:val="002D280D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2C31"/>
    <w:rsid w:val="00306637"/>
    <w:rsid w:val="00311F4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104EC"/>
    <w:rsid w:val="004256D1"/>
    <w:rsid w:val="0042624A"/>
    <w:rsid w:val="00426498"/>
    <w:rsid w:val="00432BCB"/>
    <w:rsid w:val="004377CE"/>
    <w:rsid w:val="004443C1"/>
    <w:rsid w:val="0044578E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958"/>
    <w:rsid w:val="004A20F7"/>
    <w:rsid w:val="004A2B4C"/>
    <w:rsid w:val="004A5C31"/>
    <w:rsid w:val="004A6219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715F5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12D26"/>
    <w:rsid w:val="00613743"/>
    <w:rsid w:val="006153A1"/>
    <w:rsid w:val="00615CA5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5272C"/>
    <w:rsid w:val="00652FCB"/>
    <w:rsid w:val="006532C3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105D"/>
    <w:rsid w:val="006A2AD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BAD"/>
    <w:rsid w:val="0073616F"/>
    <w:rsid w:val="00742B74"/>
    <w:rsid w:val="0074417B"/>
    <w:rsid w:val="007506E4"/>
    <w:rsid w:val="007523ED"/>
    <w:rsid w:val="00752C50"/>
    <w:rsid w:val="00753D58"/>
    <w:rsid w:val="0075615D"/>
    <w:rsid w:val="00757EE9"/>
    <w:rsid w:val="00762270"/>
    <w:rsid w:val="007661BB"/>
    <w:rsid w:val="007663F1"/>
    <w:rsid w:val="00771B2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10E52"/>
    <w:rsid w:val="0081145C"/>
    <w:rsid w:val="00811517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7CF4"/>
    <w:rsid w:val="00850ACF"/>
    <w:rsid w:val="0085111F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F3E"/>
    <w:rsid w:val="008916B6"/>
    <w:rsid w:val="0089581F"/>
    <w:rsid w:val="00897D5B"/>
    <w:rsid w:val="008A318F"/>
    <w:rsid w:val="008A3B94"/>
    <w:rsid w:val="008A4F3C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39B7"/>
    <w:rsid w:val="008D517C"/>
    <w:rsid w:val="008D58D4"/>
    <w:rsid w:val="008D6C61"/>
    <w:rsid w:val="008E697F"/>
    <w:rsid w:val="008E7033"/>
    <w:rsid w:val="008F5CAA"/>
    <w:rsid w:val="008F65F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90680"/>
    <w:rsid w:val="009917CA"/>
    <w:rsid w:val="00991CE4"/>
    <w:rsid w:val="009920F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128C"/>
    <w:rsid w:val="009C2D6E"/>
    <w:rsid w:val="009C78D6"/>
    <w:rsid w:val="009D1A48"/>
    <w:rsid w:val="009D3677"/>
    <w:rsid w:val="009D57A0"/>
    <w:rsid w:val="009E014C"/>
    <w:rsid w:val="009E078C"/>
    <w:rsid w:val="009E0D51"/>
    <w:rsid w:val="009E4436"/>
    <w:rsid w:val="009F682D"/>
    <w:rsid w:val="009F7074"/>
    <w:rsid w:val="009F7D99"/>
    <w:rsid w:val="00A01A9B"/>
    <w:rsid w:val="00A022F0"/>
    <w:rsid w:val="00A036E4"/>
    <w:rsid w:val="00A0381A"/>
    <w:rsid w:val="00A05F1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92D"/>
    <w:rsid w:val="00A83901"/>
    <w:rsid w:val="00A8709E"/>
    <w:rsid w:val="00A878DD"/>
    <w:rsid w:val="00A932A6"/>
    <w:rsid w:val="00A93D5B"/>
    <w:rsid w:val="00A9490A"/>
    <w:rsid w:val="00A9610C"/>
    <w:rsid w:val="00A9706E"/>
    <w:rsid w:val="00A97460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6F16"/>
    <w:rsid w:val="00BF4431"/>
    <w:rsid w:val="00C00ED1"/>
    <w:rsid w:val="00C00FA9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32A35"/>
    <w:rsid w:val="00C32AC5"/>
    <w:rsid w:val="00C36726"/>
    <w:rsid w:val="00C40F33"/>
    <w:rsid w:val="00C44026"/>
    <w:rsid w:val="00C45A81"/>
    <w:rsid w:val="00C46A09"/>
    <w:rsid w:val="00C47099"/>
    <w:rsid w:val="00C5011B"/>
    <w:rsid w:val="00C51079"/>
    <w:rsid w:val="00C62682"/>
    <w:rsid w:val="00C63BD8"/>
    <w:rsid w:val="00C64B64"/>
    <w:rsid w:val="00C65F7D"/>
    <w:rsid w:val="00C6677B"/>
    <w:rsid w:val="00C67AE7"/>
    <w:rsid w:val="00C70075"/>
    <w:rsid w:val="00C709AF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509D"/>
    <w:rsid w:val="00CE54AD"/>
    <w:rsid w:val="00CE76C0"/>
    <w:rsid w:val="00CF1165"/>
    <w:rsid w:val="00CF34B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6889"/>
    <w:rsid w:val="00D16EFA"/>
    <w:rsid w:val="00D21516"/>
    <w:rsid w:val="00D23AF8"/>
    <w:rsid w:val="00D2526C"/>
    <w:rsid w:val="00D257AF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3150"/>
    <w:rsid w:val="00D85FD7"/>
    <w:rsid w:val="00D86AF1"/>
    <w:rsid w:val="00D877E8"/>
    <w:rsid w:val="00D90886"/>
    <w:rsid w:val="00D9202F"/>
    <w:rsid w:val="00D928CD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F221D"/>
    <w:rsid w:val="00DF3B55"/>
    <w:rsid w:val="00DF7C9C"/>
    <w:rsid w:val="00E02CF9"/>
    <w:rsid w:val="00E11C1A"/>
    <w:rsid w:val="00E20AAF"/>
    <w:rsid w:val="00E2189A"/>
    <w:rsid w:val="00E32605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A036E"/>
    <w:rsid w:val="00EA15EE"/>
    <w:rsid w:val="00EA5E93"/>
    <w:rsid w:val="00EB3544"/>
    <w:rsid w:val="00EB59D4"/>
    <w:rsid w:val="00EC1A98"/>
    <w:rsid w:val="00EC1AAB"/>
    <w:rsid w:val="00ED2E2C"/>
    <w:rsid w:val="00ED41A5"/>
    <w:rsid w:val="00ED72FC"/>
    <w:rsid w:val="00EE0632"/>
    <w:rsid w:val="00EE1C78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20025"/>
    <w:rsid w:val="00F24A12"/>
    <w:rsid w:val="00F270CE"/>
    <w:rsid w:val="00F27929"/>
    <w:rsid w:val="00F31BEA"/>
    <w:rsid w:val="00F33F5B"/>
    <w:rsid w:val="00F3629B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7479"/>
    <w:rsid w:val="00F92197"/>
    <w:rsid w:val="00F939DF"/>
    <w:rsid w:val="00F960BA"/>
    <w:rsid w:val="00F961E2"/>
    <w:rsid w:val="00FA0D8F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4C40"/>
    <w:rsid w:val="00FD5E53"/>
    <w:rsid w:val="00FD6482"/>
    <w:rsid w:val="00FD75C2"/>
    <w:rsid w:val="00FE05CA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2F8670B61D6C67AEA97C51468BF09824C372475954D49FE25F7F7D2543226B71954DBEA242FDA1DFDB25ED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F3E8-9EBD-401D-8329-341A2B3F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7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Грига Ирина Владимировна</cp:lastModifiedBy>
  <cp:revision>458</cp:revision>
  <cp:lastPrinted>2016-11-11T03:55:00Z</cp:lastPrinted>
  <dcterms:created xsi:type="dcterms:W3CDTF">2012-10-26T10:16:00Z</dcterms:created>
  <dcterms:modified xsi:type="dcterms:W3CDTF">2016-11-11T04:01:00Z</dcterms:modified>
</cp:coreProperties>
</file>