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92" w:rsidRPr="00303443" w:rsidRDefault="001F7392" w:rsidP="001F7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>Паспорт</w:t>
      </w:r>
    </w:p>
    <w:p w:rsidR="001F7392" w:rsidRPr="00303443" w:rsidRDefault="001F7392" w:rsidP="001F7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F7392" w:rsidRPr="00303443" w:rsidRDefault="001F7392" w:rsidP="001F7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43">
        <w:rPr>
          <w:rFonts w:ascii="Times New Roman" w:hAnsi="Times New Roman"/>
          <w:sz w:val="24"/>
          <w:szCs w:val="24"/>
        </w:rPr>
        <w:t xml:space="preserve">«Культурное пространство в городе </w:t>
      </w:r>
      <w:proofErr w:type="spellStart"/>
      <w:r w:rsidRPr="00303443">
        <w:rPr>
          <w:rFonts w:ascii="Times New Roman" w:hAnsi="Times New Roman"/>
          <w:sz w:val="24"/>
          <w:szCs w:val="24"/>
        </w:rPr>
        <w:t>Мегионе</w:t>
      </w:r>
      <w:proofErr w:type="spellEnd"/>
      <w:r w:rsidRPr="00303443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1F7392" w:rsidRPr="00303443" w:rsidRDefault="001F7392" w:rsidP="001F739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40"/>
        <w:gridCol w:w="2253"/>
        <w:gridCol w:w="1137"/>
        <w:gridCol w:w="265"/>
        <w:gridCol w:w="194"/>
        <w:gridCol w:w="227"/>
        <w:gridCol w:w="754"/>
        <w:gridCol w:w="285"/>
        <w:gridCol w:w="394"/>
        <w:gridCol w:w="667"/>
        <w:gridCol w:w="101"/>
        <w:gridCol w:w="565"/>
        <w:gridCol w:w="101"/>
        <w:gridCol w:w="565"/>
        <w:gridCol w:w="666"/>
        <w:gridCol w:w="509"/>
        <w:gridCol w:w="1057"/>
        <w:gridCol w:w="6"/>
        <w:gridCol w:w="1034"/>
        <w:gridCol w:w="1098"/>
        <w:gridCol w:w="569"/>
      </w:tblGrid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«Культурное пространство в городе 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303443">
              <w:rPr>
                <w:rFonts w:ascii="Times New Roman" w:hAnsi="Times New Roman"/>
                <w:sz w:val="24"/>
                <w:szCs w:val="24"/>
              </w:rPr>
              <w:t xml:space="preserve"> на 2019-2025 годы»</w:t>
            </w:r>
          </w:p>
        </w:tc>
        <w:tc>
          <w:tcPr>
            <w:tcW w:w="11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 – 2025 годы</w:t>
            </w:r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303443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</w:t>
            </w:r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города 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  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А.М.Кузьмина</w:t>
            </w:r>
            <w:proofErr w:type="spellEnd"/>
            <w:r w:rsidRPr="003034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«Дворец искусств».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«Театр музыки».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Мегиона</w:t>
            </w:r>
            <w:proofErr w:type="spellEnd"/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Департамент территориального развития администрации города.</w:t>
            </w:r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для самореализации и развития талантов</w:t>
            </w:r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Укрепление единого культурного пространства города </w:t>
            </w:r>
            <w:proofErr w:type="spellStart"/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</w:t>
            </w:r>
            <w:proofErr w:type="spellStart"/>
            <w:r w:rsidRPr="00303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</w:p>
        </w:tc>
      </w:tr>
      <w:tr w:rsidR="001F7392" w:rsidRPr="00303443" w:rsidTr="007F7106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1.Повышение качества услуг в сфере культуры путем модернизации имущественного комплекса учреждений и организаций культуры.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2.Создание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3.Совершенствование системы управления сферы культуры и историко-культурного наследия</w:t>
            </w:r>
          </w:p>
        </w:tc>
      </w:tr>
      <w:tr w:rsidR="001F7392" w:rsidRPr="00303443" w:rsidTr="007F7106">
        <w:trPr>
          <w:trHeight w:val="100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40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деятельности: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II. Поддержка творческих инициатив, способствующих самореализации населения: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Подпрограмма III. Организационные, экономические механизмы развития культуры и историко-культурного наследия.</w:t>
            </w:r>
          </w:p>
        </w:tc>
      </w:tr>
      <w:tr w:rsidR="001F7392" w:rsidRPr="00303443" w:rsidTr="007F7106">
        <w:trPr>
          <w:trHeight w:val="595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12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1F7392" w:rsidRPr="00303443" w:rsidTr="007F7106">
        <w:trPr>
          <w:trHeight w:val="138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2019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2020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2021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2022</w:t>
            </w:r>
          </w:p>
        </w:tc>
        <w:tc>
          <w:tcPr>
            <w:tcW w:w="24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2023</w:t>
            </w:r>
          </w:p>
        </w:tc>
        <w:tc>
          <w:tcPr>
            <w:tcW w:w="21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2025</w:t>
            </w:r>
          </w:p>
        </w:tc>
        <w:tc>
          <w:tcPr>
            <w:tcW w:w="5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момент окончания реализации муниципальной программы</w:t>
            </w:r>
          </w:p>
        </w:tc>
        <w:tc>
          <w:tcPr>
            <w:tcW w:w="10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443">
              <w:rPr>
                <w:rFonts w:ascii="Times New Roman" w:hAnsi="Times New Roman"/>
                <w:sz w:val="20"/>
                <w:szCs w:val="20"/>
              </w:rPr>
              <w:t>Ответственный  исполнитель</w:t>
            </w:r>
            <w:proofErr w:type="gramEnd"/>
            <w:r w:rsidRPr="0030344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 (</w:t>
            </w:r>
            <w:proofErr w:type="spellStart"/>
            <w:r w:rsidRPr="00303443">
              <w:rPr>
                <w:rFonts w:ascii="Times New Roman" w:hAnsi="Times New Roman"/>
                <w:sz w:val="20"/>
                <w:szCs w:val="20"/>
              </w:rPr>
              <w:t>тыс.ед</w:t>
            </w:r>
            <w:proofErr w:type="spellEnd"/>
            <w:r w:rsidRPr="0030344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291,7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291,7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507,0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2260,5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услуги в сфере культуры(ед.) (нарастающим итогом)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Доля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 (%)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Оцифровка музейных предметов, представленных в сети Интернет, от общего числа музейных предметов основного фонда музея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Количество представленных (во всех формах) зрителю музейных предметов основного фонда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</w:rPr>
              <w:t>13600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15600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10101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11881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13069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14375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14896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443">
              <w:rPr>
                <w:rFonts w:ascii="Times New Roman" w:hAnsi="Times New Roman"/>
                <w:sz w:val="18"/>
                <w:szCs w:val="18"/>
              </w:rPr>
              <w:t>14896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учреждений культуры получивших современное оборудование (ед.)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(проектов программ), реализованных учреждениями культуры и искусства в </w:t>
            </w:r>
            <w:proofErr w:type="spellStart"/>
            <w:r w:rsidRPr="0030344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03443">
              <w:rPr>
                <w:rFonts w:ascii="Times New Roman" w:hAnsi="Times New Roman"/>
                <w:sz w:val="20"/>
                <w:szCs w:val="20"/>
              </w:rPr>
              <w:t>. СОНКО,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Количество переоснащенных муниципальных библиотек по модельному стандарту (ед.)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МБУ «ЦБС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392" w:rsidRPr="00303443" w:rsidTr="007F7106">
        <w:trPr>
          <w:trHeight w:val="110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творческих и управленческих кадров в сфере культуры (чел.)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trHeight w:val="2074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 xml:space="preserve">Доля обеспечения комплексной безопасности учреждений культуры и дополнительного образования в сфере культуры 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43">
              <w:rPr>
                <w:rFonts w:ascii="Times New Roman" w:hAnsi="Times New Roman"/>
                <w:sz w:val="20"/>
                <w:szCs w:val="20"/>
              </w:rPr>
              <w:t>Отдел культуры/подведомственные ему учреждения</w:t>
            </w:r>
          </w:p>
        </w:tc>
      </w:tr>
      <w:tr w:rsidR="001F7392" w:rsidRPr="00303443" w:rsidTr="007F7106">
        <w:trPr>
          <w:gridAfter w:val="1"/>
          <w:wAfter w:w="215" w:type="pct"/>
          <w:trHeight w:val="198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28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Расходы по годам (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344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F7392" w:rsidRPr="00303443" w:rsidTr="007F7106">
        <w:trPr>
          <w:gridAfter w:val="1"/>
          <w:wAfter w:w="215" w:type="pct"/>
          <w:trHeight w:val="126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3 589 704,40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435 505,50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426 715,60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457 407,60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460 008,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449 336.6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905 394.3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455 336.6</w:t>
            </w:r>
          </w:p>
        </w:tc>
      </w:tr>
      <w:tr w:rsidR="001F7392" w:rsidRPr="00303443" w:rsidTr="007F7106">
        <w:trPr>
          <w:gridAfter w:val="1"/>
          <w:wAfter w:w="215" w:type="pct"/>
          <w:trHeight w:val="303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209 451,00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5 450,30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191,50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5 218,60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3 038.10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190 072.5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275 567,60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9 266,80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5 120,90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2 894,60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1 681,10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5 111.80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251 101.7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390.7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3 104 685,80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420 788,40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416 114,70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454 321,50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453 108,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441 186.7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464 220.10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1B3D70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454 945.9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Иные источники финансирования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8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Расходы по годам (</w:t>
            </w:r>
            <w:proofErr w:type="spellStart"/>
            <w:r w:rsidRPr="0030344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344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Портфель проектов «Культура»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24 220,0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14 220,0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15 434,9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5 434,9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8 500,7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8 500,7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284,4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F7392" w:rsidRPr="00303443" w:rsidTr="007F7106">
        <w:trPr>
          <w:gridAfter w:val="1"/>
          <w:wAfter w:w="215" w:type="pct"/>
          <w:trHeight w:val="197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303443" w:rsidRDefault="001F7392" w:rsidP="007F710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3">
              <w:rPr>
                <w:rFonts w:ascii="Times New Roman" w:hAnsi="Times New Roman"/>
                <w:sz w:val="24"/>
                <w:szCs w:val="24"/>
              </w:rPr>
              <w:t>Иные источники финансирования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92" w:rsidRPr="005B6E6E" w:rsidRDefault="001F7392" w:rsidP="007F7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E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D3553" w:rsidRDefault="001F7392">
      <w:bookmarkStart w:id="0" w:name="_GoBack"/>
      <w:bookmarkEnd w:id="0"/>
    </w:p>
    <w:sectPr w:rsidR="003D3553" w:rsidSect="001F7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2"/>
    <w:rsid w:val="001F7392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75D2-2DA4-445A-B592-CC783A87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5113</Characters>
  <Application>Microsoft Office Word</Application>
  <DocSecurity>0</DocSecurity>
  <Lines>42</Lines>
  <Paragraphs>11</Paragraphs>
  <ScaleCrop>false</ScaleCrop>
  <Company>Megion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2022-11-02T09:28:00Z</dcterms:created>
  <dcterms:modified xsi:type="dcterms:W3CDTF">2022-11-02T09:29:00Z</dcterms:modified>
</cp:coreProperties>
</file>