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82A" w:rsidRDefault="00B2382A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2382A" w:rsidRDefault="00B2382A">
      <w:pPr>
        <w:pStyle w:val="ConsPlusNormal"/>
        <w:outlineLvl w:val="0"/>
      </w:pPr>
    </w:p>
    <w:p w:rsidR="00B2382A" w:rsidRDefault="00B2382A">
      <w:pPr>
        <w:pStyle w:val="ConsPlusTitle"/>
        <w:jc w:val="center"/>
        <w:outlineLvl w:val="0"/>
      </w:pPr>
      <w:r>
        <w:t>ДУМА ГОРОДА МЕГИОНА</w:t>
      </w:r>
    </w:p>
    <w:p w:rsidR="00B2382A" w:rsidRDefault="00B2382A">
      <w:pPr>
        <w:pStyle w:val="ConsPlusTitle"/>
        <w:jc w:val="center"/>
      </w:pPr>
    </w:p>
    <w:p w:rsidR="00B2382A" w:rsidRDefault="00B2382A">
      <w:pPr>
        <w:pStyle w:val="ConsPlusTitle"/>
        <w:jc w:val="center"/>
      </w:pPr>
      <w:r>
        <w:t>РЕШЕНИЕ</w:t>
      </w:r>
    </w:p>
    <w:p w:rsidR="00B2382A" w:rsidRDefault="00B2382A">
      <w:pPr>
        <w:pStyle w:val="ConsPlusTitle"/>
        <w:jc w:val="center"/>
      </w:pPr>
      <w:r>
        <w:t>от 9 декабря 2024 г. N 427</w:t>
      </w:r>
    </w:p>
    <w:p w:rsidR="00B2382A" w:rsidRDefault="00B2382A">
      <w:pPr>
        <w:pStyle w:val="ConsPlusTitle"/>
        <w:jc w:val="center"/>
      </w:pPr>
    </w:p>
    <w:p w:rsidR="00B2382A" w:rsidRDefault="00B2382A">
      <w:pPr>
        <w:pStyle w:val="ConsPlusTitle"/>
        <w:jc w:val="center"/>
      </w:pPr>
      <w:r>
        <w:t>О БЮДЖЕТЕ ГОРОДСКОГО ОКРУГА МЕГИОН ХАНТЫ-МАНСИЙСКОГО</w:t>
      </w:r>
    </w:p>
    <w:p w:rsidR="00B2382A" w:rsidRDefault="00B2382A">
      <w:pPr>
        <w:pStyle w:val="ConsPlusTitle"/>
        <w:jc w:val="center"/>
      </w:pPr>
      <w:r>
        <w:t>АВТОНОМНОГО ОКРУГА - ЮГРЫ НА 2025 ГОД И ПЛАНОВЫЙ ПЕРИОД 2026</w:t>
      </w:r>
    </w:p>
    <w:p w:rsidR="00B2382A" w:rsidRDefault="00B2382A">
      <w:pPr>
        <w:pStyle w:val="ConsPlusTitle"/>
        <w:jc w:val="center"/>
      </w:pPr>
      <w:r>
        <w:t>И 2027 ГОДОВ</w:t>
      </w:r>
    </w:p>
    <w:p w:rsidR="00B2382A" w:rsidRDefault="00B2382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38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82A" w:rsidRDefault="00B2382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82A" w:rsidRDefault="00B2382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382A" w:rsidRDefault="00B238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382A" w:rsidRDefault="00B238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города Мегиона от 25.04.2025 </w:t>
            </w:r>
            <w:hyperlink r:id="rId6">
              <w:r>
                <w:rPr>
                  <w:color w:val="0000FF"/>
                </w:rPr>
                <w:t>N 451</w:t>
              </w:r>
            </w:hyperlink>
            <w:r>
              <w:rPr>
                <w:color w:val="392C69"/>
              </w:rPr>
              <w:t>,</w:t>
            </w:r>
          </w:p>
          <w:p w:rsidR="00B2382A" w:rsidRDefault="00B238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10.10.2025 </w:t>
            </w:r>
            <w:hyperlink r:id="rId7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82A" w:rsidRDefault="00B2382A">
            <w:pPr>
              <w:pStyle w:val="ConsPlusNormal"/>
            </w:pPr>
          </w:p>
        </w:tc>
      </w:tr>
    </w:tbl>
    <w:p w:rsidR="00B2382A" w:rsidRDefault="00B2382A">
      <w:pPr>
        <w:pStyle w:val="ConsPlusNormal"/>
        <w:ind w:firstLine="540"/>
        <w:jc w:val="both"/>
      </w:pPr>
    </w:p>
    <w:p w:rsidR="00B2382A" w:rsidRDefault="00B2382A">
      <w:pPr>
        <w:pStyle w:val="ConsPlusNormal"/>
        <w:ind w:firstLine="540"/>
        <w:jc w:val="both"/>
      </w:pPr>
      <w:r>
        <w:t xml:space="preserve">Рассмотрев проект решения Думы города Мегиона "О бюджете городского округа Мегион Ханты-Мансийского автономного округа - Югры на 2025 год и плановый период 2026 и 2027 годов", в соответствии с Бюджетным </w:t>
      </w:r>
      <w:hyperlink r:id="rId8">
        <w:r>
          <w:rPr>
            <w:color w:val="0000FF"/>
          </w:rPr>
          <w:t>кодексом</w:t>
        </w:r>
      </w:hyperlink>
      <w:r>
        <w:t xml:space="preserve"> Российской Федерации, руководствуясь </w:t>
      </w:r>
      <w:hyperlink r:id="rId9">
        <w:r>
          <w:rPr>
            <w:color w:val="0000FF"/>
          </w:rPr>
          <w:t>статьями 19</w:t>
        </w:r>
      </w:hyperlink>
      <w:r>
        <w:t xml:space="preserve">, </w:t>
      </w:r>
      <w:hyperlink r:id="rId10">
        <w:r>
          <w:rPr>
            <w:color w:val="0000FF"/>
          </w:rPr>
          <w:t>49</w:t>
        </w:r>
      </w:hyperlink>
      <w:r>
        <w:t xml:space="preserve">, </w:t>
      </w:r>
      <w:hyperlink r:id="rId11">
        <w:r>
          <w:rPr>
            <w:color w:val="0000FF"/>
          </w:rPr>
          <w:t>52</w:t>
        </w:r>
      </w:hyperlink>
      <w:r>
        <w:t xml:space="preserve"> Устава города Мегиона, Дума города Мегиона решила: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городского округа Мегион Ханты-Мансийского автономного округа - Югры (далее также - городской округ) на 2025 год: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144">
        <w:r>
          <w:rPr>
            <w:color w:val="0000FF"/>
          </w:rPr>
          <w:t>объем</w:t>
        </w:r>
      </w:hyperlink>
      <w:r>
        <w:t xml:space="preserve"> доходов бюджета городского округа в сумме 8 338 366,9 тыс. рублей согласно приложению 1 к настоящему решению;</w:t>
      </w:r>
    </w:p>
    <w:p w:rsidR="00B2382A" w:rsidRDefault="00B238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2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в сумме 8 692 112,6 тыс. рублей;</w:t>
      </w:r>
    </w:p>
    <w:p w:rsidR="00B2382A" w:rsidRDefault="00B238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3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3) дефицит бюджета городского округа в сумме 353 745,7 тыс. рублей;</w:t>
      </w:r>
    </w:p>
    <w:p w:rsidR="00B2382A" w:rsidRDefault="00B238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4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2026 года в сумме 609 025,9 тыс. рублей, в том числе, верхний предел долга по муниципальным гарантиям городского округа в сумме 0,00 тыс. рублей;</w:t>
      </w:r>
    </w:p>
    <w:p w:rsidR="00B2382A" w:rsidRDefault="00B238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5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в сумме 500,0 тыс. рублей.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2. Утвердить основные характеристики бюджета городского округа на плановый период 2026 и 2027 годов: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580">
        <w:r>
          <w:rPr>
            <w:color w:val="0000FF"/>
          </w:rPr>
          <w:t>объем</w:t>
        </w:r>
      </w:hyperlink>
      <w:r>
        <w:t xml:space="preserve"> доходов бюджета городского округа на 2026 год в сумме 6 127 876,6 тыс. рублей и на 2027 год в сумме 5 891 420,2 тыс. рублей согласно приложению 2 к настоящему решению;</w:t>
      </w:r>
    </w:p>
    <w:p w:rsidR="00B2382A" w:rsidRDefault="00B238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2) общий объем расходов бюджета городского округа на 2026 год в сумме 6 320 656,7 тыс. рублей и на 2027 год в сумме 6 085 559,2 тыс. рублей, в том числе, условно утвержденные расходы на 2026 год в сумме 71 167,0 тыс. рублей и на 2027 год в сумме </w:t>
      </w:r>
      <w:r>
        <w:lastRenderedPageBreak/>
        <w:t>139 325,0 тыс. рублей;</w:t>
      </w:r>
    </w:p>
    <w:p w:rsidR="00B2382A" w:rsidRDefault="00B238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3) дефицит бюджета городского округа на 2026 год в сумме 192 780,1 тыс. рублей и на 2027 год в сумме 194 139,0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2027 года в сумме 801 806,0 тыс. рублей и на 1 января 2028 года в сумме 995 945,0 тыс. рублей, в том числе, предельный объем обязательств по муниципальным гарантиям городского округа на 1 января 2027 года в сумме 0,0 тыс. рублей и на 1 января 2028 года в сумме 0,0 тыс. рублей;</w:t>
      </w:r>
    </w:p>
    <w:p w:rsidR="00B2382A" w:rsidRDefault="00B238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на 2026 год в сумме 500,0 тыс. рублей и на 2027 год в сумме 500,0 тыс. рублей.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3. В соответствии с </w:t>
      </w:r>
      <w:hyperlink r:id="rId19">
        <w:r>
          <w:rPr>
            <w:color w:val="0000FF"/>
          </w:rPr>
          <w:t>пунктом 2 статьи 184.1</w:t>
        </w:r>
      </w:hyperlink>
      <w:r>
        <w:t xml:space="preserve"> Бюджетного кодекса Российской Федерации и </w:t>
      </w:r>
      <w:hyperlink r:id="rId20">
        <w:r>
          <w:rPr>
            <w:color w:val="0000FF"/>
          </w:rPr>
          <w:t>пунктом 1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2025 год и на плановый период 2026 и 2027 годов" руководствоваться нормативами распределения доходов между бюджетом Ханты-Мансийского автономного округа - Югры, бюджетом территориального фонда обязательного медицинского страхования Ханты-Мансийского автономного округа - Югры и бюджетами муниципальных образований Ханты-Мансийского автономного округа - Югры на 2025 год и на плановый период 2026 и 2027 годов согласно </w:t>
      </w:r>
      <w:hyperlink r:id="rId21">
        <w:r>
          <w:rPr>
            <w:color w:val="0000FF"/>
          </w:rPr>
          <w:t>приложению 3</w:t>
        </w:r>
      </w:hyperlink>
      <w:r>
        <w:t xml:space="preserve"> к вышеуказанному Закону.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4. В соответствии с </w:t>
      </w:r>
      <w:hyperlink r:id="rId22">
        <w:r>
          <w:rPr>
            <w:color w:val="0000FF"/>
          </w:rPr>
          <w:t>пунктом 2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2025 год и на плановый период 2026 и 2027 годов" руководствоваться дифференцированными нормативами отчислений в бюджет городского округа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 xml:space="preserve">) двигателей, производимых на территории Российской Федерации на 2025 год и на плановый период 2026 и 2027 годов согласно </w:t>
      </w:r>
      <w:hyperlink r:id="rId23">
        <w:r>
          <w:rPr>
            <w:color w:val="0000FF"/>
          </w:rPr>
          <w:t>приложениям 4</w:t>
        </w:r>
      </w:hyperlink>
      <w:r>
        <w:t xml:space="preserve"> и </w:t>
      </w:r>
      <w:hyperlink r:id="rId24">
        <w:r>
          <w:rPr>
            <w:color w:val="0000FF"/>
          </w:rPr>
          <w:t>5</w:t>
        </w:r>
      </w:hyperlink>
      <w:r>
        <w:t xml:space="preserve"> к вышеуказанному Закону.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5. Установить, что органом, уполномоченным на обеспечение обмена информацией по лицевым счетам между Управлением Федерального казначейства по Ханты-Мансийскому автономному округу - Югре и главными администраторами доходов бюджета городского округа, является департамент финансов администрации города Мегиона.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6. Открытие и ведение лицевых счетов муниципальных учреждений, предприятий, созданных на базе имущества, находящегося в муниципальной собственности городского округа, а также автономных некоммерческих организаций, осуществляется в департаменте финансов администрации города Мегиона в установленном им порядке.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7. Утвердить 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1189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lastRenderedPageBreak/>
        <w:t xml:space="preserve">2) на плановый период 2026 и 2027 годов согласно </w:t>
      </w:r>
      <w:hyperlink w:anchor="P5103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8. Утвердить распределение бюджетных ассигнований по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8322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13190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9. Утвердить распределение бюджетных ассигнований по разделам, подразделам классификации расходов бюджета городского округа Мегион Ханты-Мансийского автономного округа - Югры: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17361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17653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10. Утвердить ведомственную структуру расходов бюджета городского округа Мегион Ханты-Мансийского автономного округа - Югры, в том числе, в её составе перечень главных распорядителей средств бюджета городского округа Мегион: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17946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2030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11. Утвердить источники внутреннего финансирования дефицита бюджета городского округа Мегион Ханты-Мансийского автономного округа - Югры: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25350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5408">
        <w:r>
          <w:rPr>
            <w:color w:val="0000FF"/>
          </w:rPr>
          <w:t>приложению 12</w:t>
        </w:r>
      </w:hyperlink>
      <w:r>
        <w:t xml:space="preserve">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12. Утвердить программу муниципальных внутренних заимствований городского округа Мегион Ханты-Мансийского автономного округа - Югры: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25472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5508">
        <w:r>
          <w:rPr>
            <w:color w:val="0000FF"/>
          </w:rPr>
          <w:t>приложению 14</w:t>
        </w:r>
      </w:hyperlink>
      <w:r>
        <w:t xml:space="preserve">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13. Утвердить общий объем бюджетных ассигнований на исполнение публичных нормативных обязательств городского округа Мегион Ханты-Мансийского автономного округа - Югры на 2025 год в сумме 29 732,6 тыс. рублей.</w:t>
      </w:r>
    </w:p>
    <w:p w:rsidR="00B2382A" w:rsidRDefault="00B2382A">
      <w:pPr>
        <w:pStyle w:val="ConsPlusNormal"/>
        <w:jc w:val="both"/>
      </w:pPr>
      <w:r>
        <w:t xml:space="preserve">(в ред. решений Думы города Мегиона от 25.04.2025 </w:t>
      </w:r>
      <w:hyperlink r:id="rId25">
        <w:r>
          <w:rPr>
            <w:color w:val="0000FF"/>
          </w:rPr>
          <w:t>N 451</w:t>
        </w:r>
      </w:hyperlink>
      <w:r>
        <w:t xml:space="preserve">, от 10.10.2025 </w:t>
      </w:r>
      <w:hyperlink r:id="rId26">
        <w:r>
          <w:rPr>
            <w:color w:val="0000FF"/>
          </w:rPr>
          <w:t>N 16</w:t>
        </w:r>
      </w:hyperlink>
      <w:r>
        <w:t>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14. Утвердить объем бюджетных ассигнований дорожного фонда городского округа Мегион Ханты-Мансийского автономного округа - Югры: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lastRenderedPageBreak/>
        <w:t>1) на 2025 год в сумме 429 723,0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2) на 2026 год в сумме 368 134,0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3) на 2027 год в сумме 146 263,0 тыс. рублей.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15. Утвердить объем межбюджетных трансфертов, получаемых из других бюджетов бюджетной системы Российской Федерации: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1) на 2025 год в сумме 5 874 101,3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2) на 2026 год в сумме 4 040 341,5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3) на 2027 год в сумме 3 806 820,7 тыс. рублей.</w:t>
      </w:r>
    </w:p>
    <w:p w:rsidR="00B2382A" w:rsidRDefault="00B2382A">
      <w:pPr>
        <w:pStyle w:val="ConsPlusNormal"/>
        <w:jc w:val="both"/>
      </w:pPr>
      <w:r>
        <w:t xml:space="preserve">(п. 15 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16. Утвердить в составе расходов бюджета городского округа резервный фонд администрации города Мегиона: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1) на 2024 год в сумме 1 500,0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2) на 2025 год в сумме 1 500,0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3) на 2026 год в сумме 1 500,0 тыс. рублей.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17. 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 (далее - экологические платежи), зачисленные в 2025 году и плановом периоде 2026 - 2027 годов в бюджет городского округа Мегион Ханты-Мансийского автономного округа - Югры, направляются на реализацию плана мероприятий, указанных в </w:t>
      </w:r>
      <w:hyperlink r:id="rId28">
        <w:r>
          <w:rPr>
            <w:color w:val="0000FF"/>
          </w:rPr>
          <w:t>пункте 1 статьи 16.6</w:t>
        </w:r>
      </w:hyperlink>
      <w:r>
        <w:t xml:space="preserve">, </w:t>
      </w:r>
      <w:hyperlink r:id="rId29">
        <w:r>
          <w:rPr>
            <w:color w:val="0000FF"/>
          </w:rPr>
          <w:t>пункте 1 статьи 75.1</w:t>
        </w:r>
      </w:hyperlink>
      <w:r>
        <w:t xml:space="preserve"> и </w:t>
      </w:r>
      <w:hyperlink r:id="rId30">
        <w:r>
          <w:rPr>
            <w:color w:val="0000FF"/>
          </w:rPr>
          <w:t>пункте 1 статьи 78.2</w:t>
        </w:r>
      </w:hyperlink>
      <w:r>
        <w:t xml:space="preserve"> Федерального закона от 10.01.2002 N 7-ФЗ "Об охране окружающей среды".</w:t>
      </w:r>
    </w:p>
    <w:p w:rsidR="00B2382A" w:rsidRDefault="00B2382A">
      <w:pPr>
        <w:pStyle w:val="ConsPlusNormal"/>
        <w:spacing w:before="240"/>
        <w:ind w:firstLine="540"/>
        <w:jc w:val="both"/>
      </w:pPr>
      <w:bookmarkStart w:id="0" w:name="P71"/>
      <w:bookmarkEnd w:id="0"/>
      <w:r>
        <w:t>18. Установить, что в бюджете городского округа Мегион Ханты-Мансийского автономного округа - Югры на 2025 год и плановый период 2026 и 2027 годов зарезервированы бюджетные ассигнования: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1) на реализацию инициативных проектов, в целях финансового обеспечения соответствующих расходных обязательств муниципального образования на 2025 год в сумме 2 989,5 тыс. рублей;</w:t>
      </w:r>
    </w:p>
    <w:p w:rsidR="00B2382A" w:rsidRDefault="00B2382A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2) на выплату дополнительной меры социальной поддержки граждан в городском округе, заключивших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 на 2025 год в сумме 0,0 тыс. рублей;</w:t>
      </w:r>
    </w:p>
    <w:p w:rsidR="00B2382A" w:rsidRDefault="00B2382A">
      <w:pPr>
        <w:pStyle w:val="ConsPlusNormal"/>
        <w:jc w:val="both"/>
      </w:pPr>
      <w:r>
        <w:t xml:space="preserve">(в ред. решений Думы города Мегиона от 25.04.2025 </w:t>
      </w:r>
      <w:hyperlink r:id="rId32">
        <w:r>
          <w:rPr>
            <w:color w:val="0000FF"/>
          </w:rPr>
          <w:t>N 451</w:t>
        </w:r>
      </w:hyperlink>
      <w:r>
        <w:t xml:space="preserve">, от 10.10.2025 </w:t>
      </w:r>
      <w:hyperlink r:id="rId33">
        <w:r>
          <w:rPr>
            <w:color w:val="0000FF"/>
          </w:rPr>
          <w:t>N 16</w:t>
        </w:r>
      </w:hyperlink>
      <w:r>
        <w:t>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3) на обеспечение доли </w:t>
      </w:r>
      <w:proofErr w:type="spellStart"/>
      <w:r>
        <w:t>софинансирования</w:t>
      </w:r>
      <w:proofErr w:type="spellEnd"/>
      <w:r>
        <w:t xml:space="preserve"> мероприятий государственных программ Ханты-Мансийского автономного округа - Югры при предоставлении из бюджетов </w:t>
      </w:r>
      <w:r>
        <w:lastRenderedPageBreak/>
        <w:t>бюджетной системы Российской Федерации объема субсидий сверх утвержденного решением Думы города о бюджете города Мегиона на 2025 год в сумме 103,6 тыс. рублей, на 2026 год в сумме 42 362,9 тыс. рублей.</w:t>
      </w:r>
    </w:p>
    <w:p w:rsidR="00B2382A" w:rsidRDefault="00B2382A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19. Предоставить право администрации города Мегиона привлекать кредиты от кредитных организаций, бюджетные кредиты из бюджета Ханты-Мансийского автономного округа - Югры для финансирования дефицита бюджета городского округа, в том числе на реализацию инфраструктурных проектов, проектов по реконструкции, модернизации, капитальному ремонту объектов жилищно-коммунального комплекса и капитальному ремонту автомобильных дорог общего пользования местного значения, для погашения действующих долговых обязательств бюджета городского округа.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20. Установить, что в соответствии со </w:t>
      </w:r>
      <w:hyperlink r:id="rId35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бюджете городского округа на 2025 год и плановый период 2026 и 2027 годов предусмотрены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в </w:t>
      </w:r>
      <w:hyperlink w:anchor="P25553">
        <w:r>
          <w:rPr>
            <w:color w:val="0000FF"/>
          </w:rPr>
          <w:t>случаях</w:t>
        </w:r>
      </w:hyperlink>
      <w:r>
        <w:t>, установленных приложением 15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Порядок предоставления субсидий, предусмотренных </w:t>
      </w:r>
      <w:hyperlink w:anchor="P25553">
        <w:r>
          <w:rPr>
            <w:color w:val="0000FF"/>
          </w:rPr>
          <w:t>приложением 15</w:t>
        </w:r>
      </w:hyperlink>
      <w:r>
        <w:t xml:space="preserve"> к настоящему решению, за исключением субсидий, предоставляемых за счет средств, поступивших из других бюджетов бюджетной системы Российской Федерации в соответствии с решениями органов государственной власти Российской Федерации и органов государственной власти Ханты-Мансийского автономного округа - Югры (с учетом обеспечения доли </w:t>
      </w:r>
      <w:proofErr w:type="spellStart"/>
      <w:r>
        <w:t>софинансирования</w:t>
      </w:r>
      <w:proofErr w:type="spellEnd"/>
      <w:r>
        <w:t xml:space="preserve"> расходов),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810 "Субсидии юридическим лицам (кроме некоммерческих организаций), индивидуальным предпринимателям, а также физическим лицам - производителям товаров, работ, услуг" в составе </w:t>
      </w:r>
      <w:hyperlink w:anchor="P1189">
        <w:r>
          <w:rPr>
            <w:color w:val="0000FF"/>
          </w:rPr>
          <w:t>приложений 3</w:t>
        </w:r>
      </w:hyperlink>
      <w:r>
        <w:t xml:space="preserve">, </w:t>
      </w:r>
      <w:hyperlink w:anchor="P5103">
        <w:r>
          <w:rPr>
            <w:color w:val="0000FF"/>
          </w:rPr>
          <w:t>4</w:t>
        </w:r>
      </w:hyperlink>
      <w:r>
        <w:t xml:space="preserve">, </w:t>
      </w:r>
      <w:hyperlink w:anchor="P8322">
        <w:r>
          <w:rPr>
            <w:color w:val="0000FF"/>
          </w:rPr>
          <w:t>5</w:t>
        </w:r>
      </w:hyperlink>
      <w:r>
        <w:t xml:space="preserve">, </w:t>
      </w:r>
      <w:hyperlink w:anchor="P13190">
        <w:r>
          <w:rPr>
            <w:color w:val="0000FF"/>
          </w:rPr>
          <w:t>6</w:t>
        </w:r>
      </w:hyperlink>
      <w:r>
        <w:t xml:space="preserve">, </w:t>
      </w:r>
      <w:hyperlink w:anchor="P17946">
        <w:r>
          <w:rPr>
            <w:color w:val="0000FF"/>
          </w:rPr>
          <w:t>9</w:t>
        </w:r>
      </w:hyperlink>
      <w:r>
        <w:t xml:space="preserve">, </w:t>
      </w:r>
      <w:hyperlink w:anchor="P22030">
        <w:r>
          <w:rPr>
            <w:color w:val="0000FF"/>
          </w:rPr>
          <w:t>10</w:t>
        </w:r>
      </w:hyperlink>
      <w:r>
        <w:t xml:space="preserve">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21. Установить, что в соответствии со </w:t>
      </w:r>
      <w:hyperlink r:id="rId36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субсидии негосударственным социально ориентированным некоммерческим организациям (за исключением субсидий муниципальным учреждениям) предоставляются в целях финансового обеспечения (возмещения затрат) оказания общественно полезных услуг, в </w:t>
      </w:r>
      <w:hyperlink w:anchor="P25606">
        <w:r>
          <w:rPr>
            <w:color w:val="0000FF"/>
          </w:rPr>
          <w:t>случаях</w:t>
        </w:r>
      </w:hyperlink>
      <w:r>
        <w:t>, установленных приложением 16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89">
        <w:r>
          <w:rPr>
            <w:color w:val="0000FF"/>
          </w:rPr>
          <w:t>приложений 3</w:t>
        </w:r>
      </w:hyperlink>
      <w:r>
        <w:t xml:space="preserve">, </w:t>
      </w:r>
      <w:hyperlink w:anchor="P5103">
        <w:r>
          <w:rPr>
            <w:color w:val="0000FF"/>
          </w:rPr>
          <w:t>4</w:t>
        </w:r>
      </w:hyperlink>
      <w:r>
        <w:t xml:space="preserve">, </w:t>
      </w:r>
      <w:hyperlink w:anchor="P8322">
        <w:r>
          <w:rPr>
            <w:color w:val="0000FF"/>
          </w:rPr>
          <w:t>5</w:t>
        </w:r>
      </w:hyperlink>
      <w:r>
        <w:t xml:space="preserve">, </w:t>
      </w:r>
      <w:hyperlink w:anchor="P13190">
        <w:r>
          <w:rPr>
            <w:color w:val="0000FF"/>
          </w:rPr>
          <w:t>6</w:t>
        </w:r>
      </w:hyperlink>
      <w:r>
        <w:t xml:space="preserve">, </w:t>
      </w:r>
      <w:hyperlink w:anchor="P17946">
        <w:r>
          <w:rPr>
            <w:color w:val="0000FF"/>
          </w:rPr>
          <w:t>9</w:t>
        </w:r>
      </w:hyperlink>
      <w:r>
        <w:t xml:space="preserve">, </w:t>
      </w:r>
      <w:hyperlink w:anchor="P22030">
        <w:r>
          <w:rPr>
            <w:color w:val="0000FF"/>
          </w:rPr>
          <w:t>10</w:t>
        </w:r>
      </w:hyperlink>
      <w:r>
        <w:t xml:space="preserve"> к настоящему решению.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22. Установить, что в соответствии со </w:t>
      </w:r>
      <w:hyperlink r:id="rId37">
        <w:r>
          <w:rPr>
            <w:color w:val="0000FF"/>
          </w:rPr>
          <w:t>статьей 78.4</w:t>
        </w:r>
      </w:hyperlink>
      <w:r>
        <w:t xml:space="preserve"> Бюджетного кодекса Российской Федерации в бюджете города предусмотрена субсидия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</w:t>
      </w:r>
      <w:r>
        <w:lastRenderedPageBreak/>
        <w:t>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в городе Мегионе.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Субсидия из бюджета города предоставляется в порядке, установленном настоящим решением и принимаемыми в соответствии с ним муниципальными правовыми актами администрации города и должны соответствовать требованиям </w:t>
      </w:r>
      <w:hyperlink r:id="rId38">
        <w:r>
          <w:rPr>
            <w:color w:val="0000FF"/>
          </w:rPr>
          <w:t>статьи 78.4</w:t>
        </w:r>
      </w:hyperlink>
      <w:r>
        <w:t xml:space="preserve"> Бюджетного кодекса Российской Федерации, Федерального </w:t>
      </w:r>
      <w:hyperlink r:id="rId39">
        <w:r>
          <w:rPr>
            <w:color w:val="0000FF"/>
          </w:rPr>
          <w:t>закона</w:t>
        </w:r>
      </w:hyperlink>
      <w: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сфере", а также иным требованиям, установленным Правительством Российской Федерации.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23. Установить, что в 2025 году департамент финансов администрации города Мегиона осуществляет казначейское сопровождение средств, указанных в настоящем пункте, предоставляемых из бюджета городского округа.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Казначейскому сопровождению подлежат:</w:t>
      </w:r>
    </w:p>
    <w:p w:rsidR="00B2382A" w:rsidRDefault="00B2382A">
      <w:pPr>
        <w:pStyle w:val="ConsPlusNormal"/>
        <w:spacing w:before="240"/>
        <w:ind w:firstLine="540"/>
        <w:jc w:val="both"/>
      </w:pPr>
      <w:bookmarkStart w:id="1" w:name="P89"/>
      <w:bookmarkEnd w:id="1"/>
      <w:r>
        <w:t>1) авансовые платежи по муниципальным контрактам о поставке товаров, выполнении работ, оказании услуг, заключаемым на сумму более 50 000,0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bookmarkStart w:id="2" w:name="P90"/>
      <w:bookmarkEnd w:id="2"/>
      <w:r>
        <w:t>2) авансовые платежи по контрактам (договорам) о поставке товаров, выполнении работ, оказании услуг, заключаемым на сумму более 50 000,0 тыс. рублей бюджетными или автономными учреждениями городского округа, лицевые счета которым открыты в департаменте финансов администрации города Мегиона;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 указанных в </w:t>
      </w:r>
      <w:hyperlink w:anchor="P89">
        <w:r>
          <w:rPr>
            <w:color w:val="0000FF"/>
          </w:rPr>
          <w:t>подпунктах 1</w:t>
        </w:r>
      </w:hyperlink>
      <w:r>
        <w:t xml:space="preserve"> и </w:t>
      </w:r>
      <w:hyperlink w:anchor="P90">
        <w:r>
          <w:rPr>
            <w:color w:val="0000FF"/>
          </w:rPr>
          <w:t>2</w:t>
        </w:r>
      </w:hyperlink>
      <w:r>
        <w:t xml:space="preserve"> настоящего пункта муниципальных контрактов (контрактов, договоров) о поставке товаров, выполнении работ, оказании услуг;</w:t>
      </w:r>
    </w:p>
    <w:p w:rsidR="00B2382A" w:rsidRDefault="00B2382A">
      <w:pPr>
        <w:pStyle w:val="ConsPlusNormal"/>
        <w:spacing w:before="240"/>
        <w:ind w:firstLine="540"/>
        <w:jc w:val="both"/>
      </w:pPr>
      <w:bookmarkStart w:id="3" w:name="P92"/>
      <w:bookmarkEnd w:id="3"/>
      <w:r>
        <w:t>4) авансовые платежи по контрактам (договорам, соглашениям) о поставке товаров, выполнении работ, оказании услуг,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источником финансового обеспечения которых являются субсидии (за исключением субсидий бюджетным и автономным учреждениям), в том числе в соответствии с концессионными соглашениями, соглашениями о государственно-частном партнерстве, бюджетные инвестиции юридическим лицам на сумму более 3 000,0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bookmarkStart w:id="4" w:name="P93"/>
      <w:bookmarkEnd w:id="4"/>
      <w:r>
        <w:t xml:space="preserve">5)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предоставляемые из бюджета городского округа, указанные в </w:t>
      </w:r>
      <w:hyperlink w:anchor="P92">
        <w:r>
          <w:rPr>
            <w:color w:val="0000FF"/>
          </w:rPr>
          <w:t>подпункте 4</w:t>
        </w:r>
      </w:hyperlink>
      <w:r>
        <w:t xml:space="preserve"> настоящего пункта;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6) авансовые платежи по контрактам (договорам) о поставке товаров, выполнении работ, оказании услуг, источником финансового обеспечения которых являются взносы (вклады), указанные в </w:t>
      </w:r>
      <w:hyperlink w:anchor="P93">
        <w:r>
          <w:rPr>
            <w:color w:val="0000FF"/>
          </w:rPr>
          <w:t>подпункте 5</w:t>
        </w:r>
      </w:hyperlink>
      <w:r>
        <w:t xml:space="preserve"> настоящего пункта, на сумму более 3 000,0 тыс. рублей;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7)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40">
        <w:r>
          <w:rPr>
            <w:color w:val="0000FF"/>
          </w:rPr>
          <w:t>абзаце четвертом подпункта 1 статьи 242.27</w:t>
        </w:r>
      </w:hyperlink>
      <w:r>
        <w:t xml:space="preserve"> </w:t>
      </w:r>
      <w:r>
        <w:lastRenderedPageBreak/>
        <w:t>Бюджетного кодекса Российской Федерации).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24. Органы местного самоуправления не вправе принимать решения, приводящие к увеличению в 2025 году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ими), а также работников муниципальных учреждений городского округа, 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 муниципальной собственности.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25. Установить приоритетные направления расходов средств местного бюджета городского округа в случае невыполнения доходной части бюджета и недостатка средств на счете бюджета городского округа в 2025 году: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1) оплата труда и начисления на выплаты по оплате труда; выплаты социального характера;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2) оплата коммунальных услуг, услуг по содержанию имущества;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3) публичные нормативные обязательства.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Финансирование иных расходов производится пропорционально поступающим в бюджет городского округа доходам.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26. Доходы, поступающие в 2025 году сверх сумм, утвержденных настоящим решением, в первоочередном порядке будут направлены на финансирование приоритетных направлений расходов, обеспечивающих повышение уровня и качества жизни населения города, доступности муниципальных услуг и функций.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27. Установить, что муниципальные правовые акты муниципального образования, влекущие дополнительные расходы за счет средств бюджета городского округа,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в настоящее решение.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28. Установить, что остатки средств местного бюджета городского округа Мегион на 01.01.2025 направляются в 2025 году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2024 финансовом году, в объеме, не превышающем сумму остатка не использованных бюджетных ассигнований 2024 года.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29. Руководитель финансового органа в соответствии с </w:t>
      </w:r>
      <w:hyperlink r:id="rId41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42">
        <w:r>
          <w:rPr>
            <w:color w:val="0000FF"/>
          </w:rPr>
          <w:t>пунктом 11 раздела 4</w:t>
        </w:r>
      </w:hyperlink>
      <w:r>
        <w:t xml:space="preserve"> Положения об отдельных вопросах организации и осуществления бюджетного процесса в городском округе Мегион Ханты-Мансийского автономного округа - Югры, утвержденного решением Думы города Мегиона от 30.11.2012 N 306 (с изменениями) вправе вносить в 2025 году изменения в показатели сводной бюджетной росписи бюджета городского округа 2025 - 2027 годов без внесения изменений в настоящее решение по следующим дополнительным основаниям: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1) перераспределение бюджетных ассигнований между главными распорядителями </w:t>
      </w:r>
      <w:r>
        <w:lastRenderedPageBreak/>
        <w:t xml:space="preserve">средств бюджета городского округа по соответствующим кодам классификации расходов бюджета в целях обеспечения условий (в том числе, обеспечение доли </w:t>
      </w:r>
      <w:proofErr w:type="spellStart"/>
      <w:r>
        <w:t>софинансирования</w:t>
      </w:r>
      <w:proofErr w:type="spellEnd"/>
      <w:r>
        <w:t>) предоставления межбюджетных трансфертов, имеющих целевое назначение;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городского округа по соответствующим кодам классификации расходов бюджета на проведение отдельных мероприятий в рамках муниципальных программ и непрограммных направлений деятельности города Мегиона;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3) перераспределение бюджетных ассигнований, предусмотренных главным распорядителям бюджетных средств на предоставление муниципальным бюджетным и автономным учреждениям городского округа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 между муниципальными программами, подпрограммами (мероприятиями) муниципальных программ городского округа, а также между их исполнителями на функционирование органов администрации города, связанное с созданием, ликвидацией и реорганизацией (передачей полномочий), изменением типа муниципальных учреждений;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5)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Ханты-Мансийского автономного округа - Югры, Контрольно-счетной палаты города Мегиона;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6) изменение бюджетной классификации расходов бюджета городского округа без изменения целевого направления средств;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7) уточнение разделов, подразделов, целевых статей и видов расходов главного распорядителя средств бюджета городского округа в случаях, необходимых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городского округа, в текущем финансовом году и в плановом периоде;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8) распределение бюджетных ассигнований, зарезервированных в составе утвержденных </w:t>
      </w:r>
      <w:hyperlink w:anchor="P71">
        <w:r>
          <w:rPr>
            <w:color w:val="0000FF"/>
          </w:rPr>
          <w:t>пунктом 18</w:t>
        </w:r>
      </w:hyperlink>
      <w:r>
        <w:t xml:space="preserve"> настоящего решения по муниципальным программам и непрограммным направлениям деятельности бюджета городского округа;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9) перераспределение бюджетных ассигнований между структурными элементами (мероприятиями) муниципальных программ, а также между их ответственными исполнителями;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10) инициативные платежи, зачисляемые в бюджет городского округа, фактически полученные при исполнении бюджета сверх утвержденных решением о бюджете доходов, направляются на увеличение расходов бюджета, соответствующих целям предоставления указанных средств.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 xml:space="preserve">30. Администрация города Мегиона вправе заключать соглашения о реструктуризации долговых обязательств (задолженности) юридических лиц перед бюджетом городского округа в соответствии с федеральным законодательством Российской Федерации, законодательством Ханты-Мансийского автономного округа - </w:t>
      </w:r>
      <w:r>
        <w:lastRenderedPageBreak/>
        <w:t>Югры и муниципальными правовыми актами городского округа.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31. Разрешить администрации города Мегиона осуществлять списание признанной безнадежной к взысканию задолженности перед бюджетом городского округа: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1) по средствам, выданным на возвратной основе, процентам за пользование ими, пеням и штрафам;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2) по иным обязательствам юридического лица, индивидуального предпринимателя без образования юридического лица и физического лица;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3) по неналоговым платежам в части, подлежащей зачислению в бюджет городского округа.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Списание задолженности осуществляется в соответствии с порядком, установленным муниципальным правовым актом администрации города Мегиона.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32. Установить, что заключение бюджетополучателями договоров, муниципальных контрактов, принятие иных бюджетных обязательств, исполнение которых осуществляется за счет средств бюджета городского округа, производится в пределах утвержденных лимитов бюджетных обязательств в соответствии с ведомственной структурой расходов, функциональной и экономической классификацией расходов бюджета городского округа.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Принятие бюджетополучателями бюджетных обязательств, сверх утвержденных решением Думы города Мегиона "О бюджете городского округа Мегион Ханты-Мансийского автономного округа - Югры на 2025 год и плановый период 2026 и 2027 годов" не допускается.</w:t>
      </w:r>
    </w:p>
    <w:p w:rsidR="00B2382A" w:rsidRDefault="00B2382A">
      <w:pPr>
        <w:pStyle w:val="ConsPlusNormal"/>
        <w:spacing w:before="240"/>
        <w:ind w:firstLine="540"/>
        <w:jc w:val="both"/>
      </w:pPr>
      <w:r>
        <w:t>33. Настоящее решение вступает в силу после его официального опубликования и применяется с 1 января 2025 года.</w:t>
      </w:r>
    </w:p>
    <w:p w:rsidR="00B2382A" w:rsidRDefault="00B2382A">
      <w:pPr>
        <w:pStyle w:val="ConsPlusNormal"/>
        <w:ind w:firstLine="540"/>
        <w:jc w:val="both"/>
      </w:pPr>
    </w:p>
    <w:p w:rsidR="00B2382A" w:rsidRDefault="00B2382A">
      <w:pPr>
        <w:pStyle w:val="ConsPlusNormal"/>
        <w:jc w:val="right"/>
      </w:pPr>
      <w:r>
        <w:t>Председатель Думы города Мегиона</w:t>
      </w:r>
    </w:p>
    <w:p w:rsidR="00B2382A" w:rsidRDefault="00B2382A">
      <w:pPr>
        <w:pStyle w:val="ConsPlusNormal"/>
        <w:jc w:val="right"/>
      </w:pPr>
      <w:r>
        <w:t>А.А.АЛТАПОВ</w:t>
      </w:r>
    </w:p>
    <w:p w:rsidR="00B2382A" w:rsidRDefault="00B2382A">
      <w:pPr>
        <w:pStyle w:val="ConsPlusNormal"/>
      </w:pPr>
      <w:r>
        <w:t>г. Мегион</w:t>
      </w:r>
    </w:p>
    <w:p w:rsidR="00B2382A" w:rsidRDefault="00B2382A">
      <w:pPr>
        <w:pStyle w:val="ConsPlusNormal"/>
        <w:spacing w:before="240"/>
      </w:pPr>
      <w:r>
        <w:t>09.12.2024</w:t>
      </w:r>
    </w:p>
    <w:p w:rsidR="00B2382A" w:rsidRDefault="00B2382A">
      <w:pPr>
        <w:pStyle w:val="ConsPlusNormal"/>
        <w:ind w:firstLine="540"/>
        <w:jc w:val="both"/>
      </w:pPr>
    </w:p>
    <w:p w:rsidR="00B2382A" w:rsidRDefault="00B2382A">
      <w:pPr>
        <w:pStyle w:val="ConsPlusNormal"/>
        <w:jc w:val="right"/>
      </w:pPr>
      <w:r>
        <w:t>Глава города Мегиона</w:t>
      </w:r>
    </w:p>
    <w:p w:rsidR="00B2382A" w:rsidRDefault="00B2382A">
      <w:pPr>
        <w:pStyle w:val="ConsPlusNormal"/>
        <w:jc w:val="right"/>
      </w:pPr>
      <w:r>
        <w:t>А.В.ПЕТРИЧЕНКО</w:t>
      </w:r>
    </w:p>
    <w:p w:rsidR="00B2382A" w:rsidRDefault="00B2382A">
      <w:pPr>
        <w:pStyle w:val="ConsPlusNormal"/>
      </w:pPr>
      <w:r>
        <w:t>г. Мегион</w:t>
      </w:r>
    </w:p>
    <w:p w:rsidR="00B2382A" w:rsidRDefault="00B2382A">
      <w:pPr>
        <w:pStyle w:val="ConsPlusNormal"/>
        <w:spacing w:before="240"/>
      </w:pPr>
      <w:r>
        <w:t>09.12.2024</w:t>
      </w:r>
    </w:p>
    <w:p w:rsidR="00B2382A" w:rsidRDefault="00B2382A">
      <w:pPr>
        <w:pStyle w:val="ConsPlusNormal"/>
      </w:pPr>
    </w:p>
    <w:p w:rsidR="00B2382A" w:rsidRDefault="00B2382A">
      <w:pPr>
        <w:pStyle w:val="ConsPlusNormal"/>
      </w:pPr>
    </w:p>
    <w:p w:rsidR="00B2382A" w:rsidRDefault="00B2382A">
      <w:pPr>
        <w:pStyle w:val="ConsPlusNormal"/>
      </w:pPr>
    </w:p>
    <w:p w:rsidR="00B2382A" w:rsidRDefault="00B2382A">
      <w:pPr>
        <w:pStyle w:val="ConsPlusNormal"/>
      </w:pPr>
    </w:p>
    <w:p w:rsidR="00B2382A" w:rsidRDefault="00B2382A">
      <w:pPr>
        <w:pStyle w:val="ConsPlusNormal"/>
      </w:pPr>
      <w:bookmarkStart w:id="5" w:name="_GoBack"/>
      <w:bookmarkEnd w:id="5"/>
    </w:p>
    <w:sectPr w:rsidR="00B2382A" w:rsidSect="00493D1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82A"/>
    <w:rsid w:val="00033649"/>
    <w:rsid w:val="00121AD4"/>
    <w:rsid w:val="002C6B8B"/>
    <w:rsid w:val="00412E62"/>
    <w:rsid w:val="00493D1A"/>
    <w:rsid w:val="00494EE6"/>
    <w:rsid w:val="005A60C5"/>
    <w:rsid w:val="005C2F13"/>
    <w:rsid w:val="00604856"/>
    <w:rsid w:val="006C6087"/>
    <w:rsid w:val="007A7FC9"/>
    <w:rsid w:val="007D5214"/>
    <w:rsid w:val="00827C04"/>
    <w:rsid w:val="00A66B00"/>
    <w:rsid w:val="00AD31A7"/>
    <w:rsid w:val="00B00AE2"/>
    <w:rsid w:val="00B2382A"/>
    <w:rsid w:val="00C96C7A"/>
    <w:rsid w:val="00CB289F"/>
    <w:rsid w:val="00D22903"/>
    <w:rsid w:val="00DE19D1"/>
    <w:rsid w:val="00FE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AC20"/>
  <w15:chartTrackingRefBased/>
  <w15:docId w15:val="{EDA08978-DEDF-4DB4-BF17-3E1ED231C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B8B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ConsPlusTitlePage">
    <w:name w:val="ConsPlusTitlePage"/>
    <w:rsid w:val="00B238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B2382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B2382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241&amp;dst=91" TargetMode="External"/><Relationship Id="rId13" Type="http://schemas.openxmlformats.org/officeDocument/2006/relationships/hyperlink" Target="https://login.consultant.ru/link/?req=doc&amp;base=RLAW926&amp;n=334372&amp;dst=100009" TargetMode="External"/><Relationship Id="rId18" Type="http://schemas.openxmlformats.org/officeDocument/2006/relationships/hyperlink" Target="https://login.consultant.ru/link/?req=doc&amp;base=RLAW926&amp;n=323051&amp;dst=100015" TargetMode="External"/><Relationship Id="rId26" Type="http://schemas.openxmlformats.org/officeDocument/2006/relationships/hyperlink" Target="https://login.consultant.ru/link/?req=doc&amp;base=RLAW926&amp;n=334372&amp;dst=100030" TargetMode="External"/><Relationship Id="rId39" Type="http://schemas.openxmlformats.org/officeDocument/2006/relationships/hyperlink" Target="https://login.consultant.ru/link/?req=doc&amp;base=LAW&amp;n=49444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926&amp;n=333444&amp;dst=102536" TargetMode="External"/><Relationship Id="rId34" Type="http://schemas.openxmlformats.org/officeDocument/2006/relationships/hyperlink" Target="https://login.consultant.ru/link/?req=doc&amp;base=RLAW926&amp;n=334372&amp;dst=100038" TargetMode="External"/><Relationship Id="rId42" Type="http://schemas.openxmlformats.org/officeDocument/2006/relationships/hyperlink" Target="https://login.consultant.ru/link/?req=doc&amp;base=RLAW926&amp;n=248388&amp;dst=100269" TargetMode="External"/><Relationship Id="rId7" Type="http://schemas.openxmlformats.org/officeDocument/2006/relationships/hyperlink" Target="https://login.consultant.ru/link/?req=doc&amp;base=RLAW926&amp;n=334372&amp;dst=100005" TargetMode="External"/><Relationship Id="rId12" Type="http://schemas.openxmlformats.org/officeDocument/2006/relationships/hyperlink" Target="https://login.consultant.ru/link/?req=doc&amp;base=RLAW926&amp;n=334372&amp;dst=100007" TargetMode="External"/><Relationship Id="rId17" Type="http://schemas.openxmlformats.org/officeDocument/2006/relationships/hyperlink" Target="https://login.consultant.ru/link/?req=doc&amp;base=RLAW926&amp;n=334372&amp;dst=100016" TargetMode="External"/><Relationship Id="rId25" Type="http://schemas.openxmlformats.org/officeDocument/2006/relationships/hyperlink" Target="https://login.consultant.ru/link/?req=doc&amp;base=RLAW926&amp;n=323051&amp;dst=100025" TargetMode="External"/><Relationship Id="rId33" Type="http://schemas.openxmlformats.org/officeDocument/2006/relationships/hyperlink" Target="https://login.consultant.ru/link/?req=doc&amp;base=RLAW926&amp;n=334372&amp;dst=100037" TargetMode="External"/><Relationship Id="rId38" Type="http://schemas.openxmlformats.org/officeDocument/2006/relationships/hyperlink" Target="https://login.consultant.ru/link/?req=doc&amp;base=LAW&amp;n=511241&amp;dst=62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926&amp;n=334372&amp;dst=100014" TargetMode="External"/><Relationship Id="rId20" Type="http://schemas.openxmlformats.org/officeDocument/2006/relationships/hyperlink" Target="https://login.consultant.ru/link/?req=doc&amp;base=RLAW926&amp;n=333444&amp;dst=100021" TargetMode="External"/><Relationship Id="rId29" Type="http://schemas.openxmlformats.org/officeDocument/2006/relationships/hyperlink" Target="https://login.consultant.ru/link/?req=doc&amp;base=LAW&amp;n=499926&amp;dst=1085" TargetMode="External"/><Relationship Id="rId41" Type="http://schemas.openxmlformats.org/officeDocument/2006/relationships/hyperlink" Target="https://login.consultant.ru/link/?req=doc&amp;base=LAW&amp;n=511241&amp;dst=432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926&amp;n=323051&amp;dst=100005" TargetMode="External"/><Relationship Id="rId11" Type="http://schemas.openxmlformats.org/officeDocument/2006/relationships/hyperlink" Target="https://login.consultant.ru/link/?req=doc&amp;base=RLAW926&amp;n=331920&amp;dst=100593" TargetMode="External"/><Relationship Id="rId24" Type="http://schemas.openxmlformats.org/officeDocument/2006/relationships/hyperlink" Target="https://login.consultant.ru/link/?req=doc&amp;base=RLAW926&amp;n=333444&amp;dst=103140" TargetMode="External"/><Relationship Id="rId32" Type="http://schemas.openxmlformats.org/officeDocument/2006/relationships/hyperlink" Target="https://login.consultant.ru/link/?req=doc&amp;base=RLAW926&amp;n=323051&amp;dst=100030" TargetMode="External"/><Relationship Id="rId37" Type="http://schemas.openxmlformats.org/officeDocument/2006/relationships/hyperlink" Target="https://login.consultant.ru/link/?req=doc&amp;base=LAW&amp;n=511241&amp;dst=6236" TargetMode="External"/><Relationship Id="rId40" Type="http://schemas.openxmlformats.org/officeDocument/2006/relationships/hyperlink" Target="https://login.consultant.ru/link/?req=doc&amp;base=LAW&amp;n=511241&amp;dst=678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323051&amp;dst=100013" TargetMode="External"/><Relationship Id="rId23" Type="http://schemas.openxmlformats.org/officeDocument/2006/relationships/hyperlink" Target="https://login.consultant.ru/link/?req=doc&amp;base=RLAW926&amp;n=333444&amp;dst=102925" TargetMode="External"/><Relationship Id="rId28" Type="http://schemas.openxmlformats.org/officeDocument/2006/relationships/hyperlink" Target="https://login.consultant.ru/link/?req=doc&amp;base=LAW&amp;n=499926&amp;dst=1084" TargetMode="External"/><Relationship Id="rId36" Type="http://schemas.openxmlformats.org/officeDocument/2006/relationships/hyperlink" Target="https://login.consultant.ru/link/?req=doc&amp;base=LAW&amp;n=511241&amp;dst=103431" TargetMode="External"/><Relationship Id="rId10" Type="http://schemas.openxmlformats.org/officeDocument/2006/relationships/hyperlink" Target="https://login.consultant.ru/link/?req=doc&amp;base=RLAW926&amp;n=331920&amp;dst=100997" TargetMode="External"/><Relationship Id="rId19" Type="http://schemas.openxmlformats.org/officeDocument/2006/relationships/hyperlink" Target="https://login.consultant.ru/link/?req=doc&amp;base=LAW&amp;n=511241&amp;dst=103292" TargetMode="External"/><Relationship Id="rId31" Type="http://schemas.openxmlformats.org/officeDocument/2006/relationships/hyperlink" Target="https://login.consultant.ru/link/?req=doc&amp;base=RLAW926&amp;n=323051&amp;dst=100029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331920&amp;dst=100242" TargetMode="External"/><Relationship Id="rId14" Type="http://schemas.openxmlformats.org/officeDocument/2006/relationships/hyperlink" Target="https://login.consultant.ru/link/?req=doc&amp;base=RLAW926&amp;n=334372&amp;dst=100011" TargetMode="External"/><Relationship Id="rId22" Type="http://schemas.openxmlformats.org/officeDocument/2006/relationships/hyperlink" Target="https://login.consultant.ru/link/?req=doc&amp;base=RLAW926&amp;n=333444&amp;dst=100022" TargetMode="External"/><Relationship Id="rId27" Type="http://schemas.openxmlformats.org/officeDocument/2006/relationships/hyperlink" Target="https://login.consultant.ru/link/?req=doc&amp;base=RLAW926&amp;n=334372&amp;dst=100031" TargetMode="External"/><Relationship Id="rId30" Type="http://schemas.openxmlformats.org/officeDocument/2006/relationships/hyperlink" Target="https://login.consultant.ru/link/?req=doc&amp;base=LAW&amp;n=499926&amp;dst=1087" TargetMode="External"/><Relationship Id="rId35" Type="http://schemas.openxmlformats.org/officeDocument/2006/relationships/hyperlink" Target="https://login.consultant.ru/link/?req=doc&amp;base=LAW&amp;n=511241&amp;dst=103395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E5532-4328-4BE3-BF1D-83C977214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9</Pages>
  <Words>4243</Words>
  <Characters>24186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2</cp:revision>
  <dcterms:created xsi:type="dcterms:W3CDTF">2025-10-22T11:45:00Z</dcterms:created>
  <dcterms:modified xsi:type="dcterms:W3CDTF">2025-10-23T05:08:00Z</dcterms:modified>
</cp:coreProperties>
</file>