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1014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4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исполнению бюджета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4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полугодие 2025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Бюджет города </w:t>
      </w:r>
      <w:r>
        <w:t xml:space="preserve">Мегиона</w:t>
      </w:r>
      <w:r>
        <w:t xml:space="preserve"> на 2025 год утвержден решением Думы города </w:t>
      </w:r>
      <w:r>
        <w:t xml:space="preserve">Мегиона</w:t>
      </w:r>
      <w:r>
        <w:t xml:space="preserve"> от 09.12.2024 года №427 «О бюджете городского округа </w:t>
      </w:r>
      <w:r>
        <w:t xml:space="preserve">Мегион</w:t>
      </w:r>
      <w:r>
        <w:t xml:space="preserve"> Ханты-Мансийского автономного округа – Югры н</w:t>
      </w:r>
      <w:r>
        <w:t xml:space="preserve">а 2025 год и плановый период 2026 и 2027 годов». По состоянию на 01.07.2025 утвержденный план доходной части бюджета города составил 7 279 928,2 тыс. рублей, показатели сводной бюджетной росписи по расходам составили 8 177 618,1 тыс. рублей. Бюджет города </w:t>
      </w:r>
      <w:r>
        <w:t xml:space="preserve">Мегиона</w:t>
      </w:r>
      <w:r>
        <w:t xml:space="preserve"> за полугодие исполнен по доходам в сумме 3 688 635,9 тыс. рублей, по расходам исполнение составило 3 685 432,8 тыс. рублей, профицит бюджета составил сумму +3 203,1 тыс. рублей.</w:t>
      </w:r>
      <w:r/>
    </w:p>
    <w:p>
      <w:pPr>
        <w:pStyle w:val="994"/>
        <w:jc w:val="both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ДОХОДЫ</w:t>
      </w:r>
      <w:r>
        <w:rPr>
          <w:b/>
          <w:bCs/>
          <w:sz w:val="28"/>
          <w:szCs w:val="28"/>
        </w:rPr>
      </w:r>
    </w:p>
    <w:p>
      <w:pPr>
        <w:pStyle w:val="99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По итогам полугодия 2025 года доходы бюджета к утверждённому пла</w:t>
      </w:r>
      <w:r>
        <w:t xml:space="preserve">ну (7 279 928,2 тыс. руб.) исполнены на 50,7% и составили 3 688 635,9 тыс. руб. Из них на долю налоговых и неналоговых доходов приходится 32,0%, в бюджет поступило 1 180 789,4 тыс. руб. Безвозмездные поступления составили 68,0%, в бюджет городского округа </w:t>
      </w:r>
      <w:r>
        <w:t xml:space="preserve">Мегион</w:t>
      </w:r>
      <w:r>
        <w:t xml:space="preserve"> перечислено 2 507 846,5 тыс. руб.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rPr>
          <w:lang w:val="en-US"/>
        </w:rPr>
        <w:t xml:space="preserve">I</w:t>
      </w:r>
      <w:r>
        <w:t xml:space="preserve">. Налоговые и неналоговые доходы.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Налог на доходы физических лиц является основным источником поступления налоговых и неналоговых доходов. На его долю приходится 65,8%, фактическое поступление составило 776 507,5 тыс. руб. Годовой план (1 455 079,6 тыс. руб.) исполнен на 53,4%.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Акцизы по подакцизным товарам (продукции), производимым</w:t>
      </w:r>
      <w:r>
        <w:t xml:space="preserve"> на территории Российской Федерации в отчётном периоде в бюджет городского округа поступили в сумме 8 625,8 тыс. руб. Их доля в общем объёме налоговых и неналоговых доходов составила 0,7%. Плановые назначения на год (19 936,0 тыс. руб.) исполнены на 43,3%.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Налоги на совокупный доход в структуре налоговых и неналоговых доходов составили 13,7%. Из них налог, взимаемый в связи с применением упрощенной системы налогообложения, составляет 13,2%. В городско</w:t>
      </w:r>
      <w:r>
        <w:t xml:space="preserve">й бюджет данный вид доходов поступил в сумме 155 501,9 тыс. руб. Процент исполнения к плановым назначениям (212 400,0 тыс. руб.) составил 73,2%. Высокий процент исполнения плановых назначений обусловлен увеличением с 01.01.2025 ставок налогообложения. На н</w:t>
      </w:r>
      <w:r>
        <w:t xml:space="preserve">алог, взимаемый в связи с применением патентной системы налогообложения, зачисляемый в бюджеты городских округов приходится 0,5%. В бюджет городского округа данный налог поступил в сумме 5 726,3 тыс. руб. План на год (8 477,0 тыс. руб.) исполнен на 67,6%. 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Группа доходов, налоги на имущество, в объёме налоговых и неналоговых доходов составили 2,3%. Из них на дол</w:t>
      </w:r>
      <w:r>
        <w:t xml:space="preserve">ю налога на имущество физических лиц приходится 0,4%. Годовые назначения (42 000,0 тыс. руб.) исполнены на 11,2%, в бюджет города поступило     4 709,7 тыс. руб. Транспортный налог составил 0,8%, в бюджет города данный налог поступил в сумме 9 172,3 тыс. р</w:t>
      </w:r>
      <w:r>
        <w:t xml:space="preserve">уб. Исполнение к утвержденному плану на год (29 500,0 тыс. руб.) составило 31,1%. Доля земельного налога составляет 1,1%, при плане на год (28 398,0 тыс. руб.) в бюджет поступило 13 072,3 тыс. руб. Процент исполнения к плановым назначениям составил 46,0%. 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В отчётном периоде в бюджет города государственной пошлины поступило 17 736,2 тыс. руб. Доля в общем объёме налоговых и нен</w:t>
      </w:r>
      <w:r>
        <w:t xml:space="preserve">алоговых доходов составила 1,5%. План на год (22 394,0 тыс. руб.) исполнен на 79,2%. Высокий процент исполнения плановых назначений обусловлен увеличением размера государственной пошлины по делам, рассматриваемым в судах общей юрисдикции, мировыми судьями.</w:t>
      </w:r>
      <w:r/>
    </w:p>
    <w:p>
      <w:pPr>
        <w:pStyle w:val="994"/>
        <w:ind w:firstLine="720"/>
        <w:jc w:val="both"/>
        <w:spacing w:before="0" w:beforeAutospacing="0" w:after="0" w:afterAutospacing="0"/>
        <w:rPr>
          <w:sz w:val="20"/>
          <w:szCs w:val="20"/>
        </w:rPr>
      </w:pPr>
      <w:r>
        <w:t xml:space="preserve">На долю доходов от использования имущества, находящегося в государственной и муниц</w:t>
      </w:r>
      <w:r>
        <w:t xml:space="preserve">ипальной собственности приходится 8,2%. Из них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</w:t>
      </w:r>
      <w:r>
        <w:t xml:space="preserve">заключение договоров аренды указанных земельных участков, составляют 6,8%. Фактическое поступление составило 80 288,5 тыс. руб. или 59,8% от плана на год (134 325,0 тыс. руб.). Доходы от сдачи в аренду имущества, составляющего казну городских округов (за и</w:t>
      </w:r>
      <w:r>
        <w:t xml:space="preserve">сключением земельных участков) в структуре налоговых и неналоговых доходов составили 0,5%. За полугодие 2025 года в бюджет поступило 5 542,9 тыс. руб., при плане на год (9 600,0 тыс. руб.) исполнение составило 57,7%. Прочие поступления от использования иму</w:t>
      </w:r>
      <w:r>
        <w:t xml:space="preserve">щества, находящегося в собственности городских округов составляет 0,7% или 8 315,4 тыс. руб. Также в бюджет городского округа поступили доходы, получаемые в виде арендной платы, а также средства от продажи права на заключение договоров аренды за земли, нах</w:t>
      </w:r>
      <w:r>
        <w:t xml:space="preserve">одящиеся в собственности городских округов в сумме 1 037,2 тыс. руб., доходы от сдачи в аренду имущества, находящегося в оперативном управлении органов управления городских округов в сумме 53,9 тыс. руб., плата  по соглашениям об установлении сервитута в о</w:t>
      </w:r>
      <w:r>
        <w:t xml:space="preserve">тношении земельных участков, находящихся в государственной или муниципальной собственности в сумме 4,6 тыс. руб. и плата, поступившая в рамках договора за предоставление права на размещение и эксплуатацию нестационарного торгового объекта, установку и эксп</w:t>
      </w:r>
      <w:r>
        <w:t xml:space="preserve">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в сумме 1 490,8 тыс. руб., на них приходится 0,2%. </w:t>
      </w:r>
      <w:r>
        <w:rPr>
          <w:sz w:val="20"/>
          <w:szCs w:val="20"/>
        </w:rPr>
      </w:r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В бюджет городского округа за полугодие 2025 года поступило 15 674,1 тыс. руб. платежей при пользовании природными ресурсами. Доля в общем объёме налоговых и неналоговых доходов составила 1,3%. Испо</w:t>
      </w:r>
      <w:r>
        <w:t xml:space="preserve">лнение плановых назначений на год (15 484,6 тыс. руб.) составило 101,2%. Высокий процент исполнения плановых назначений обусловлен незапланированным поступлением задолженности по платежам за негативное воздействие на окружающую среду за предыдущие периоды.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За отчётный период в городской бюджет поступило 6 201,9 тыс. руб. доходов от оказания платных услуг и компенсации затрат государства. Их доля в общем объёме налоговых и неналоговых доходов составила 0,5%. Плановые назначения н</w:t>
      </w:r>
      <w:r>
        <w:t xml:space="preserve">а год (103,0 тыс. руб.) исполнены на 6 021,3%. Высокий процент исполнения обусловлен поступлением незапланированного возврата дебиторской задолженности прошлых лет, в том числе по окружным средствам, которые впоследствии были возвращены в окружной бюджет. 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На долю доходов от продажи материальных и нематериальных активов приходится 5,8%, в том числе доходы от продажи квартир составили 5,4%. В бюджет поступило 63 928,7 тыс. руб. </w:t>
      </w:r>
      <w:r>
        <w:t xml:space="preserve">или 68,2% от плана на год (93 700,0 тыс. руб.). Процент исполнения обусловлен увеличением количества заключенных договоров купли продажи квартир. Доходы от реализации имущества, находящегося в государственной и муниципальной собственности (за исключением д</w:t>
      </w:r>
      <w:r>
        <w:t xml:space="preserve">вижимого имущества бюджетных и автономных учреждений, а также имущества государственных и муниципальных унитарных предприятий, в том числе казенных) поступили в сумме 771,8 тыс. руб., что составило 0,1%. Плановые назначения на год (1 377,0 тыс. руб.) испол</w:t>
      </w:r>
      <w:r>
        <w:t xml:space="preserve">нены на 56,0%. Доля доходов от продажи земельных участков, государственная собственность на которые не разграничена и которые расположены в границах городских округов составила 0,2%, за полугодие 2025 года в бюджет города поступило 2 000,4 тыс. руб., испол</w:t>
      </w:r>
      <w:r>
        <w:t xml:space="preserve">нение при плановом назначении 10 786,0 тыс. руб. составило 18,5%. Сложившийся процент исполнения объясняется тем, что услуга по продаже земельных участков носит заявительный характер. Поступление платы за увеличение площади земельных участков, находящихся </w:t>
      </w:r>
      <w:r>
        <w:t xml:space="preserve">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составила 0,1%, в бюджет города данный налог поступил в сумме 523,9 тыс. руб.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За полугодие 2025 года в бюджет городского округа перечислено 2 034,4 тыс. руб. штрафов, санкций, возмещение ущерба. Их доля в общем объёме налоговых и неналоговых доходов составила 0,2%. Исполнение плановых назначени</w:t>
      </w:r>
      <w:r>
        <w:t xml:space="preserve">й на год (5 647,3 тыс. руб.) составило 36,0%. Сложившийся процент исполнения объясняется уменьшением поступлений по постановлениям об административных правонарушениях, вынесенных мировыми судьями, и комиссиями по делам несовершеннолетних и защите их прав. 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rPr>
          <w:lang w:val="en-US"/>
        </w:rPr>
        <w:t xml:space="preserve">II</w:t>
      </w:r>
      <w:r>
        <w:t xml:space="preserve">.Безвозмездные поступления.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За отчетный период в бюджет городского округа поступило 2 </w:t>
      </w:r>
      <w:r>
        <w:t xml:space="preserve">507 846,5 тыс. руб. безвозмездных поступлений. Безвозмездных поступлений от других бюджетов бюджетной системы Российской Федерации перечислено 2 510 535,8 тыс. руб., в том числе дотации в сумме 418 843,2 тыс. руб., процент исполнения составил 49,5%; субсид</w:t>
      </w:r>
      <w:r>
        <w:t xml:space="preserve">ии в сумме 526 910,5 тыс. руб., исполнение составило 33,6%; субвенции в сумме 1 393 615,5 тыс. руб., процент исполнения составил 54,7%; иные межбюджетные трансферты перечислены в сумме           171 166,6 тыс. руб. или 81,4% от плановых назначений на год. 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За полугодие 2025 года поступили денежные средства по распоряжению Правительства Тюменской области в сумме 2 567,5 тыс. руб. 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В</w:t>
      </w:r>
      <w:r>
        <w:t xml:space="preserve"> результате взаимодействия администрации города с крупнейшим налогоплательщиками, осуществляющим свою деятельность на территории города, в городской бюджет поступило 100,0 тыс. руб., согласно заключенному Соглашению о благотворительной деятельности с ООО «</w:t>
      </w:r>
      <w:r>
        <w:t xml:space="preserve">Нефтеспецстрой</w:t>
      </w:r>
      <w:r>
        <w:t xml:space="preserve">» на ликвидацию несанкционированных свалок на территории города </w:t>
      </w:r>
      <w:r>
        <w:t xml:space="preserve">Мегиона</w:t>
      </w:r>
      <w:r>
        <w:t xml:space="preserve">.</w:t>
      </w:r>
      <w:r/>
    </w:p>
    <w:p>
      <w:pPr>
        <w:pStyle w:val="994"/>
        <w:ind w:firstLine="720"/>
        <w:jc w:val="both"/>
        <w:spacing w:before="0" w:beforeAutospacing="0" w:after="0" w:afterAutospacing="0"/>
      </w:pPr>
      <w:r>
        <w:t xml:space="preserve">За отчетный период были произведены возвраты в бюджет автономного округа остатков субсидий, субвенций, имеющих целевое назначение, прошлых лет из бюджета городского округа на общую сумму 5 356,8 тыс. руб.</w:t>
      </w:r>
      <w:r/>
    </w:p>
    <w:p>
      <w:pPr>
        <w:pStyle w:val="994"/>
        <w:ind w:firstLine="720"/>
        <w:jc w:val="both"/>
        <w:spacing w:before="0" w:beforeAutospacing="0" w:after="0" w:afterAutospacing="0"/>
        <w:rPr>
          <w:highlight w:val="white"/>
        </w:rPr>
      </w:pPr>
      <w:r>
        <w:t xml:space="preserve">В целом, бюджет городского округа </w:t>
      </w:r>
      <w:r>
        <w:t xml:space="preserve">Мегион</w:t>
      </w:r>
      <w:r>
        <w:t xml:space="preserve"> за полугодие 2025 года исполнен на 50,7%</w:t>
      </w:r>
      <w:r>
        <w:rPr>
          <w:highlight w:val="white"/>
        </w:rPr>
        <w:t xml:space="preserve">.</w:t>
      </w:r>
      <w:r>
        <w:rPr>
          <w:highlight w:val="white"/>
        </w:rPr>
      </w:r>
    </w:p>
    <w:p>
      <w:pPr>
        <w:pStyle w:val="994"/>
        <w:ind w:right="-2"/>
        <w:jc w:val="both"/>
        <w:spacing w:before="0" w:beforeAutospacing="0" w:after="0" w:afterAutospacing="0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pPr>
        <w:pStyle w:val="1002"/>
        <w:ind w:left="0" w:firstLine="283"/>
        <w:jc w:val="center"/>
        <w:spacing w:after="0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РАСХОДЫ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02"/>
        <w:ind w:left="0" w:firstLine="283"/>
        <w:jc w:val="both"/>
        <w:spacing w:after="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ru-RU"/>
        </w:rPr>
        <w:t xml:space="preserve">Расходная часть бюджета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lang w:eastAsia="ru-RU"/>
        </w:rPr>
        <w:t xml:space="preserve"> в 2025 году исполняется в программном формате, на основе утвержденных администрацией города муниципальных программ и непрограммных направлений деятельности.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  <w:bCs/>
        </w:rPr>
        <w:t xml:space="preserve">Перечень муниципальных программ утвержден </w:t>
      </w:r>
      <w:r>
        <w:rPr>
          <w:rFonts w:ascii="Times New Roman" w:hAnsi="Times New Roman" w:eastAsia="Times New Roman"/>
          <w:spacing w:val="4"/>
          <w:lang w:eastAsia="ru-RU"/>
        </w:rPr>
        <w:t xml:space="preserve">распоряжением администрации города от 04.07.2024 №99 «О перечне муниципальных программ города </w:t>
      </w:r>
      <w:r>
        <w:rPr>
          <w:rFonts w:ascii="Times New Roman" w:hAnsi="Times New Roman" w:eastAsia="Times New Roman"/>
          <w:spacing w:val="4"/>
          <w:lang w:eastAsia="ru-RU"/>
        </w:rPr>
        <w:t xml:space="preserve">Мегиона</w:t>
      </w:r>
      <w:r>
        <w:rPr>
          <w:rFonts w:ascii="Times New Roman" w:hAnsi="Times New Roman" w:eastAsia="Times New Roman"/>
          <w:spacing w:val="4"/>
          <w:lang w:eastAsia="ru-RU"/>
        </w:rPr>
        <w:t xml:space="preserve">» (с изменениями), разработанных в соответствии с постановлением администрации города от 21.06.2024 №1287 «О порядке разработки и реализации муниципальных программ города </w:t>
      </w:r>
      <w:r>
        <w:rPr>
          <w:rFonts w:ascii="Times New Roman" w:hAnsi="Times New Roman" w:eastAsia="Times New Roman"/>
          <w:spacing w:val="4"/>
          <w:lang w:eastAsia="ru-RU"/>
        </w:rPr>
        <w:t xml:space="preserve">Мегиона</w:t>
      </w:r>
      <w:r>
        <w:rPr>
          <w:rFonts w:ascii="Times New Roman" w:hAnsi="Times New Roman" w:eastAsia="Times New Roman"/>
          <w:spacing w:val="4"/>
          <w:lang w:eastAsia="ru-RU"/>
        </w:rPr>
        <w:t xml:space="preserve">» (с изменениями)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ru-RU"/>
        </w:rPr>
        <w:t xml:space="preserve">При уточненном объеме бюджетных ассигнований на 01.07.2025 в сумме 8 177 618,1 тыс. рублей кассовое исполнение бюджета составило 3 685 432,8 тыс. рублей, или 45,1%, в том числе:</w:t>
      </w:r>
      <w:r>
        <w:rPr>
          <w:rFonts w:ascii="Times New Roman" w:hAnsi="Times New Roman" w:eastAsia="Times New Roman"/>
        </w:rPr>
      </w:r>
    </w:p>
    <w:p>
      <w:pPr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sz w:val="20"/>
          <w:szCs w:val="20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276"/>
        <w:gridCol w:w="1276"/>
      </w:tblGrid>
      <w:tr>
        <w:tblPrEx/>
        <w:trPr>
          <w:trHeight w:val="978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527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Программные расходы, в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7 277 987,8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8 094 908,4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3 638 640,1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44,9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85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177 832,3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170 320,3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101 836,1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59,8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77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4 036 247,2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4 712 797,9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1 989 309,6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56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3 063 908,3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3 211 790,2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1 547 494,4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48,2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402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Непрограммные расходы, в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52 932,4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82 709,7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46 792,7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56,6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70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73,3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613,3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52 852,2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82 089,5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46 245,8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56,3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pStyle w:val="1065"/>
        <w:ind w:firstLine="70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Исполнение бюджета городского округа </w:t>
      </w:r>
      <w:r>
        <w:rPr>
          <w:sz w:val="24"/>
          <w:szCs w:val="24"/>
        </w:rPr>
        <w:t xml:space="preserve">Мегион</w:t>
      </w:r>
      <w:r>
        <w:rPr>
          <w:sz w:val="24"/>
          <w:szCs w:val="24"/>
        </w:rPr>
        <w:t xml:space="preserve"> Ханты-Мансийского автономного округа – Югры за полугодие 2025 года в части финансового обеспечения региональных проектов, направленных на достижение целей, показателей и решение задач нацио</w:t>
      </w:r>
      <w:r>
        <w:rPr>
          <w:sz w:val="24"/>
          <w:szCs w:val="24"/>
        </w:rPr>
        <w:t xml:space="preserve">нальных проектов, региональных проектов, направленных на достижение показателей федеральных проектов, не входящих в состав национальных проектов и региональных проектов, направленных на достижение целей социально-экономического развития автономного округа.</w:t>
      </w:r>
      <w:r>
        <w:rPr>
          <w:sz w:val="24"/>
          <w:szCs w:val="24"/>
        </w:rPr>
      </w:r>
    </w:p>
    <w:p>
      <w:pPr>
        <w:pStyle w:val="1065"/>
        <w:ind w:firstLine="0"/>
        <w:jc w:val="center"/>
        <w:spacing w:before="0"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(тыс. рублей)</w:t>
      </w:r>
      <w:r>
        <w:rPr>
          <w:rFonts w:ascii="Times New Roman" w:hAnsi="Times New Roman" w:eastAsia="Times New Roman"/>
          <w:sz w:val="20"/>
          <w:szCs w:val="20"/>
        </w:rPr>
      </w:r>
    </w:p>
    <w:tbl>
      <w:tblPr>
        <w:tblW w:w="977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1384"/>
        <w:gridCol w:w="1384"/>
        <w:gridCol w:w="1232"/>
        <w:gridCol w:w="1100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Наименование национального проекта, регионального проекта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 год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38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Всего на реализацию региональных проектов, направленных на достижение целей, показателей и решение задач национальных проектов, в том числе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862 301,7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1 427 911,5</w:t>
            </w:r>
            <w:r>
              <w:rPr>
                <w:rFonts w:ascii="Times New Roman" w:hAnsi="Times New Roman"/>
                <w:b/>
                <w:bCs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567 893,6</w:t>
            </w:r>
            <w:r>
              <w:rPr>
                <w:rFonts w:ascii="Times New Roman" w:hAnsi="Times New Roman"/>
                <w:b/>
                <w:bCs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39,8</w:t>
            </w:r>
            <w:r>
              <w:rPr>
                <w:rFonts w:ascii="Times New Roman" w:hAnsi="Times New Roman"/>
                <w:b/>
                <w:bCs/>
                <w:color w:val="000000"/>
                <w:highlight w:val="yellow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Национальный проект «Молодежь и дети»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263 840,8</w:t>
            </w:r>
            <w:r>
              <w:rPr>
                <w:rFonts w:ascii="Times New Roman" w:hAnsi="Times New Roman"/>
                <w:i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380 146,7</w:t>
            </w:r>
            <w:r>
              <w:rPr>
                <w:rFonts w:ascii="Times New Roman" w:hAnsi="Times New Roman"/>
                <w:i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158 234,0</w:t>
            </w:r>
            <w:r>
              <w:rPr>
                <w:rFonts w:ascii="Times New Roman" w:hAnsi="Times New Roman"/>
                <w:i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41,6</w:t>
            </w:r>
            <w:r>
              <w:rPr>
                <w:rFonts w:ascii="Times New Roman" w:hAnsi="Times New Roman"/>
                <w:i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«Педагоги и наставники»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91 298,8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91 298,8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58 013,0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63,5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«Все лучшее детям»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172 542,0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 xml:space="preserve">288 847</w:t>
            </w:r>
            <w:r>
              <w:rPr>
                <w:rFonts w:ascii="Times New Roman" w:hAnsi="Times New Roman"/>
                <w:iCs/>
                <w:color w:val="000000"/>
              </w:rPr>
              <w:t xml:space="preserve">,9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100 221,0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highlight w:val="yellow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34,7</w:t>
            </w:r>
            <w:r>
              <w:rPr>
                <w:rFonts w:ascii="Times New Roman" w:hAnsi="Times New Roman"/>
                <w:iCs/>
                <w:color w:val="000000"/>
                <w:highlight w:val="yellow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Национальный проект «Семья»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9 540,6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44,2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«Семейные ценности и инфраструктура культуры»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21 592,5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9 540,6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44,2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</w:tr>
      <w:tr>
        <w:tblPrEx/>
        <w:trPr>
          <w:cantSplit/>
          <w:trHeight w:val="5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Национальный проект «Инфраструктура для жизни»: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</w:rPr>
              <w:t xml:space="preserve">572 331,7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 w:eastAsia="Times New Roman"/>
                <w:i/>
                <w:iCs/>
              </w:rPr>
              <w:t xml:space="preserve">1 021 635,6</w:t>
            </w:r>
            <w:r>
              <w:rPr>
                <w:rFonts w:ascii="Times New Roman" w:hAnsi="Times New Roman"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 w:eastAsia="Times New Roman"/>
                <w:i/>
                <w:iCs/>
              </w:rPr>
              <w:t xml:space="preserve">396 516,3</w:t>
            </w:r>
            <w:r>
              <w:rPr>
                <w:rFonts w:ascii="Times New Roman" w:hAnsi="Times New Roman"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/>
              </w:rPr>
              <w:t xml:space="preserve">38,8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«Формирование комфортной городской среды»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19 744,3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19 744,3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cantSplit/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«Жилье»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485 007,0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1 001 891,3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396 516,3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39,6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«Модернизация коммунальной инфраструктуры»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67 580,4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Национальный проект «Эффективная и конкурентная экономика»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4 536,7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4 536,7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 xml:space="preserve">3 602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,</w:t>
            </w: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 xml:space="preserve">7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 xml:space="preserve">79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,4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4 536,7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4 536,7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 xml:space="preserve">3 602</w:t>
            </w:r>
            <w:r>
              <w:rPr>
                <w:rFonts w:ascii="Times New Roman" w:hAnsi="Times New Roman"/>
                <w:iCs/>
                <w:color w:val="000000"/>
              </w:rPr>
              <w:t xml:space="preserve">,</w:t>
            </w:r>
            <w:r>
              <w:rPr>
                <w:rFonts w:ascii="Times New Roman" w:hAnsi="Times New Roman"/>
                <w:iCs/>
                <w:color w:val="000000"/>
                <w:lang w:val="en-US"/>
              </w:rPr>
              <w:t xml:space="preserve">7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 xml:space="preserve">79</w:t>
            </w:r>
            <w:r>
              <w:rPr>
                <w:rFonts w:ascii="Times New Roman" w:hAnsi="Times New Roman"/>
                <w:iCs/>
                <w:color w:val="000000"/>
              </w:rPr>
              <w:t xml:space="preserve">,4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Всего на реализацию </w:t>
            </w:r>
            <w:r>
              <w:rPr>
                <w:rFonts w:ascii="Times New Roman" w:hAnsi="Times New Roman"/>
                <w:b/>
                <w:bCs/>
              </w:rPr>
              <w:t xml:space="preserve">региональных проектов, направленных на достижение показателей федеральных проектов, не входящих в состав национальных проектов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4 339,8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5 068,1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3 982,9</w:t>
            </w:r>
            <w:r>
              <w:rPr>
                <w:rFonts w:ascii="Times New Roman" w:hAnsi="Times New Roman"/>
                <w:b/>
                <w:bCs/>
                <w:color w:val="00000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78,6</w:t>
            </w:r>
            <w:r>
              <w:rPr>
                <w:rFonts w:ascii="Times New Roman" w:hAnsi="Times New Roman"/>
                <w:b/>
                <w:bCs/>
                <w:color w:val="000000"/>
                <w:highlight w:val="yellow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«Сохранение культурного и исторического наследия»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1 294,1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1 294,1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1 063,5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82,2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«Развитие искусства и творчества»</w:t>
            </w:r>
            <w:r>
              <w:rPr>
                <w:rFonts w:ascii="Times New Roman" w:hAnsi="Times New Roman"/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854,5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854,5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0,0</w:t>
            </w:r>
            <w:r>
              <w:rPr>
                <w:rFonts w:ascii="Times New Roman" w:hAnsi="Times New Roman"/>
                <w:i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2 191,2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2 919,5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2 919,4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100,0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Всего на реализацию </w:t>
            </w:r>
            <w:r>
              <w:rPr>
                <w:rFonts w:ascii="Times New Roman" w:hAnsi="Times New Roman"/>
                <w:b/>
                <w:bCs/>
              </w:rPr>
              <w:t xml:space="preserve">региональных проектов, направленных на достижение целей социально-экономического развития автономного округа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334 000,0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399 775,8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0,0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Региональный проект «Строительство (реконструкция) автомобильных дорог общего пользования местного значения»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334 000,0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399 775,8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0,0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ru-RU"/>
        </w:rPr>
        <w:t xml:space="preserve">Исполнение муниципальных программ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lang w:eastAsia="ru-RU"/>
        </w:rPr>
        <w:t xml:space="preserve"> и непрограммных направлений деятельности за полугодие 2025 года приведено в настоящей пояснительной записке.</w:t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1.Программа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 «Развитие систем гражданской защиты населения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«Развитие систем гражданской защиты населения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21.12.2023 №2072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</w:t>
      </w:r>
      <w:r>
        <w:rPr>
          <w:rFonts w:ascii="Times New Roman" w:hAnsi="Times New Roman"/>
          <w:highlight w:val="white"/>
        </w:rPr>
        <w:t xml:space="preserve"> </w:t>
      </w:r>
      <w:hyperlink r:id="rId16" w:tooltip="https://admmegion.ru/programs/municipal/programmy-2024/gzn/" w:history="1">
        <w:r>
          <w:rPr>
            <w:rStyle w:val="999"/>
            <w:rFonts w:ascii="Times New Roman" w:hAnsi="Times New Roman"/>
            <w:highlight w:val="white"/>
          </w:rPr>
          <w:t xml:space="preserve">https://admmegion.ru/programs/municipal/programmy-2024/gzn/</w:t>
        </w:r>
      </w:hyperlink>
      <w:r>
        <w:rPr>
          <w:rFonts w:ascii="Times New Roman" w:hAnsi="Times New Roman"/>
          <w:highlight w:val="white"/>
        </w:rPr>
        <w:t xml:space="preserve">.</w:t>
      </w:r>
      <w:r>
        <w:rPr>
          <w:rFonts w:ascii="Times New Roman" w:hAnsi="Times New Roman"/>
          <w:highlight w:val="white"/>
        </w:rPr>
      </w:r>
    </w:p>
    <w:p>
      <w:pPr>
        <w:jc w:val="both"/>
        <w:widowControl w:val="off"/>
        <w:tabs>
          <w:tab w:val="left" w:pos="709" w:leader="none"/>
        </w:tabs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       Ответственный исполнитель муниципальной программы -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муниципальное казенное учреждение «Управление гражданской защиты населения».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Целью муниципальной программы является</w:t>
      </w:r>
      <w:r>
        <w:rPr>
          <w:rFonts w:ascii="Times New Roman" w:hAnsi="Times New Roman"/>
          <w:bCs/>
          <w:highlight w:val="white"/>
        </w:rPr>
        <w:t xml:space="preserve"> о</w:t>
      </w:r>
      <w:r>
        <w:rPr>
          <w:rFonts w:ascii="Times New Roman" w:hAnsi="Times New Roman"/>
          <w:highlight w:val="white"/>
        </w:rPr>
        <w:t xml:space="preserve">беспечение устойчивого социально-экономического развития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, а также приемлемого уровня безопасности жизнедеятельности, необходимого уровня защищенности населения и территории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, материальных и культурных ценностей от опасностей, возникающих при военных конфликтах и чрезвычайных ситуациях; обеспечение эффективной деятельности МКУ «УГЗН» в установленных сферах деятельности.</w:t>
      </w:r>
      <w:r>
        <w:rPr>
          <w:rFonts w:ascii="Times New Roman" w:hAnsi="Times New Roman"/>
          <w:highlight w:val="white"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/>
          <w:bCs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      Уточненный объем бюджетных ассигнований составляет 56 527,8</w:t>
      </w:r>
      <w:r>
        <w:rPr>
          <w:rFonts w:ascii="Times New Roman" w:hAnsi="Times New Roman"/>
          <w:highlight w:val="white"/>
        </w:rPr>
        <w:t xml:space="preserve"> тыс. рублей, </w:t>
      </w:r>
      <w:r>
        <w:rPr>
          <w:rFonts w:ascii="Times New Roman" w:hAnsi="Times New Roman"/>
          <w:bCs/>
          <w:highlight w:val="white"/>
        </w:rPr>
        <w:t xml:space="preserve">исполнено 28 852,0 </w:t>
      </w:r>
      <w:r>
        <w:rPr>
          <w:rFonts w:ascii="Times New Roman" w:hAnsi="Times New Roman" w:eastAsia="Calibri"/>
          <w:highlight w:val="white"/>
        </w:rPr>
        <w:t xml:space="preserve">тыс. рублей</w:t>
      </w:r>
      <w:r>
        <w:rPr>
          <w:rFonts w:ascii="Times New Roman" w:hAnsi="Times New Roman"/>
          <w:bCs/>
          <w:highlight w:val="white"/>
        </w:rPr>
        <w:t xml:space="preserve">, или 51,0%,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  </w:t>
      </w:r>
      <w:r>
        <w:rPr>
          <w:rFonts w:ascii="Times New Roman" w:hAnsi="Times New Roman"/>
          <w:bCs/>
          <w:highlight w:val="white"/>
        </w:rPr>
      </w:r>
    </w:p>
    <w:p>
      <w:pPr>
        <w:ind w:left="360"/>
        <w:jc w:val="center"/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tbl>
      <w:tblPr>
        <w:tblW w:w="970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953"/>
        <w:gridCol w:w="1969"/>
        <w:gridCol w:w="1968"/>
        <w:gridCol w:w="1407"/>
        <w:gridCol w:w="843"/>
      </w:tblGrid>
      <w:tr>
        <w:tblPrEx/>
        <w:trPr>
          <w:trHeight w:val="1280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87"/>
        </w:trPr>
        <w:tc>
          <w:tcPr>
            <w:tcW w:w="5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4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28 852,0</w:t>
            </w:r>
            <w:r>
              <w:rPr>
                <w:b/>
                <w:bCs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51,0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28 852,0</w:t>
            </w:r>
            <w:r/>
          </w:p>
        </w:tc>
        <w:tc>
          <w:tcP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28 852,0</w:t>
            </w:r>
            <w:r/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</w:tbl>
    <w:p>
      <w:pPr>
        <w:rPr>
          <w:rFonts w:ascii="Times New Roman" w:hAnsi="Times New Roman"/>
          <w:bCs/>
          <w:sz w:val="20"/>
          <w:szCs w:val="20"/>
          <w:highlight w:val="yellow"/>
        </w:rPr>
      </w:pPr>
      <w:r>
        <w:rPr>
          <w:rFonts w:ascii="Times New Roman" w:hAnsi="Times New Roman"/>
          <w:bCs/>
          <w:sz w:val="20"/>
          <w:szCs w:val="20"/>
          <w:highlight w:val="yellow"/>
        </w:rPr>
      </w:r>
      <w:r>
        <w:rPr>
          <w:rFonts w:ascii="Times New Roman" w:hAnsi="Times New Roman"/>
          <w:bCs/>
          <w:sz w:val="20"/>
          <w:szCs w:val="20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/>
          <w:highlight w:val="white"/>
        </w:rPr>
      </w:r>
    </w:p>
    <w:p>
      <w:pPr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Структура расходов процессной части муниципальной программы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систем гражданской защиты населения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518"/>
        <w:gridCol w:w="1276"/>
        <w:gridCol w:w="1276"/>
        <w:gridCol w:w="1276"/>
        <w:gridCol w:w="709"/>
        <w:gridCol w:w="2268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highlight w:val="white"/>
              </w:rPr>
            </w:r>
          </w:p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56 527,8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28 852,0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0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Содержание каналов связи, обеспечение информационной безопасности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2 097,1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2 097,1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839,2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Объем принятых бюджетных обязательств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оставил 1 834,4 тыс. рублей. Оплата за предоставленные услуги, производится в соответствии с заключенными муниципальными контрактами по факту оказания услуг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Совершенствование системы оповещения населения города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1 228,0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1 228,0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203,5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16,6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роведение технического обслуживания автоматизированной системы централизованного оповещения населения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запланировано в 3-4 квартале 2025 года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90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деятельности МКУ "УГЗН"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52 567,7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52 567,7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27 700,3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52,7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выполнения полномочий и функций МКУ "УГЗН" в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установленных сферах деятельности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635,0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635,0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109,0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17,2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color w:val="000000"/>
                <w:sz w:val="20"/>
                <w:szCs w:val="20"/>
                <w:highlight w:val="white"/>
              </w:rPr>
              <w:t xml:space="preserve">Расходы по приобретению товарно-материальных ценностей для </w:t>
            </w:r>
            <w:r>
              <w:rPr>
                <w:rFonts w:ascii="Times New Roman" w:hAnsi="Times New Roman" w:eastAsia="Calibri"/>
                <w:color w:val="000000"/>
                <w:sz w:val="20"/>
                <w:szCs w:val="20"/>
                <w:highlight w:val="white"/>
              </w:rPr>
              <w:t xml:space="preserve">предупреждения, ликвидации чрезвычайных ситуаций осуществляются по мере возникновения потребности</w:t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2.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«Улучшение условий и охраны труда в городе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«Улучшение условий и охраны труда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03.11.2023 №1800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17" w:tooltip="https://admmegion.ru/programs/municipal/programmy-2024/okhrany-truda/" w:history="1">
        <w:r>
          <w:rPr>
            <w:rStyle w:val="999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https://admmegion.ru/programs/municipal/programmy-2024/okhrany-truda/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. 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jc w:val="both"/>
        <w:tabs>
          <w:tab w:val="left" w:pos="0" w:leader="none"/>
          <w:tab w:val="left" w:pos="709" w:leader="none"/>
        </w:tabs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ab/>
        <w:t xml:space="preserve">Ответственный исполнитель муниципальной программы - управление экономической политики администрации города.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обеспечение конституционных прав и гарантий работников на здоровые и безопасные условия труда; с</w:t>
      </w:r>
      <w:r>
        <w:rPr>
          <w:rFonts w:ascii="Times New Roman" w:hAnsi="Times New Roman"/>
        </w:rPr>
        <w:t xml:space="preserve">нижение уровней производственного травматизма и профессиональной заболеваемости среди работников города </w:t>
      </w:r>
      <w:r>
        <w:rPr>
          <w:rFonts w:ascii="Times New Roman" w:hAnsi="Times New Roman"/>
        </w:rPr>
        <w:t xml:space="preserve">Мегиона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709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2 693,2</w:t>
      </w:r>
      <w:r>
        <w:rPr>
          <w:rFonts w:ascii="Times New Roman" w:hAnsi="Times New Roman"/>
        </w:rPr>
        <w:t xml:space="preserve"> тыс. рублей, </w:t>
      </w:r>
      <w:r>
        <w:rPr>
          <w:rFonts w:ascii="Times New Roman" w:hAnsi="Times New Roman"/>
          <w:bCs/>
        </w:rPr>
        <w:t xml:space="preserve">исполнено 1 212,3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/>
          <w:bCs/>
        </w:rPr>
        <w:t xml:space="preserve">, или 45,0%,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356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2 693,2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2 693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1 212,3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45,0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2 693,2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2 693,2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1 212.3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45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456,5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174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38,2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2 236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2 236,7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1 038,0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46,4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</w:tbl>
    <w:p>
      <w:pPr>
        <w:spacing w:line="253" w:lineRule="atLeast"/>
        <w:tabs>
          <w:tab w:val="left" w:pos="1076" w:leader="none"/>
        </w:tabs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</w:p>
    <w:p>
      <w:pPr>
        <w:jc w:val="center"/>
        <w:spacing w:line="253" w:lineRule="atLeast"/>
        <w:tabs>
          <w:tab w:val="left" w:pos="1076" w:leader="none"/>
        </w:tabs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Процессная часть муниципальной программы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«Улучшение условий и охраны труда в городе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/>
        </w:rPr>
      </w:r>
    </w:p>
    <w:p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874"/>
        <w:gridCol w:w="1416"/>
        <w:gridCol w:w="1208"/>
        <w:gridCol w:w="1158"/>
        <w:gridCol w:w="708"/>
        <w:gridCol w:w="2124"/>
      </w:tblGrid>
      <w:tr>
        <w:tblPrEx/>
        <w:trPr/>
        <w:tc>
          <w:tcPr>
            <w:gridSpan w:val="2"/>
            <w:tcW w:w="33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307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2 693,2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2 693,2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1 212,3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45,0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Совершенствование государственного управления охраной труда в городе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2 236,7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2 236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1 038,0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46,4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Развитие социального партнерства между органами исполнительной власти, органами местного самоуправления, работодателями общественными организациями для реализации государственной политики в области охраны труда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Снижение производственного травматизма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452,0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169,8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37,6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Реализация бюджетных ассигно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ваний осуществляется в соответствии с сетевым графиком, согласно которому основное исполнение данного мероприятия муниципальными учреждениями запланировано на 3 и 4 кварталы 2025 года. Оплата работ производится по факту на основании актов выполненных работ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Улучшение условий труда в городе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3. Программа 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03.11.2023 №1801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18" w:tooltip="https://admmegion.ru/programs/municipal/programmy-2024/msp/" w:history="1">
        <w:r>
          <w:rPr>
            <w:rStyle w:val="999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https://admmegion.ru/programs/municipal/programmy-2024/msp/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. 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экономической политики администрации города.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widowControl w:val="off"/>
        <w:rPr>
          <w:rFonts w:ascii="Times New Roman" w:hAnsi="Times New Roman" w:eastAsia="Calibri"/>
        </w:rPr>
      </w:pPr>
      <w:r>
        <w:rPr>
          <w:rFonts w:ascii="Times New Roman" w:hAnsi="Times New Roman" w:eastAsia="Times New Roman"/>
          <w:lang w:eastAsia="ru-RU"/>
        </w:rPr>
        <w:t xml:space="preserve">Целью муниципальной программы является </w:t>
      </w:r>
      <w:r>
        <w:rPr>
          <w:rFonts w:ascii="Times New Roman" w:hAnsi="Times New Roman" w:eastAsia="Calibri"/>
        </w:rPr>
        <w:t xml:space="preserve">повышение реального роста дохода на 1 работника субъекта малого и среднего предпринимательства, устойчивое развитие агропромышленного комплекса и сельских территорий, повышение </w:t>
      </w:r>
      <w:r>
        <w:rPr>
          <w:rFonts w:ascii="Times New Roman" w:hAnsi="Times New Roman" w:eastAsia="Calibri"/>
        </w:rPr>
        <w:t xml:space="preserve">конкурентоспособности</w:t>
      </w:r>
      <w:r>
        <w:rPr>
          <w:rFonts w:ascii="Times New Roman" w:hAnsi="Times New Roman" w:eastAsia="Calibri"/>
        </w:rPr>
        <w:t xml:space="preserve"> произведенной в автономном округе сельскохозяйственной продукции</w:t>
      </w:r>
      <w:r>
        <w:rPr>
          <w:rFonts w:ascii="Times New Roman" w:hAnsi="Times New Roman" w:eastAsia="Calibri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16 547,7</w:t>
      </w:r>
      <w:r>
        <w:rPr>
          <w:rFonts w:ascii="Times New Roman" w:hAnsi="Times New Roman"/>
        </w:rPr>
        <w:t xml:space="preserve"> тыс. рублей</w:t>
      </w:r>
      <w:r>
        <w:rPr>
          <w:rFonts w:ascii="Times New Roman" w:hAnsi="Times New Roman"/>
          <w:bCs/>
        </w:rPr>
        <w:t xml:space="preserve">, исполнено 3 602,7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/>
          <w:bCs/>
        </w:rPr>
        <w:t xml:space="preserve">, или 21,8%, в том числе:</w:t>
      </w:r>
      <w:r>
        <w:rPr>
          <w:rFonts w:ascii="Times New Roman" w:hAnsi="Times New Roman" w:eastAsia="Times New Roman"/>
        </w:rPr>
      </w:r>
    </w:p>
    <w:p>
      <w:pPr>
        <w:ind w:left="8148" w:firstLine="348"/>
        <w:jc w:val="center"/>
        <w:rPr>
          <w:rFonts w:ascii="Times New Roman" w:hAnsi="Times New Roman" w:eastAsia="Calibri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</w:p>
    <w:p>
      <w:pPr>
        <w:ind w:left="8148" w:firstLine="348"/>
        <w:jc w:val="center"/>
        <w:rPr>
          <w:rFonts w:ascii="Times New Roman" w:hAnsi="Times New Roman" w:eastAsia="Calibri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</w:p>
    <w:p>
      <w:pPr>
        <w:ind w:left="8148" w:firstLine="348"/>
        <w:jc w:val="center"/>
        <w:rPr>
          <w:rFonts w:ascii="Times New Roman" w:hAnsi="Times New Roman" w:eastAsia="Calibri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</w:p>
    <w:p>
      <w:pPr>
        <w:ind w:left="8148" w:firstLine="348"/>
        <w:jc w:val="center"/>
        <w:rPr>
          <w:rFonts w:ascii="Times New Roman" w:hAnsi="Times New Roman" w:eastAsia="Calibri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</w:p>
    <w:p>
      <w:pPr>
        <w:ind w:left="8148" w:firstLine="348"/>
        <w:jc w:val="center"/>
        <w:rPr>
          <w:rFonts w:ascii="Times New Roman" w:hAnsi="Times New Roman" w:eastAsia="Calibri"/>
          <w:sz w:val="20"/>
          <w:szCs w:val="20"/>
          <w:highlight w:val="yellow"/>
          <w:lang w:eastAsia="ru-RU"/>
        </w:rPr>
      </w:pP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</w:r>
    </w:p>
    <w:p>
      <w:pPr>
        <w:ind w:left="8148" w:firstLine="348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Calibri"/>
          <w:sz w:val="20"/>
          <w:szCs w:val="20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</w:p>
    <w:p>
      <w:pPr>
        <w:ind w:left="8148" w:firstLine="348"/>
        <w:jc w:val="center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W w:w="969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50"/>
        <w:gridCol w:w="1967"/>
        <w:gridCol w:w="1966"/>
        <w:gridCol w:w="1406"/>
        <w:gridCol w:w="842"/>
      </w:tblGrid>
      <w:tr>
        <w:tblPrEx/>
        <w:trPr>
          <w:trHeight w:val="107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/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/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16 547,7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16 547,7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/>
              </w:rPr>
              <w:t xml:space="preserve">3 602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r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  Проектная часть </w:t>
            </w:r>
            <w:r>
              <w:rPr>
                <w:sz w:val="22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3 602,7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  местный бюджет</w:t>
            </w:r>
            <w:r>
              <w:rPr>
                <w:sz w:val="22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>
              <w:rPr>
                <w:sz w:val="22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>
              <w:rPr>
                <w:sz w:val="22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180,1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  бюджет автономного округа</w:t>
            </w:r>
            <w:r>
              <w:rPr>
                <w:sz w:val="22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3 422,6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2</w:t>
            </w:r>
            <w:r>
              <w:rPr>
                <w:sz w:val="22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Процессная часть</w:t>
            </w:r>
            <w:r>
              <w:rPr>
                <w:sz w:val="22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  бюджет автономного округа</w:t>
            </w:r>
            <w:r>
              <w:rPr>
                <w:sz w:val="22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sz w:val="22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center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Проектная часть муниципальной программы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color w:val="000000"/>
        </w:rPr>
        <w:t xml:space="preserve">» в разрезе структурных элементов 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275"/>
        <w:gridCol w:w="1134"/>
        <w:gridCol w:w="1134"/>
        <w:gridCol w:w="709"/>
        <w:gridCol w:w="1702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Наименование типа структурного элемента, структурного элемента муниципальной программы 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</w:t>
            </w:r>
            <w:r/>
          </w:p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Причины неисполнения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Проектная часть муниципальной программы – всего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</w:rP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3 602,7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проекты, направленные на достижение показателей федеральных проектов, не входящих в состав национальных проектов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3 602,7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9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4 536,7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3 602,7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  местный бюджет</w:t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226,9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  федеральный бюджет</w:t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4 309,8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3 422,6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79,4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spacing w:line="253" w:lineRule="atLeast"/>
        <w:tabs>
          <w:tab w:val="left" w:pos="1076" w:leader="none"/>
        </w:tabs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Процессная часть муниципальной программы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Поддержка и развитие малого и среднего предпринимательства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559"/>
        <w:gridCol w:w="1276"/>
        <w:gridCol w:w="1276"/>
        <w:gridCol w:w="709"/>
        <w:gridCol w:w="1843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Наименование типа структурного элемента, структурного элемента муниципальной программы 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% исполнения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Причины неисполнения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Процессная часть муниципальной программы – всего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</w:rPr>
              <w:t xml:space="preserve">в том числе: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Поддержка отрасли животноводства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связи с отсутствием на территории города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сельскохозтоваропроизводителей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в адрес Департамента промышленности ХМАО – Югры направлено письмо (от 10.03.2025 №22-519) о необходимости корректировки бюджетных ассигнований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12 011,0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4.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«Развитие гражданского общества на территории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«Развитие гражданского общества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от 16.11.2023 №1901 «Об утверждении муниципальной программы «Развитие гражданского общества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адресу:https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: </w:t>
      </w:r>
      <w:hyperlink r:id="rId19" w:tooltip="https://admmegion.ru/programs/municipal/programmy-2024/grazhdan-obshchestvo/" w:history="1">
        <w:r>
          <w:rPr>
            <w:rStyle w:val="999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https://admmegion.ru/programs/municipal/programmy-2024/grazhdan-obshchestvo/.</w:t>
        </w:r>
      </w:hyperlink>
      <w:r/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общественных связей администрации города.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Целью муниципальной программы является создание условий для развития институтов гражданского общества и реализации гражданских инициатив, формирование культуры открытости в системе муниципального управления.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Уточненный объем бюджетных ассигнований составляет 7 917,1 тыс. рублей, исполнено 5 458,8 тыс. рублей, или 68,9%, в том числе:       </w:t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</w:t>
      </w:r>
      <w:r>
        <w:rPr>
          <w:rFonts w:ascii="Times New Roman" w:hAnsi="Times New Roman"/>
          <w:bCs/>
          <w:highlight w:val="yellow"/>
        </w:rPr>
        <w:t xml:space="preserve">                                                       </w:t>
      </w:r>
      <w:r>
        <w:rPr>
          <w:rFonts w:ascii="Times New Roman" w:hAnsi="Times New Roman" w:eastAsia="Calibri"/>
          <w:highlight w:val="yellow"/>
        </w:rPr>
      </w:r>
    </w:p>
    <w:p>
      <w:pPr>
        <w:ind w:firstLine="708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tbl>
      <w:tblPr>
        <w:tblW w:w="5158" w:type="pct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3693"/>
        <w:gridCol w:w="1689"/>
        <w:gridCol w:w="1701"/>
        <w:gridCol w:w="1093"/>
        <w:gridCol w:w="1181"/>
      </w:tblGrid>
      <w:tr>
        <w:tblPrEx/>
        <w:trPr>
          <w:jc w:val="center"/>
          <w:trHeight w:val="69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</w:t>
            </w:r>
            <w:r>
              <w:rPr>
                <w:rFonts w:ascii="Times New Roman" w:hAnsi="Times New Roman" w:eastAsia="Times New Roman"/>
                <w:color w:val="000000"/>
                <w:sz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97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9 690,6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7 917,1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5 458,8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68,9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9 690,6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7 917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5 458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9 690,6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7 917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5 458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yellow"/>
        </w:rPr>
      </w:r>
      <w:r>
        <w:rPr>
          <w:highlight w:val="yellow"/>
        </w:rPr>
      </w:r>
    </w:p>
    <w:p>
      <w:pPr>
        <w:ind w:firstLine="567"/>
        <w:jc w:val="both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  <w:t xml:space="preserve"> Бюджетные ассигнования по исполнению процессной части муниципальной программы по направлениям расходования средств представлены следующим образом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567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jc w:val="right"/>
        <w:widowControl w:val="off"/>
        <w:rPr>
          <w:rFonts w:ascii="Times New Roman" w:hAnsi="Times New Roman" w:eastAsia="Times New Roman"/>
        </w:rPr>
        <w:outlineLvl w:val="1"/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</w:rPr>
      </w:r>
    </w:p>
    <w:tbl>
      <w:tblPr>
        <w:tblW w:w="508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534"/>
        <w:gridCol w:w="1280"/>
        <w:gridCol w:w="1133"/>
        <w:gridCol w:w="1132"/>
        <w:gridCol w:w="1134"/>
        <w:gridCol w:w="2148"/>
      </w:tblGrid>
      <w:tr>
        <w:tblPrEx/>
        <w:trPr/>
        <w:tc>
          <w:tcPr>
            <w:tcW w:w="43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Наименование типа структурного элемента, структурного элемента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муниципальной программы 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росписи на 01.07.2025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shd w:val="clear" w:color="ffffff" w:fill="ffffff"/>
            <w:tcW w:w="4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Процессная часть муниципальной программы - всего, 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9 690,6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7 917,1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5 458,8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1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6792"/>
        </w:trPr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открытой и конкурентной системы поддержки социально ориентированных некоммерческих организаций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4 813,5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2 250,0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654,4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Оказание финансовой поддержки социально ориентированных некоммерческих организаций в виде предоставления гранта главы города на развитие гражданского общества, а также передача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услуг управлением культуры, управлением физической культуры и спорта, департаментом образования администрации города услуг на исполнение негосударственными социально ориентированными некоммерческими организациями запланирована на 3-4 кварталы 2025 года. 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966"/>
        </w:trPr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функционирования системы популяризации деятельности социально ориентированных некоммерческих организаций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2 670,0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2 670,0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Содействие развитию социальной рекламы деятельности СОНКО в средствах массовой информации, а также размещению наружной социальной рекламы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15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Содействие развитию социальной рекламы деятельности СОНКО в средствах массовой информации, а также размещение наружной социальной рекламы запланировано на 3-4 квартал 2025 года.</w:t>
            </w:r>
            <w:r/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взаимодействия с политическими партиями, избирательными комиссиями, законодательными (представительным)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органами государственной власти и местного самоуправления в сфере регионального развития и содействия развитию местного самоуправления в городе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прогноза общественно-политической ситуации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806,1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В соответствии с постановлением администрации города от 23.06.2023 №1041 «Об утверждении порядка предоставления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субсидии территориальным общественным самоуправлениям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на осуществление собственных инициатив по вопросам местного значения», объявление конкурса на предоставление субсидии запланировано на 3 квартал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поддержки гражданам, награжденным знаком отличия "Доброволец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поддержки запланировано на декабрь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3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деятельности социально ориентированных некоммерческих организаций в сфере развития благотворительности и добровольчества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1 950,5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2 134,4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2 134,4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5. 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 «Управление муниципальными финансами в городе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</w:rPr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«Управление муниципальными финансами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26.10.2023 №1736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</w:t>
      </w:r>
      <w:r>
        <w:rPr>
          <w:highlight w:val="white"/>
        </w:rPr>
        <w:t xml:space="preserve"> </w:t>
      </w:r>
      <w:r>
        <w:rPr>
          <w:rFonts w:ascii="Times New Roman" w:hAnsi="Times New Roman"/>
          <w:color w:val="0000ff"/>
          <w:highlight w:val="white"/>
        </w:rPr>
        <w:t xml:space="preserve"> </w:t>
      </w:r>
      <w:hyperlink r:id="rId20" w:tooltip="https://admmegion.ru/programs/municipal/programmy-2024/upravFinance/" w:history="1">
        <w:r>
          <w:rPr>
            <w:rStyle w:val="999"/>
            <w:rFonts w:ascii="Times New Roman" w:hAnsi="Times New Roman"/>
            <w:highlight w:val="white"/>
            <w:lang w:val="en-US"/>
          </w:rPr>
          <w:t xml:space="preserve">https</w:t>
        </w:r>
        <w:r>
          <w:rPr>
            <w:rStyle w:val="999"/>
            <w:rFonts w:ascii="Times New Roman" w:hAnsi="Times New Roman"/>
            <w:highlight w:val="white"/>
          </w:rPr>
          <w:t xml:space="preserve">://</w:t>
        </w:r>
        <w:r>
          <w:rPr>
            <w:rStyle w:val="999"/>
            <w:rFonts w:ascii="Times New Roman" w:hAnsi="Times New Roman"/>
            <w:highlight w:val="white"/>
            <w:lang w:val="en-US"/>
          </w:rPr>
          <w:t xml:space="preserve">admmegion</w:t>
        </w:r>
        <w:r>
          <w:rPr>
            <w:rStyle w:val="999"/>
            <w:rFonts w:ascii="Times New Roman" w:hAnsi="Times New Roman"/>
            <w:highlight w:val="white"/>
          </w:rPr>
          <w:t xml:space="preserve">.</w:t>
        </w:r>
        <w:r>
          <w:rPr>
            <w:rStyle w:val="999"/>
            <w:rFonts w:ascii="Times New Roman" w:hAnsi="Times New Roman"/>
            <w:highlight w:val="white"/>
            <w:lang w:val="en-US"/>
          </w:rPr>
          <w:t xml:space="preserve">ru</w:t>
        </w:r>
        <w:r>
          <w:rPr>
            <w:rStyle w:val="999"/>
            <w:rFonts w:ascii="Times New Roman" w:hAnsi="Times New Roman"/>
            <w:highlight w:val="white"/>
          </w:rPr>
          <w:t xml:space="preserve">/</w:t>
        </w:r>
        <w:r>
          <w:rPr>
            <w:rStyle w:val="999"/>
            <w:rFonts w:ascii="Times New Roman" w:hAnsi="Times New Roman"/>
            <w:highlight w:val="white"/>
            <w:lang w:val="en-US"/>
          </w:rPr>
          <w:t xml:space="preserve">programs</w:t>
        </w:r>
        <w:r>
          <w:rPr>
            <w:rStyle w:val="999"/>
            <w:rFonts w:ascii="Times New Roman" w:hAnsi="Times New Roman"/>
            <w:highlight w:val="white"/>
          </w:rPr>
          <w:t xml:space="preserve">/</w:t>
        </w:r>
        <w:r>
          <w:rPr>
            <w:rStyle w:val="999"/>
            <w:rFonts w:ascii="Times New Roman" w:hAnsi="Times New Roman"/>
            <w:highlight w:val="white"/>
            <w:lang w:val="en-US"/>
          </w:rPr>
          <w:t xml:space="preserve">municipal</w:t>
        </w:r>
        <w:r>
          <w:rPr>
            <w:rStyle w:val="999"/>
            <w:rFonts w:ascii="Times New Roman" w:hAnsi="Times New Roman"/>
            <w:highlight w:val="white"/>
          </w:rPr>
          <w:t xml:space="preserve">/</w:t>
        </w:r>
        <w:r>
          <w:rPr>
            <w:rStyle w:val="999"/>
            <w:rFonts w:ascii="Times New Roman" w:hAnsi="Times New Roman"/>
            <w:highlight w:val="white"/>
            <w:lang w:val="en-US"/>
          </w:rPr>
          <w:t xml:space="preserve">programmy</w:t>
        </w:r>
        <w:r>
          <w:rPr>
            <w:rStyle w:val="999"/>
            <w:rFonts w:ascii="Times New Roman" w:hAnsi="Times New Roman"/>
            <w:highlight w:val="white"/>
          </w:rPr>
          <w:t xml:space="preserve">-2024/</w:t>
        </w:r>
        <w:r>
          <w:rPr>
            <w:rStyle w:val="999"/>
            <w:rFonts w:ascii="Times New Roman" w:hAnsi="Times New Roman"/>
            <w:highlight w:val="white"/>
            <w:lang w:val="en-US"/>
          </w:rPr>
          <w:t xml:space="preserve">upravFinance</w:t>
        </w:r>
        <w:r>
          <w:rPr>
            <w:rStyle w:val="999"/>
            <w:rFonts w:ascii="Times New Roman" w:hAnsi="Times New Roman"/>
            <w:highlight w:val="white"/>
          </w:rPr>
          <w:t xml:space="preserve">/</w:t>
        </w:r>
      </w:hyperlink>
      <w:r>
        <w:rPr>
          <w:rFonts w:ascii="Times New Roman" w:hAnsi="Times New Roman"/>
          <w:color w:val="0000ff"/>
          <w:highlight w:val="white"/>
        </w:rPr>
        <w:t xml:space="preserve">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департамент финансов администрации города.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Целью муниципальной программы является обеспечение долгосрочной сбалансированности и устойчивости бюджета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, повышение качества управления муниципальными финансами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.</w:t>
      </w:r>
      <w:r>
        <w:rPr>
          <w:rFonts w:ascii="Times New Roman" w:hAnsi="Times New Roman" w:eastAsia="Calibri"/>
          <w:highlight w:val="white"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/>
          <w:bCs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      Уточненный объем бюджетных ассигнований составляет 42 221,4</w:t>
      </w:r>
      <w:r>
        <w:rPr>
          <w:rFonts w:ascii="Times New Roman" w:hAnsi="Times New Roman" w:eastAsia="Calibri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тыс. рублей, </w:t>
      </w:r>
      <w:r>
        <w:rPr>
          <w:rFonts w:ascii="Times New Roman" w:hAnsi="Times New Roman"/>
          <w:bCs/>
          <w:highlight w:val="white"/>
        </w:rPr>
        <w:t xml:space="preserve">исполнено 21 914,4</w:t>
      </w:r>
      <w:r>
        <w:rPr>
          <w:rFonts w:ascii="Times New Roman" w:hAnsi="Times New Roman" w:eastAsia="Calibri"/>
          <w:highlight w:val="white"/>
        </w:rPr>
        <w:t xml:space="preserve"> тыс. рублей</w:t>
      </w:r>
      <w:r>
        <w:rPr>
          <w:rFonts w:ascii="Times New Roman" w:hAnsi="Times New Roman"/>
          <w:bCs/>
          <w:highlight w:val="white"/>
        </w:rPr>
        <w:t xml:space="preserve"> или 51,9 %, в том числе:</w:t>
      </w: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ab/>
      </w:r>
      <w:r>
        <w:rPr>
          <w:rFonts w:ascii="Times New Roman" w:hAnsi="Times New Roman" w:eastAsia="Calibri"/>
          <w:highlight w:val="white"/>
        </w:rPr>
        <w:tab/>
        <w:t xml:space="preserve">      </w:t>
      </w:r>
      <w:r>
        <w:rPr>
          <w:rFonts w:ascii="Times New Roman" w:hAnsi="Times New Roman"/>
          <w:bCs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985"/>
        <w:gridCol w:w="1275"/>
        <w:gridCol w:w="1134"/>
      </w:tblGrid>
      <w:tr>
        <w:tblPrEx/>
        <w:trPr>
          <w:trHeight w:val="40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7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21 914,4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51,9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96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21 914,4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21 914,4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Структура расходов процессной части муниципальной программы                                  </w:t>
      </w:r>
      <w:r>
        <w:rPr>
          <w:rFonts w:ascii="Times New Roman" w:hAnsi="Times New Roman"/>
          <w:highlight w:val="white"/>
        </w:rPr>
        <w:t xml:space="preserve">  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Управление муниципальными финансами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highlight w:val="white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551"/>
        <w:gridCol w:w="1276"/>
        <w:gridCol w:w="1276"/>
        <w:gridCol w:w="1276"/>
        <w:gridCol w:w="709"/>
        <w:gridCol w:w="2268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highlight w:val="white"/>
              </w:rPr>
            </w:r>
          </w:p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42 221,4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21 914,4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деятельности органов местного самоуправления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41 721,4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41 721,4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21 759,3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52,2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4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Управление муниципальным долгом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155,1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Исполнение расходов осуществляется согласно графику перечисления процентов за обслуживание муниципального долга по привлеченным бюджетным кредитам</w:t>
            </w:r>
            <w:r>
              <w:rPr>
                <w:highlight w:val="whit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рамках реализации данной муниципальной программы средства местного бюджета направлены: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на финансовое обеспечение деятельности департамента финансов администрации города,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на обслуживание муниципального долга по привлеченным бюджетным кредитам в соответствии с программой муниципального внутреннего заимствования городского округа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highlight w:val="white"/>
        </w:rPr>
      </w:r>
    </w:p>
    <w:p>
      <w:pPr>
        <w:rPr>
          <w:rFonts w:ascii="Times New Roman" w:hAnsi="Times New Roman" w:eastAsia="Times New Roman"/>
          <w:b/>
          <w:bCs/>
          <w:highlight w:val="yellow"/>
        </w:rPr>
      </w:pPr>
      <w:r>
        <w:rPr>
          <w:rFonts w:ascii="Times New Roman" w:hAnsi="Times New Roman" w:eastAsia="Times New Roman"/>
          <w:b/>
          <w:bCs/>
          <w:highlight w:val="yellow"/>
        </w:rPr>
      </w:r>
      <w:r>
        <w:rPr>
          <w:rFonts w:ascii="Times New Roman" w:hAnsi="Times New Roman" w:eastAsia="Times New Roman"/>
          <w:b/>
          <w:bCs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6. Программа «Культурное пространство в городе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от 28.12.2023 №2236 «Об утверждении муниципальной программы «Культурное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21" w:tooltip="https://admmegion.ru/programs/municipal/programmy-2024/kulturnoe-prostranstvo/" w:history="1">
        <w:r>
          <w:rPr>
            <w:rStyle w:val="999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https://admmegion.ru/programs/municipal/programmy-2024/kulturnoe-prostranstvo/.</w:t>
        </w:r>
      </w:hyperlink>
      <w:r/>
      <w:r>
        <w:rPr>
          <w:rFonts w:ascii="Times New Roman" w:hAnsi="Times New Roman" w:eastAsia="Times New Roman"/>
          <w:color w:val="000000"/>
        </w:rPr>
      </w:r>
    </w:p>
    <w:p>
      <w:pPr>
        <w:pStyle w:val="996"/>
        <w:ind w:left="0" w:firstLine="709"/>
        <w:jc w:val="both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Ответственный исполнитель муниципальной программы</w:t>
      </w:r>
      <w:r>
        <w:rPr>
          <w:rFonts w:ascii="Times New Roman" w:hAnsi="Times New Roman"/>
        </w:rPr>
        <w:t xml:space="preserve">: управление культуры администрации города.</w:t>
      </w:r>
      <w:r>
        <w:rPr>
          <w:rFonts w:ascii="Times New Roman" w:hAnsi="Times New Roman"/>
        </w:rPr>
      </w:r>
    </w:p>
    <w:p>
      <w:pPr>
        <w:ind w:firstLine="706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муниципальной программы является укрепление единого культурного пространства города </w:t>
      </w:r>
      <w:r>
        <w:rPr>
          <w:rFonts w:ascii="Times New Roman" w:hAnsi="Times New Roman"/>
        </w:rPr>
        <w:t xml:space="preserve">Мегиона</w:t>
      </w:r>
      <w:r>
        <w:rPr>
          <w:rFonts w:ascii="Times New Roman" w:hAnsi="Times New Roman"/>
        </w:rPr>
        <w:t xml:space="preserve">, создание комфортных условий и равных возможностей доступа населения к культурным ценностям, цифровым ресурсам, самореализации и раскрытия таланта каждого жителя города </w:t>
      </w:r>
      <w:r>
        <w:rPr>
          <w:rFonts w:ascii="Times New Roman" w:hAnsi="Times New Roman"/>
        </w:rPr>
        <w:t xml:space="preserve">Мегиона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623 783,7</w:t>
      </w:r>
      <w:r>
        <w:rPr>
          <w:rFonts w:ascii="Times New Roman" w:hAnsi="Times New Roman"/>
        </w:rPr>
        <w:t xml:space="preserve"> тыс. рублей, </w:t>
      </w:r>
      <w:r>
        <w:rPr>
          <w:rFonts w:ascii="Times New Roman" w:hAnsi="Times New Roman"/>
          <w:bCs/>
        </w:rPr>
        <w:t xml:space="preserve">исполнено 324 988,2</w:t>
      </w:r>
      <w:r>
        <w:rPr>
          <w:rFonts w:ascii="Times New Roman" w:hAnsi="Times New Roman" w:eastAsia="Calibri"/>
        </w:rPr>
        <w:t xml:space="preserve"> тыс. рублей</w:t>
      </w:r>
      <w:r>
        <w:rPr>
          <w:rFonts w:ascii="Times New Roman" w:hAnsi="Times New Roman"/>
          <w:bCs/>
        </w:rPr>
        <w:t xml:space="preserve"> или 52,1 %,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/>
          <w:bCs/>
        </w:rPr>
      </w:r>
    </w:p>
    <w:p>
      <w:pPr>
        <w:ind w:left="360"/>
        <w:jc w:val="center"/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  <w:t xml:space="preserve">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Структура расходов муниципальной программы </w:t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pPr>
      <w:r>
        <w:rPr>
          <w:rFonts w:ascii="Times New Roman" w:hAnsi="Times New Roman"/>
          <w:color w:val="000000" w:themeColor="text1"/>
        </w:rPr>
        <w:t xml:space="preserve">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</w:p>
    <w:p>
      <w:pPr>
        <w:ind w:left="360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  <w:highlight w:val="yellow"/>
        </w:rPr>
      </w:r>
    </w:p>
    <w:p>
      <w:pPr>
        <w:ind w:left="8148"/>
        <w:jc w:val="both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(тыс. рублей)</w:t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r>
    </w:p>
    <w:tbl>
      <w:tblPr>
        <w:tblW w:w="5107" w:type="pct"/>
        <w:tblInd w:w="-34" w:type="dxa"/>
        <w:tblBorders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82"/>
        <w:gridCol w:w="1371"/>
        <w:gridCol w:w="1274"/>
        <w:gridCol w:w="1133"/>
        <w:gridCol w:w="1275"/>
        <w:gridCol w:w="2013"/>
      </w:tblGrid>
      <w:tr>
        <w:tblPrEx/>
        <w:trPr>
          <w:trHeight w:val="196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41"/>
          <w:tblHeader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1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1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ind w:left="-119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333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595 609,1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623 783,7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324 988,2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0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1. Проектная часть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23 741,1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23 741,1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10 604,1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385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1 316,7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1 316,7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636,5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27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13 977,3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13 977,3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6 342,7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326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8 447,1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8 447,1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3 624,8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42,9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7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2. Процессная часть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571 868,0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600 042,6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314 384,2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52,4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39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571 868,0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600 042,6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314 384,2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52,4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widowControl w:val="off"/>
        <w:rPr>
          <w:rFonts w:ascii="Times New Roman" w:hAnsi="Times New Roman"/>
          <w:color w:val="000000" w:themeColor="text1"/>
          <w:highlight w:val="yellow"/>
        </w:rPr>
      </w:pPr>
      <w:r>
        <w:rPr>
          <w:rFonts w:ascii="Times New Roman" w:hAnsi="Times New Roman"/>
          <w:color w:val="000000" w:themeColor="text1"/>
          <w:highlight w:val="yellow"/>
        </w:rPr>
      </w:r>
      <w:r>
        <w:rPr>
          <w:rFonts w:ascii="Times New Roman" w:hAnsi="Times New Roman"/>
          <w:color w:val="000000" w:themeColor="text1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Проектная часть муниципальной программы </w:t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center"/>
        <w:widowControl w:val="off"/>
        <w:rPr>
          <w:rFonts w:ascii="Times New Roman" w:hAnsi="Times New Roman"/>
          <w:color w:val="000000" w:themeColor="text1"/>
        </w:rPr>
        <w:outlineLvl w:val="1"/>
      </w:pPr>
      <w:r>
        <w:rPr>
          <w:rFonts w:ascii="Times New Roman" w:hAnsi="Times New Roman"/>
          <w:color w:val="000000" w:themeColor="text1"/>
        </w:rPr>
        <w:t xml:space="preserve">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</w:t>
      </w:r>
      <w:r>
        <w:rPr>
          <w:rFonts w:ascii="Times New Roman" w:hAnsi="Times New Roman"/>
          <w:color w:val="000000" w:themeColor="text1"/>
        </w:rPr>
        <w:t xml:space="preserve">в разрезе структурных элементов: </w:t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center"/>
        <w:widowControl w:val="off"/>
        <w:rPr>
          <w:rFonts w:ascii="Times New Roman" w:hAnsi="Times New Roman"/>
          <w:color w:val="000000" w:themeColor="text1"/>
        </w:rPr>
        <w:outlineLvl w:val="1"/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42"/>
        <w:gridCol w:w="1250"/>
        <w:gridCol w:w="1133"/>
        <w:gridCol w:w="1133"/>
        <w:gridCol w:w="992"/>
        <w:gridCol w:w="1841"/>
      </w:tblGrid>
      <w:tr>
        <w:tblPrEx/>
        <w:trPr/>
        <w:tc>
          <w:tcPr>
            <w:gridSpan w:val="2"/>
            <w:tcW w:w="35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23 741,1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23 741,1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10 604,1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i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проекты, направленные на достижение целей, показателей и решение задач национального проекта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21 592,5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9 540,6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Срок исполнения контракта по техническому оснащению музея - 4 кв. 2025 года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Региональный проект «Семейные ценности и инфраструктура культуры»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21 592,5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21 592,5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9 540,6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1 079,7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1 079,7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477,0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81"/>
        </w:trPr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бюджет автономного округа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12 512,8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12 512,8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5 528,8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i/>
                <w:color w:val="000000" w:themeColor="text1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федеральный  бюджет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8 000,0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8 000,0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3 534,8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проекты, направленные на достижение показателей федеральных проектов, не входящих в состав национальных проектов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2 148,6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2 148,6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1 063,5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49,5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Срок исполнения контракта, заключенного в рамках субсидии на развитие сферы культуры (оплата доступа в интернет, оцифровка печатных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документов) - 31.12.2025г.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Региональный проект «Сохранение культурного и исторического наследия»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1 294,1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1 294,1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1 063,5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49,5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194,2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159,5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82,1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1 009,9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1 009,9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813,9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80,6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федеральный 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Региональный проект «Развитие искусства и творчества»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854,5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854,5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контракта по постановке спектакля по мотивам произведений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К.И.Чуковского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запланировано на 3 квартал 2025 года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42,8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454,6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454,6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highlight w:val="yellow"/>
              </w:rPr>
            </w:r>
          </w:p>
        </w:tc>
        <w:tc>
          <w:tcPr>
            <w:tcW w:w="31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федеральный  бюджет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357,1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357,1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widowControl w:val="off"/>
        <w:rPr>
          <w:rFonts w:ascii="Times New Roman" w:hAnsi="Times New Roman"/>
          <w:color w:val="000000" w:themeColor="text1"/>
          <w:highlight w:val="yellow"/>
        </w:rPr>
      </w:pPr>
      <w:r>
        <w:rPr>
          <w:rFonts w:ascii="Times New Roman" w:hAnsi="Times New Roman"/>
          <w:color w:val="000000" w:themeColor="text1"/>
          <w:highlight w:val="yellow"/>
        </w:rPr>
      </w:r>
      <w:r>
        <w:rPr>
          <w:rFonts w:ascii="Times New Roman" w:hAnsi="Times New Roman"/>
          <w:color w:val="000000" w:themeColor="text1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Структура расходов процессной части </w:t>
      </w:r>
      <w:r>
        <w:rPr>
          <w:rFonts w:ascii="Times New Roman" w:hAnsi="Times New Roman"/>
          <w:color w:val="000000" w:themeColor="text1"/>
        </w:rPr>
        <w:t xml:space="preserve">муниципальной программы </w:t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 w:eastAsia="Times New Roman"/>
          <w:color w:val="000000"/>
        </w:rPr>
        <w:outlineLvl w:val="1"/>
      </w:pPr>
      <w:r>
        <w:rPr>
          <w:rFonts w:ascii="Times New Roman" w:hAnsi="Times New Roman"/>
          <w:color w:val="000000" w:themeColor="text1"/>
        </w:rPr>
        <w:t xml:space="preserve">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Культурное пространство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»:</w:t>
      </w:r>
      <w:r>
        <w:rPr>
          <w:rFonts w:ascii="Times New Roman" w:hAnsi="Times New Roman" w:eastAsia="Times New Roman"/>
          <w:color w:val="000000"/>
        </w:rPr>
      </w:r>
    </w:p>
    <w:p>
      <w:pPr>
        <w:jc w:val="center"/>
        <w:widowControl w:val="off"/>
        <w:rPr>
          <w:rFonts w:ascii="Times New Roman" w:hAnsi="Times New Roman"/>
          <w:highlight w:val="yellow"/>
        </w:rPr>
        <w:outlineLvl w:val="1"/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right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  <w:sz w:val="20"/>
          <w:szCs w:val="20"/>
        </w:rPr>
        <w:t xml:space="preserve">(тыс. рублей)</w:t>
      </w:r>
      <w:r>
        <w:rPr>
          <w:rFonts w:ascii="Times New Roman" w:hAnsi="Times New Roman"/>
        </w:rPr>
      </w:r>
    </w:p>
    <w:tbl>
      <w:tblPr>
        <w:tblW w:w="507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958"/>
        <w:gridCol w:w="1133"/>
        <w:gridCol w:w="1416"/>
        <w:gridCol w:w="1133"/>
        <w:gridCol w:w="849"/>
        <w:gridCol w:w="1841"/>
      </w:tblGrid>
      <w:tr>
        <w:tblPrEx/>
        <w:trPr/>
        <w:tc>
          <w:tcPr>
            <w:tcW w:w="43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84"/>
        </w:trPr>
        <w:tc>
          <w:tcPr>
            <w:shd w:val="clear" w:color="ffffff" w:fill="ffffff"/>
            <w:tcW w:w="4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Процессная часть муниципальной программы - всего, 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571 868,0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600 042,6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314 384,2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52,4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библиотечного дела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мероприятий по предоставлению доступа к базе данных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Литрес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Мобильная библиотека», а также приобретение книжных изданий для комплектования библиотечного фонда запланировано на 3-4 кварталы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музейного дела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1 647,5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запланирована на 3 квартал 2025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года (региональный фестиваль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Хатлые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замена кровельного покрытия объектов музея-стойбища 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Казамкиных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материально-технической базы учреждений культуры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1 824,6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4 576,2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1 075,9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мероприятий (обновление материально-технической базы, подготовка к осенне-зимнему сезону, устранение предписаний надзорных органов муниципальных учреждений) запланировано на 3-4 кварталы 2025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комплексной безопасности учреждений культуры и дополнительного образования в сфере культуры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860,6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574,7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одаренных детей и молодежи, развитие художественного образования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103,0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профессионального искусства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Стимулирование культурного разнообразия в городском округе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3 000,0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10 757,5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2 659,5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1006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Оплата расходов производилась в соответствии с планом проведения городских мероприятий и праздников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единой государственной политики в сфере культуры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565 052,8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581 825,6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309 811,1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Финансирование осуществлялось согласно заявкам муниципальных    учреждений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7.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«Развитие муниципальной службы в городе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rPr>
          <w:rFonts w:ascii="Times New Roman" w:hAnsi="Times New Roman" w:eastAsia="Times New Roman"/>
          <w:bCs/>
          <w:color w:val="000000"/>
          <w:highlight w:val="yellow"/>
        </w:rPr>
      </w:pPr>
      <w:r>
        <w:rPr>
          <w:rFonts w:ascii="Times New Roman" w:hAnsi="Times New Roman" w:eastAsia="Times New Roman"/>
          <w:bCs/>
          <w:color w:val="000000"/>
          <w:highlight w:val="yellow"/>
        </w:rPr>
      </w:r>
      <w:r>
        <w:rPr>
          <w:rFonts w:ascii="Times New Roman" w:hAnsi="Times New Roman" w:eastAsia="Times New Roman"/>
          <w:bCs/>
          <w:color w:val="000000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«Развитие муниципальной службы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утверждена постановлением администрации города от 23.11.2023 №1933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22" w:tooltip="https://admmegion.ru/programs/municipal/programmy-2024/munsluzhba/" w:history="1">
        <w:r>
          <w:rPr>
            <w:rStyle w:val="999"/>
            <w:rFonts w:ascii="Times New Roman" w:hAnsi="Times New Roman"/>
          </w:rPr>
          <w:t xml:space="preserve">https://admmegion.ru/programs/municipal/programmy-2024/munsluzhba/</w:t>
        </w:r>
      </w:hyperlink>
      <w:r>
        <w:rPr>
          <w:rFonts w:ascii="Times New Roman" w:hAnsi="Times New Roman"/>
        </w:rPr>
        <w:t xml:space="preserve"> .  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по вопросам муниципальной службы и кадров администрации города.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формирование высококвалифицированного кадрового состава муниципальной службы, обеспечивающего эффективность муниципального управления в городе </w:t>
      </w:r>
      <w:r>
        <w:rPr>
          <w:rFonts w:ascii="Times New Roman" w:hAnsi="Times New Roman" w:eastAsia="Calibri"/>
        </w:rPr>
        <w:t xml:space="preserve">Мегионе</w:t>
      </w:r>
      <w:r>
        <w:rPr>
          <w:rFonts w:ascii="Times New Roman" w:hAnsi="Times New Roman" w:eastAsia="Calibri"/>
        </w:rPr>
        <w:t xml:space="preserve">.</w:t>
      </w:r>
      <w:r>
        <w:rPr>
          <w:rFonts w:ascii="Times New Roman" w:hAnsi="Times New Roman" w:eastAsia="Calibri"/>
          <w:b/>
        </w:rPr>
      </w:r>
    </w:p>
    <w:p>
      <w:pPr>
        <w:ind w:left="142" w:hanging="1069"/>
        <w:jc w:val="both"/>
        <w:tabs>
          <w:tab w:val="left" w:pos="142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/>
          <w:bCs/>
        </w:rPr>
        <w:t xml:space="preserve">Уточненный объем бюджетных ассигнований составляет 350,0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 183,4</w:t>
      </w:r>
      <w:r>
        <w:rPr>
          <w:rFonts w:ascii="Times New Roman" w:hAnsi="Times New Roman" w:eastAsia="Calibri"/>
        </w:rPr>
        <w:t xml:space="preserve"> тыс. рублей</w:t>
      </w:r>
      <w:r>
        <w:rPr>
          <w:rFonts w:ascii="Times New Roman" w:hAnsi="Times New Roman"/>
          <w:bCs/>
        </w:rPr>
        <w:t xml:space="preserve"> или 52,4%,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ab/>
        <w:t xml:space="preserve">           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183,4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52,4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183,4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52,4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350,0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183,4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52,4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  <w:color w:val="000000"/>
          <w:lang w:eastAsia="ru-RU"/>
        </w:rPr>
        <w:t xml:space="preserve"> «Развитие муниципальной службы в городе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406"/>
        <w:gridCol w:w="1841"/>
        <w:gridCol w:w="1275"/>
        <w:gridCol w:w="1275"/>
        <w:gridCol w:w="969"/>
        <w:gridCol w:w="1580"/>
      </w:tblGrid>
      <w:tr>
        <w:tblPrEx/>
        <w:trPr/>
        <w:tc>
          <w:tcPr>
            <w:gridSpan w:val="2"/>
            <w:tcW w:w="29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298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350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183,4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7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52,4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>
          <w:trHeight w:val="1417"/>
        </w:trPr>
        <w:tc>
          <w:tcPr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Повышение уровня профессиональной компетентности муниципальных служащих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350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183,4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97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52,4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Бюджетные ассигнования направлены на:</w:t>
      </w:r>
      <w:r>
        <w:rPr>
          <w:rFonts w:ascii="Times New Roman" w:hAnsi="Times New Roman" w:eastAsia="Times New Roman"/>
        </w:rPr>
      </w:r>
    </w:p>
    <w:p>
      <w:pPr>
        <w:jc w:val="both"/>
        <w:tabs>
          <w:tab w:val="left" w:pos="13325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 xml:space="preserve">            обучение по программе повышение квалификации: «Контрактная система в сфере закупок товаров, работ, услуг для обеспечения государственных и муниципальных нужд (Закон №44-ФЗ)» - 14 муниципальных служащих;</w:t>
      </w:r>
      <w:r>
        <w:rPr>
          <w:rFonts w:ascii="Times New Roman" w:hAnsi="Times New Roman" w:eastAsia="Times New Roman"/>
        </w:rPr>
      </w:r>
    </w:p>
    <w:p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highlight w:val="white"/>
        </w:rPr>
        <w:t xml:space="preserve">обучение по программам: «Должностные лица органов управления РСЧС категория Координационные органы РСЧС», «Менеджер здорового города: формирование </w:t>
      </w:r>
      <w:r>
        <w:rPr>
          <w:rFonts w:ascii="Times New Roman" w:hAnsi="Times New Roman"/>
          <w:highlight w:val="white"/>
        </w:rPr>
        <w:t xml:space="preserve">здоровьесберегающей</w:t>
      </w:r>
      <w:r>
        <w:rPr>
          <w:rFonts w:ascii="Times New Roman" w:hAnsi="Times New Roman"/>
          <w:highlight w:val="white"/>
        </w:rPr>
        <w:t xml:space="preserve"> среды»; «Антикоррупционная деятельность в государственных и муниципальных органах».</w:t>
      </w:r>
      <w:r>
        <w:rPr>
          <w:rFonts w:ascii="Times New Roman" w:hAnsi="Times New Roman"/>
          <w:highlight w:val="white"/>
        </w:rPr>
      </w:r>
    </w:p>
    <w:p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8.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«Информационное обеспечение деятельности органов местного самоуправления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</w:t>
      </w:r>
      <w:r>
        <w:rPr>
          <w:rFonts w:ascii="Times New Roman" w:hAnsi="Times New Roman" w:eastAsia="Times New Roman"/>
          <w:lang w:eastAsia="ru-RU"/>
        </w:rPr>
        <w:t xml:space="preserve">Информационное обеспечение деятельности органов местного самоуправления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16.11.2023 №1897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 в актуальной редакции размещен в сети Интернет по электронному адресу:</w:t>
      </w:r>
      <w:hyperlink r:id="rId23" w:tooltip="https://admmegion.ru/programs/municipal/programmy-2024/inform-obespechenie/" w:history="1">
        <w:r>
          <w:rPr>
            <w:rStyle w:val="999"/>
          </w:rPr>
          <w:t xml:space="preserve">https://admmegion.ru/programs/municipal/programmy-2024/inform-obespechenie/</w:t>
        </w:r>
      </w:hyperlink>
      <w:r>
        <w:t xml:space="preserve">.</w:t>
      </w:r>
      <w:r/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управление общественных связей администрации города.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Целями муниципальной программы являются</w:t>
      </w:r>
      <w:r>
        <w:rPr>
          <w:rFonts w:ascii="Times New Roman" w:hAnsi="Times New Roman"/>
          <w:bCs/>
        </w:rPr>
        <w:t xml:space="preserve"> функционирование системы производства и доведения до населения города </w:t>
      </w:r>
      <w:r>
        <w:rPr>
          <w:rFonts w:ascii="Times New Roman" w:hAnsi="Times New Roman"/>
          <w:bCs/>
        </w:rPr>
        <w:t xml:space="preserve">Мегиона</w:t>
      </w:r>
      <w:r>
        <w:rPr>
          <w:rFonts w:ascii="Times New Roman" w:hAnsi="Times New Roman"/>
          <w:bCs/>
        </w:rPr>
        <w:t xml:space="preserve"> информации о деятельности органов</w:t>
      </w:r>
      <w:r>
        <w:rPr>
          <w:rFonts w:ascii="Times New Roman" w:hAnsi="Times New Roman"/>
          <w:bCs/>
        </w:rPr>
        <w:t xml:space="preserve"> местного самоуправления, иной социально значимой информации, способствующей сохранению социальной стабильности в городе, эффективному взаимодействию органов местного самоуправления и населения, социально-экономическому развитию муниципального образования.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360"/>
        <w:jc w:val="both"/>
        <w:tabs>
          <w:tab w:val="left" w:pos="851" w:leader="none"/>
        </w:tabs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/>
          <w:bCs/>
        </w:rPr>
        <w:t xml:space="preserve">      Уточненный объем бюджетных ассигнований составляет 34 743,2</w:t>
      </w:r>
      <w:r>
        <w:rPr>
          <w:rFonts w:ascii="Times New Roman" w:hAnsi="Times New Roman"/>
        </w:rPr>
        <w:t xml:space="preserve"> тыс. рублей, </w:t>
      </w:r>
      <w:r>
        <w:rPr>
          <w:rFonts w:ascii="Times New Roman" w:hAnsi="Times New Roman"/>
          <w:bCs/>
        </w:rPr>
        <w:t xml:space="preserve">исполнено 15 940,3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/>
          <w:bCs/>
        </w:rPr>
        <w:t xml:space="preserve"> или 45,9 %,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W w:w="981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60"/>
        <w:gridCol w:w="1985"/>
        <w:gridCol w:w="1984"/>
        <w:gridCol w:w="1418"/>
        <w:gridCol w:w="1198"/>
      </w:tblGrid>
      <w:tr>
        <w:tblPrEx/>
        <w:trPr/>
        <w:tc>
          <w:tcPr>
            <w:shd w:val="clear" w:color="ffffff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/>
                <w:sz w:val="22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2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6"/>
        </w:trPr>
        <w:tc>
          <w:tcPr>
            <w:shd w:val="clear" w:color="ffffff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185"/>
        </w:trPr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15 940,3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45,9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ffffff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15 940,3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1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34 743,2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15 940,3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1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851" w:leader="none"/>
        </w:tabs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/>
        </w:rPr>
      </w:r>
    </w:p>
    <w:p>
      <w:pPr>
        <w:ind w:firstLine="709"/>
        <w:jc w:val="both"/>
        <w:tabs>
          <w:tab w:val="left" w:pos="0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/>
        </w:rPr>
        <w:t xml:space="preserve">Структура расходов процессной части </w:t>
      </w:r>
      <w:r>
        <w:rPr>
          <w:rFonts w:ascii="Times New Roman" w:hAnsi="Times New Roman"/>
          <w:color w:val="000000" w:themeColor="text1"/>
        </w:rPr>
        <w:t xml:space="preserve">муниципальной программы </w:t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«Информационное обеспечение деятельности органов местного самоуправления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»:</w:t>
      </w:r>
      <w:r>
        <w:rPr>
          <w:rFonts w:ascii="Times New Roman" w:hAnsi="Times New Roman"/>
        </w:rPr>
      </w:r>
    </w:p>
    <w:p>
      <w:pPr>
        <w:jc w:val="right"/>
        <w:widowControl w:val="off"/>
        <w:rPr>
          <w:rFonts w:ascii="Times New Roman" w:hAnsi="Times New Roman" w:eastAsia="Times New Roman"/>
        </w:rPr>
        <w:outlineLvl w:val="1"/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</w:rPr>
      </w:r>
    </w:p>
    <w:tbl>
      <w:tblPr>
        <w:tblW w:w="507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927"/>
        <w:gridCol w:w="1133"/>
        <w:gridCol w:w="1153"/>
        <w:gridCol w:w="1255"/>
        <w:gridCol w:w="991"/>
        <w:gridCol w:w="1841"/>
      </w:tblGrid>
      <w:tr>
        <w:tblPrEx/>
        <w:trPr/>
        <w:tc>
          <w:tcPr>
            <w:tcW w:w="4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9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Утверждено решением Думы        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 от 09.12.2024 №427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54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4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29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Процессная часть муниципальной программы - всего, в том числе: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34 743,2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34 743,2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15 940,3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"Обеспечение производства и распространение информации о деятельности органов местного самоуправления, иной социально значимой информации на территории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(местный бюджет)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34 743,2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34 743,2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15 940,3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Финансовое обеспечении муниципальной программы осуществляется в соответствии с утвержденным сетевым графиком.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</w:tbl>
    <w:p>
      <w:pPr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Исполнение программы направлено на производство и распространение информации о деятельности органов местного самоуправления, иной социально-значимой информации на территории городского округа </w:t>
      </w:r>
      <w:r>
        <w:rPr>
          <w:rFonts w:ascii="Times New Roman" w:hAnsi="Times New Roman"/>
          <w:bCs/>
        </w:rPr>
        <w:t xml:space="preserve">Мегион</w:t>
      </w:r>
      <w:r>
        <w:t xml:space="preserve"> </w:t>
      </w:r>
      <w:r>
        <w:rPr>
          <w:rFonts w:ascii="Times New Roman" w:hAnsi="Times New Roman"/>
          <w:bCs/>
        </w:rPr>
        <w:t xml:space="preserve">Ханты-Мансийского автономного округа-Югры, обеспечение изготовления </w:t>
      </w:r>
      <w:r>
        <w:rPr>
          <w:rFonts w:ascii="Times New Roman" w:hAnsi="Times New Roman"/>
          <w:bCs/>
        </w:rPr>
        <w:t xml:space="preserve">имиджевой</w:t>
      </w:r>
      <w:r>
        <w:rPr>
          <w:rFonts w:ascii="Times New Roman" w:hAnsi="Times New Roman"/>
          <w:bCs/>
        </w:rPr>
        <w:t xml:space="preserve"> продукции в объёмах, достаточных для реализации </w:t>
      </w:r>
      <w:r>
        <w:rPr>
          <w:rFonts w:ascii="Times New Roman" w:hAnsi="Times New Roman"/>
          <w:bCs/>
        </w:rPr>
        <w:t xml:space="preserve">мероприятий органов местного самоуправления в течение года, финансовое обеспечение содержания муниципального автономное учреждения «Информационное агентство «</w:t>
      </w:r>
      <w:r>
        <w:rPr>
          <w:rFonts w:ascii="Times New Roman" w:hAnsi="Times New Roman"/>
          <w:bCs/>
        </w:rPr>
        <w:t xml:space="preserve">Мегионские</w:t>
      </w:r>
      <w:r>
        <w:rPr>
          <w:rFonts w:ascii="Times New Roman" w:hAnsi="Times New Roman"/>
          <w:bCs/>
        </w:rPr>
        <w:t xml:space="preserve"> новости»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9.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«Развитие физической культуры и спорта, укрепление обществен</w:t>
      </w:r>
      <w:r>
        <w:rPr>
          <w:rFonts w:ascii="Times New Roman" w:hAnsi="Times New Roman" w:eastAsia="Times New Roman"/>
          <w:b/>
          <w:bCs/>
          <w:lang w:eastAsia="ru-RU"/>
        </w:rPr>
        <w:t xml:space="preserve">ного здоровья в городе </w:t>
      </w:r>
      <w:r>
        <w:rPr>
          <w:rFonts w:ascii="Times New Roman" w:hAnsi="Times New Roman" w:eastAsia="Times New Roman"/>
          <w:b/>
          <w:bCs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«Развитие физической культуры и спорта, укрепление общественного здоровья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03.11.2023 №1820 (</w:t>
      </w:r>
      <w:r>
        <w:rPr>
          <w:rFonts w:ascii="Times New Roman" w:hAnsi="Times New Roman" w:eastAsia="Times New Roman"/>
          <w:bCs/>
          <w:color w:val="000000"/>
          <w:lang w:val="en-US" w:eastAsia="ru-RU"/>
        </w:rPr>
        <w:t xml:space="preserve">c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изменениями) (далее -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24" w:tooltip="https://admmegion.ru/programs/municipal/programmy-2024/fizkultura-i-sport/" w:history="1">
        <w:r>
          <w:rPr>
            <w:rStyle w:val="999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https://admmegion.ru/programs/municipal/programmy-2024/fizkultura-i-sport/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 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Theme="minorHAnsi"/>
        </w:rPr>
        <w:t xml:space="preserve">Ответственный исполнитель муниципальной программы -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управление </w:t>
      </w:r>
      <w:r>
        <w:rPr>
          <w:rFonts w:ascii="Times New Roman" w:hAnsi="Times New Roman" w:eastAsia="Calibri"/>
        </w:rPr>
        <w:t xml:space="preserve">физической культуры и спорта администрации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Times New Roman" w:cs="Calibri"/>
          <w:bCs/>
        </w:rPr>
        <w:t xml:space="preserve">.</w:t>
      </w:r>
      <w:r>
        <w:rPr>
          <w:rFonts w:ascii="Times New Roman" w:hAnsi="Times New Roman" w:eastAsia="Calibri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Целями муниципальной программы являются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создание условий населению городского округа для регулярных занятий физической культурой и спортом, развитие спортивной инфраструктуры, обеспечение подготовки спортивного резерва, повышение качества оказания услуг в сфере физической культуры и спорта, </w:t>
      </w:r>
      <w:r>
        <w:rPr>
          <w:rFonts w:ascii="Times New Roman" w:hAnsi="Times New Roman" w:eastAsia="Times New Roman" w:cs="Calibri"/>
          <w:lang w:eastAsia="ru-RU"/>
        </w:rPr>
        <w:t xml:space="preserve">улучшение здоровья населения, формирование культуры общественного здоровья, ответственного отношения к здоровью.</w:t>
      </w:r>
      <w:r>
        <w:rPr>
          <w:rFonts w:ascii="Times New Roman" w:hAnsi="Times New Roman"/>
        </w:rPr>
      </w:r>
    </w:p>
    <w:p>
      <w:pPr>
        <w:ind w:firstLine="360"/>
        <w:jc w:val="both"/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</w:p>
    <w:p>
      <w:pPr>
        <w:ind w:firstLine="36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bCs/>
        </w:rPr>
        <w:t xml:space="preserve">Уточненный объем бюджетных ассигнований составляет 394 889,2 </w:t>
      </w:r>
      <w:r>
        <w:rPr>
          <w:rFonts w:ascii="Times New Roman" w:hAnsi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 202 278,0 ты</w:t>
      </w:r>
      <w:r>
        <w:rPr>
          <w:rFonts w:ascii="Times New Roman" w:hAnsi="Times New Roman" w:eastAsia="Calibri"/>
        </w:rPr>
        <w:t xml:space="preserve">с. рублей</w:t>
      </w:r>
      <w:r>
        <w:rPr>
          <w:rFonts w:ascii="Times New Roman" w:hAnsi="Times New Roman"/>
          <w:bCs/>
        </w:rPr>
        <w:t xml:space="preserve">, или 51,2 %,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ind w:left="36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368 335,5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394 889,2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202 278,0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51,2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368 335,5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right w:val="single" w:color="auto" w:sz="6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394 889,2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202 278,0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auto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51,2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386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335 458,2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361 711,9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186 369,9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51,5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32 877,3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33 177,3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15 908,1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48,0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/>
          <w:bCs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left="360"/>
        <w:jc w:val="center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 w:eastAsiaTheme="minorHAnsi"/>
        </w:rPr>
      </w:r>
    </w:p>
    <w:tbl>
      <w:tblPr>
        <w:tblW w:w="5068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528"/>
        <w:gridCol w:w="1276"/>
        <w:gridCol w:w="1276"/>
        <w:gridCol w:w="1559"/>
        <w:gridCol w:w="992"/>
        <w:gridCol w:w="1679"/>
      </w:tblGrid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" w:type="pct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368 335,5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394 889,2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202 278,0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51,2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Всероссийского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физкультурно-спортивного комплекса «"Готов к труду и обороне» (ГТО)(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Проведение муниципальных спартакиад, физкультурно-массовых мероприятий, спортивных мероприятий, первенств и чемпионатов по видам спорта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1 875,4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2 225,4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1 246,1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56,0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 по обеспечению комплексной безопасности и комфортных условий в муниципальных спортивных учреждениях. Ремонтные работы спортивных объектов и сооружений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7 760,0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7 868,0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1 111,6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  <w:p>
            <w:pPr>
              <w:contextualSpacing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роведение работ по подготовке к осенне-зимнему периоду планируется в летний период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Создание условий для удовлетворения потребности населения города в оказании услуг в сфере физической культуры и спорта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308 443,1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334 095,0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174 814,5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52,3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Финансовое обеспечение затра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15 549,2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15 693,0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8 304,3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52,9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участия сборных команд по видам спорта в межмуниципальных, региональных, всероссийских соревнованиях, подготовка и обеспечение спортивного резерва, участие в тренировочных мероприятиях. Проведение соревнований по видам спорта,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14 420,5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14 720,5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9 924,9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67,4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721,0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721,0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496,2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68,8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13 699,5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13 999,5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9 428,7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68,8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приобретению спортивного оборудования и инвентаря,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17 263,2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17 263,2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5 616,6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 целью реализации мероприятия заключены муниципальные контракты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 поставку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спортивного инвентаря.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Планируемый срок освоения средств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после поставки товара 3 - 4 кв.2025г.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863,2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863,2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280,8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32,5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16 400,0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16 400,0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5 335,8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32,5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Развитие сети спортивных объектов шаговой доступности,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2 924,1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2 924,1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1 203,9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41,2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 целью реализации мероприятия заключены муниципальные контракты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 поставку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contextualSpacing/>
              <w:jc w:val="both"/>
              <w:spacing w:before="40" w:after="4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оборудования. Планируемый срок освоения средств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после поставки товара  3 - 4 кв.2025г.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146,3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146,3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60, 2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41,1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2 777,8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2 777,8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1 143,7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41,2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ind w:firstLine="708"/>
        <w:jc w:val="both"/>
        <w:spacing w:line="0" w:lineRule="atLeast"/>
        <w:widowControl w:val="o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</w:rPr>
        <w:t xml:space="preserve">Основная деятельность учреждений направлена </w:t>
      </w:r>
      <w:r>
        <w:rPr>
          <w:rFonts w:ascii="Times New Roman" w:hAnsi="Times New Roman" w:eastAsia="Times New Roman"/>
        </w:rPr>
        <w:t xml:space="preserve">на привлечение наибольшего количества детей и подростков к систематическим занятиям физической ку</w:t>
      </w:r>
      <w:r>
        <w:rPr>
          <w:rFonts w:ascii="Times New Roman" w:hAnsi="Times New Roman" w:eastAsia="Times New Roman"/>
        </w:rPr>
        <w:t xml:space="preserve">льтурой и спортом, развитие физкультурно-оздоровительной, спортивно-массовой работы, пропаганду, развитие культивируемых видов спорта в городе, тренировочных сборах, проходящих как на территории Ханты-Мансийского автономного округа, так и за его пределами.</w:t>
      </w:r>
      <w:r>
        <w:rPr>
          <w:rFonts w:ascii="Times New Roman" w:hAnsi="Times New Roman" w:eastAsia="Times New Roman"/>
          <w:color w:val="000000"/>
        </w:rPr>
        <w:t xml:space="preserve"> </w:t>
      </w:r>
      <w:r>
        <w:rPr>
          <w:rFonts w:ascii="Times New Roman" w:hAnsi="Times New Roman" w:eastAsia="Times New Roman"/>
          <w:color w:val="000000"/>
        </w:rPr>
      </w:r>
    </w:p>
    <w:p>
      <w:pPr>
        <w:contextualSpacing/>
        <w:ind w:firstLine="709"/>
        <w:jc w:val="both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Times New Roman"/>
          <w:color w:val="000000"/>
        </w:rPr>
        <w:t xml:space="preserve">За отчётный период </w:t>
      </w:r>
      <w:r>
        <w:rPr>
          <w:rFonts w:ascii="Times New Roman" w:hAnsi="Times New Roman" w:eastAsia="Times New Roman"/>
          <w:color w:val="000000"/>
        </w:rPr>
        <w:t xml:space="preserve">мегионские</w:t>
      </w:r>
      <w:r>
        <w:rPr>
          <w:rFonts w:ascii="Times New Roman" w:hAnsi="Times New Roman" w:eastAsia="Times New Roman"/>
          <w:color w:val="000000"/>
        </w:rPr>
        <w:t xml:space="preserve"> спортсмены приняли участие в соревнованиях городского, межмуниципального, окружного, всероссийского и международного уровней. </w:t>
      </w:r>
      <w:r>
        <w:rPr>
          <w:rFonts w:ascii="Times New Roman" w:hAnsi="Times New Roman" w:eastAsia="Calibri"/>
          <w:color w:val="000000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10. 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«Управление муниципальным имуществом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«Управление муниципальным имуществом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30.11.2023 №1980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</w:t>
      </w:r>
      <w:r>
        <w:rPr>
          <w:rFonts w:ascii="Times New Roman" w:hAnsi="Times New Roman"/>
          <w:highlight w:val="white"/>
        </w:rPr>
        <w:t xml:space="preserve"> </w:t>
      </w:r>
      <w:hyperlink r:id="rId25" w:tooltip="https://admmegion.ru/programs/municipal/programmy-2024/mun-imushchestvo/" w:history="1">
        <w:r>
          <w:rPr>
            <w:rStyle w:val="999"/>
            <w:highlight w:val="white"/>
          </w:rPr>
          <w:t xml:space="preserve">https://admmegion.ru/programs/municipal/programmy-2024/mun-imushchestvo/</w:t>
        </w:r>
      </w:hyperlink>
      <w:r>
        <w:rPr>
          <w:highlight w:val="white"/>
        </w:rPr>
        <w:t xml:space="preserve">. 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муниципальной собственности администрации города.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/>
          <w:bCs/>
          <w:highlight w:val="white"/>
        </w:rPr>
        <w:outlineLvl w:val="0"/>
      </w:pPr>
      <w:r>
        <w:rPr>
          <w:rFonts w:ascii="Times New Roman" w:hAnsi="Times New Roman" w:eastAsia="Times New Roman"/>
          <w:highlight w:val="white"/>
          <w:lang w:eastAsia="ru-RU"/>
        </w:rPr>
        <w:t xml:space="preserve">Целью муниципальной программы является </w:t>
      </w:r>
      <w:r>
        <w:rPr>
          <w:rFonts w:ascii="Times New Roman" w:hAnsi="Times New Roman"/>
          <w:bCs/>
          <w:highlight w:val="white"/>
        </w:rPr>
        <w:t xml:space="preserve">осуществление эффективного управления муниципальной собственностью города </w:t>
      </w:r>
      <w:r>
        <w:rPr>
          <w:rFonts w:ascii="Times New Roman" w:hAnsi="Times New Roman"/>
          <w:bCs/>
          <w:highlight w:val="white"/>
        </w:rPr>
        <w:t xml:space="preserve">Мегиона</w:t>
      </w:r>
      <w:r>
        <w:rPr>
          <w:rFonts w:ascii="Times New Roman" w:hAnsi="Times New Roman"/>
          <w:bCs/>
          <w:highlight w:val="white"/>
        </w:rPr>
        <w:t xml:space="preserve">, защита имущественных интересов города </w:t>
      </w:r>
      <w:r>
        <w:rPr>
          <w:rFonts w:ascii="Times New Roman" w:hAnsi="Times New Roman"/>
          <w:bCs/>
          <w:highlight w:val="white"/>
        </w:rPr>
        <w:t xml:space="preserve">Мегиона</w:t>
      </w:r>
      <w:r>
        <w:rPr>
          <w:rFonts w:ascii="Times New Roman" w:hAnsi="Times New Roman"/>
          <w:bCs/>
          <w:highlight w:val="white"/>
        </w:rPr>
        <w:t xml:space="preserve">. </w:t>
      </w:r>
      <w:r>
        <w:rPr>
          <w:rFonts w:ascii="Times New Roman" w:hAnsi="Times New Roman"/>
          <w:bCs/>
          <w:highlight w:val="white"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/>
          <w:bCs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</w:t>
      </w: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49 544,0 </w:t>
      </w:r>
      <w:r>
        <w:rPr>
          <w:rFonts w:ascii="Times New Roman" w:hAnsi="Times New Roman"/>
          <w:highlight w:val="white"/>
        </w:rPr>
        <w:t xml:space="preserve">тыс. рублей, </w:t>
      </w:r>
      <w:r>
        <w:rPr>
          <w:rFonts w:ascii="Times New Roman" w:hAnsi="Times New Roman"/>
          <w:bCs/>
          <w:highlight w:val="white"/>
        </w:rPr>
        <w:t xml:space="preserve">исполнено</w:t>
      </w:r>
      <w:r>
        <w:rPr>
          <w:rFonts w:ascii="Times New Roman" w:hAnsi="Times New Roman" w:eastAsia="Calibri"/>
          <w:highlight w:val="white"/>
        </w:rPr>
        <w:t xml:space="preserve"> 8 585,4 тыс. рублей</w:t>
      </w:r>
      <w:r>
        <w:rPr>
          <w:rFonts w:ascii="Times New Roman" w:hAnsi="Times New Roman"/>
          <w:bCs/>
          <w:highlight w:val="white"/>
        </w:rPr>
        <w:t xml:space="preserve">, или 17,3 %, в том числе:</w:t>
      </w:r>
      <w:r>
        <w:rPr>
          <w:rFonts w:ascii="Times New Roman" w:hAnsi="Times New Roman"/>
          <w:bCs/>
          <w:highlight w:val="white"/>
        </w:rPr>
      </w:r>
    </w:p>
    <w:p>
      <w:pPr>
        <w:ind w:firstLine="360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360"/>
        <w:jc w:val="right"/>
        <w:tabs>
          <w:tab w:val="right" w:pos="9638" w:leader="none"/>
        </w:tabs>
        <w:rPr>
          <w:rFonts w:ascii="Times New Roman" w:hAnsi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  <w:highlight w:val="white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984"/>
        <w:gridCol w:w="1418"/>
        <w:gridCol w:w="850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50 484,8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49 544,0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8 585,4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17,3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1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50 484,8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49 544,0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8 585,4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50 484,8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49 544,0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8 585,4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Структура расходов процессной части муниципальной программы                               </w:t>
      </w:r>
      <w:r>
        <w:rPr>
          <w:rFonts w:ascii="Times New Roman" w:hAnsi="Times New Roman"/>
          <w:highlight w:val="white"/>
        </w:rPr>
        <w:t xml:space="preserve">  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Управление муниципальным имуществом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518"/>
        <w:gridCol w:w="1276"/>
        <w:gridCol w:w="1276"/>
        <w:gridCol w:w="1276"/>
        <w:gridCol w:w="709"/>
        <w:gridCol w:w="2268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</w:t>
            </w:r>
            <w:r>
              <w:rPr>
                <w:highlight w:val="white"/>
              </w:rPr>
            </w:r>
          </w:p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% исполнения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50 484,8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49 544,0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8 585,4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выполнения полномочий и функций администрации города в сферах управления муниципальным имуществом и землепользования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34 065,9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33 150,1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5 758,8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Исполнение по факту выполненных работ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Капитальный ремонт, реконструкция и ремонт муниципального имущества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16 418,9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16 393,9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2 826,6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Исполнение планируется в 3 квартале 2025 года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рамках реализации комплекса процессных мероприятий «Обеспечение выполнения полномочий и функций администрации города в сферах управления муниципальным имуществом и землепользования» средства местного бюджета направлены на: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оценку рыночной стоимости имущества, обследование ограждений и несущих конструкций жилых домов, оказание услуг расчетно-кассового обслуживания</w:t>
      </w:r>
      <w:r>
        <w:rPr>
          <w:rFonts w:ascii="Times New Roman" w:hAnsi="Times New Roman" w:eastAsia="Cambria"/>
          <w:highlight w:val="white"/>
        </w:rPr>
        <w:t xml:space="preserve"> в целях обработки договоров социального найма. При плановом объеме бюджетных ассигнований в сумме 900,7 тыс. рублей, исполнено 167,8 тыс. рублей, или 18,6%. Заключены муниципальные контракты в сумме 575,6 тыс. рублей со сроком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исполнения – до 31.12.2025, в сумме 50,8 тыс. рублей со сроком исполнения – до 20.1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2.2025, в сумме 2,5 тыс. рублей – до 01.08.2025. На 01.07.2025 в процессе согласования находятся муниципальные контракты на оценку рыночной стоимости объектов муниципальной собственности и обследованию трех многоквартирных домов на сумму 144,3 тыс. рублей;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contextualSpacing/>
        <w:ind w:firstLine="709"/>
        <w:jc w:val="both"/>
        <w:tabs>
          <w:tab w:val="left" w:pos="1134" w:leader="none"/>
          <w:tab w:val="left" w:pos="1796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highlight w:val="white"/>
        </w:rPr>
        <w:t xml:space="preserve">страхование ответственности владельца опасных объектов. Плановый объем бюджетных ассигнований составляет 7,2 тыс. рублей, исполнение 2,4 тыс. рублей, или 33,3%;</w:t>
      </w:r>
      <w:r>
        <w:rPr>
          <w:rFonts w:ascii="Times New Roman" w:hAnsi="Times New Roman" w:eastAsia="Cambria"/>
          <w:highlight w:val="white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highlight w:val="white"/>
        </w:rPr>
        <w:t xml:space="preserve">оплату коммунальных платежей за квартиры, находящиеся в муниципальной собственности и незаселённые определенный период времени, электроснабжения, обращение с ТКО, услуг по содержанию многоквартирных домов, ути</w:t>
      </w:r>
      <w:r>
        <w:rPr>
          <w:rFonts w:ascii="Times New Roman" w:hAnsi="Times New Roman" w:eastAsia="Cambria"/>
          <w:highlight w:val="white"/>
        </w:rPr>
        <w:t xml:space="preserve">лизации муниципального имущества. При плановом объеме бюджетных ассигнований в сумме 25 846,2 тыс. рублей, исполнено 2 871,6 тыс. рублей, или 11,1%. На 01.07.2025 заключены муниципальные контракты на теплоснабжение муниципальных квартир в сумме 13 001,0 ты</w:t>
      </w:r>
      <w:r>
        <w:rPr>
          <w:rFonts w:ascii="Times New Roman" w:hAnsi="Times New Roman" w:eastAsia="Cambria"/>
          <w:highlight w:val="white"/>
        </w:rPr>
        <w:t xml:space="preserve">с. рублей, электроснабжение в сумме 200,0 тыс. рублей, оказание услуг по обращению с твердыми коммунальными отходами в сумме 109,8 тыс. рублей, управление многоквартирным домом в сумме 1,6 тыс. рублей, оказание услуг по утилизации муниципального имущества </w:t>
      </w:r>
      <w:r>
        <w:rPr>
          <w:rFonts w:ascii="Times New Roman" w:hAnsi="Times New Roman" w:eastAsia="Cambria"/>
          <w:highlight w:val="white"/>
        </w:rPr>
        <w:t xml:space="preserve">в сумме 7,6 тыс. рублей. Срок исполнения по заключенным муниципальным контрактам – до 31.12.2025. В процессе согласования муниципальные контракты на оказание услуг по содержанию и ремонту общего имущества многоквартирных домов на сумму 7 874,4 тыс. рублей;</w:t>
      </w:r>
      <w:r>
        <w:rPr>
          <w:rFonts w:ascii="Times New Roman" w:hAnsi="Times New Roman" w:eastAsia="Cambria"/>
          <w:highlight w:val="white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highlight w:val="white"/>
        </w:rPr>
        <w:t xml:space="preserve">выполнение работ по дезинфекции, дезодорации и </w:t>
      </w:r>
      <w:r>
        <w:rPr>
          <w:rFonts w:ascii="Times New Roman" w:hAnsi="Times New Roman" w:eastAsia="Cambria"/>
          <w:highlight w:val="white"/>
        </w:rPr>
        <w:t xml:space="preserve">клининг</w:t>
      </w:r>
      <w:r>
        <w:rPr>
          <w:rFonts w:ascii="Times New Roman" w:hAnsi="Times New Roman" w:eastAsia="Cambria"/>
          <w:highlight w:val="white"/>
        </w:rPr>
        <w:t xml:space="preserve"> муниципальных квартир на 2025 год в сумме 204,3 тыс. рублей. Исполнение на отчетную дату составило 35,0 тыс. рублей, или 17,1%. Дальнейшее исполнение планируется в 3 - 4 квартале 2025 года;</w:t>
      </w:r>
      <w:r>
        <w:rPr>
          <w:rFonts w:ascii="Times New Roman" w:hAnsi="Times New Roman" w:eastAsia="Cambria"/>
          <w:highlight w:val="white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ascii="Times New Roman" w:hAnsi="Times New Roman" w:eastAsia="Cambria"/>
        </w:rPr>
      </w:pPr>
      <w:r>
        <w:rPr>
          <w:rFonts w:ascii="Times New Roman" w:hAnsi="Times New Roman" w:eastAsia="Cambria"/>
          <w:highlight w:val="white"/>
        </w:rPr>
        <w:t xml:space="preserve">оценку рыночной стоимости земельных участков годовой арендной платы за земельные участки в сумме 225,0 тыс. рублей. Исполнено 31,5 тыс. рублей, или 14,0%. Заключен муниципальный контракт на сумму 225,0 тыс. рублей, срок исполнения -  до 31.12.2025;</w:t>
      </w:r>
      <w:r>
        <w:rPr>
          <w:rFonts w:ascii="Times New Roman" w:hAnsi="Times New Roman" w:eastAsia="Cambria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</w:rPr>
        <w:t xml:space="preserve">оплату расходов финансового управляющего в сумме 50,0 тыс. рублей. Исполнение составило 100,0%;</w:t>
      </w:r>
      <w:r>
        <w:rPr>
          <w:rFonts w:ascii="Times New Roman" w:hAnsi="Times New Roman" w:eastAsia="Cambria"/>
          <w:highlight w:val="white"/>
        </w:rPr>
      </w:r>
    </w:p>
    <w:p>
      <w:pPr>
        <w:contextualSpacing/>
        <w:jc w:val="both"/>
        <w:tabs>
          <w:tab w:val="left" w:pos="1134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highlight w:val="white"/>
        </w:rPr>
        <w:t xml:space="preserve">           оплату взносов на капитальный ремонт общего имущества в многоквартирных домах. При плановом объеме бюджетных ассигнований в сумме 5 916,7 тыс. рублей, исполнено на отчетную дату 2 600,5 тыс. рублей, или 44,0%. </w:t>
      </w:r>
      <w:r>
        <w:rPr>
          <w:rFonts w:ascii="Times New Roman" w:hAnsi="Times New Roman" w:eastAsia="Cambria"/>
          <w:highlight w:val="white"/>
          <w:lang w:eastAsia="ru-RU"/>
        </w:rPr>
        <w:t xml:space="preserve">Заключены соглашения на формирование фонда капитального ремонта общего имущества в многоквартирных домах за январь-июнь 2025 на сумму 3 179,0 тыс. рублей. Расчетная сумма взносов на 2025 год - 6 358,0 тыс. рублей</w:t>
      </w:r>
      <w:r>
        <w:rPr>
          <w:rFonts w:ascii="Times New Roman" w:hAnsi="Times New Roman" w:eastAsia="Cambria"/>
          <w:lang w:eastAsia="ru-RU"/>
        </w:rPr>
        <w:t xml:space="preserve">.</w:t>
      </w:r>
      <w:r>
        <w:rPr>
          <w:rFonts w:ascii="Times New Roman" w:hAnsi="Times New Roman" w:eastAsia="Cambria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рамках реализации комплекса процессных мероприятий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«Капитальный ремонт, реконструкция и ремонт муниципального имущества» средства местного бюджета направлены на: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ремонт 1 этажа (архивохранилище) административного здания по ул. Советская 19 в сумме 12 231,9 тыс. рублей. Исполнено 419,1 тыс. рублей, или 3,4%. Заключены муниципальные контракты на сумму 11 163,7 тыс. рублей, срок выполнения работ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– июль 2025 года;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ремонт помещений землеустроительного отдела административного здания по ул. Советская, 19. При плановом объеме бюджетных ассигнований в сумме 365,5 тыс. рублей, исполнение составило 100,0%;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на замену дверей в МБУ МЦИКТ «Вектор» в сумме 221,5 тыс. рублей. Исполнение составило 100,0%;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ремонтные работы помещений административного здания по ул. Нефтяников, 8. При плановом объеме бюджетных ассигнований в сумме 3 000, 0 тыс. рублей, исп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олнено 1 245,5 тыс. рублей, или 41,5%. По состоянию на 01.07.2025 не исполнен муниципальный контракт, заключенный на ремонт санузла второго этажа в сумме 1 122,7 тыс. рублей. Срок выполнения работ – до 23.06.2025, оплата планируется в 3 квартале 2025 года;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yellow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ремонт подвальных помещений по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ул.Заречная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, 14б в сумме 575,0 тыс. рублей. Исполнение составило 100,0%.</w:t>
      </w:r>
      <w:r>
        <w:rPr>
          <w:rFonts w:ascii="Times New Roman" w:hAnsi="Times New Roman" w:eastAsia="Times New Roman"/>
          <w:color w:val="000000"/>
          <w:highlight w:val="yellow"/>
          <w:lang w:eastAsia="ru-RU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11.Программа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</w:t>
      </w:r>
      <w:r>
        <w:rPr>
          <w:rFonts w:ascii="Times New Roman" w:hAnsi="Times New Roman"/>
          <w:b/>
          <w:highlight w:val="white"/>
        </w:rPr>
        <w:t xml:space="preserve">Развитие жилищной сферы на территории города </w:t>
      </w:r>
      <w:r>
        <w:rPr>
          <w:rFonts w:ascii="Times New Roman" w:hAnsi="Times New Roman"/>
          <w:b/>
          <w:highlight w:val="white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            Муниципальная программа «</w:t>
      </w:r>
      <w:r>
        <w:rPr>
          <w:rFonts w:ascii="Times New Roman" w:hAnsi="Times New Roman"/>
          <w:highlight w:val="white"/>
        </w:rPr>
        <w:t xml:space="preserve">Развитие жилищной сферы на территории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25.12.2023 №2182 (с изменениями) (далее муниципальная программа).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 </w:t>
      </w:r>
      <w:hyperlink r:id="rId26" w:tooltip="https://admmegion.ru/programs/municipal/programmy-2024/zhil-sfera/" w:history="1">
        <w:r>
          <w:rPr>
            <w:rStyle w:val="999"/>
            <w:highlight w:val="white"/>
          </w:rPr>
          <w:t xml:space="preserve">https://admmegion.ru/programs/municipal/programmy-2024/zhil-sfera/</w:t>
        </w:r>
      </w:hyperlink>
      <w:r>
        <w:rPr>
          <w:rFonts w:ascii="Times New Roman" w:hAnsi="Times New Roman"/>
          <w:highlight w:val="white"/>
        </w:rPr>
        <w:t xml:space="preserve">. 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           Ответственный исполнитель муниципальной программы – управление жилищной политики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Целью муниципальной программы является создание условий для развития жилищного строительства и обеспечения жильем отдельных категорий граждан.</w:t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1 127 875,3 </w:t>
      </w:r>
      <w:r>
        <w:rPr>
          <w:rFonts w:ascii="Times New Roman" w:hAnsi="Times New Roman"/>
          <w:highlight w:val="white"/>
        </w:rPr>
        <w:t xml:space="preserve">тыс. рублей, </w:t>
      </w:r>
      <w:r>
        <w:rPr>
          <w:rFonts w:ascii="Times New Roman" w:hAnsi="Times New Roman"/>
          <w:bCs/>
          <w:highlight w:val="white"/>
        </w:rPr>
        <w:t xml:space="preserve">исполнено</w:t>
      </w:r>
      <w:r>
        <w:rPr>
          <w:rFonts w:ascii="Times New Roman" w:hAnsi="Times New Roman" w:eastAsia="Calibri"/>
          <w:highlight w:val="white"/>
        </w:rPr>
        <w:t xml:space="preserve"> 411 723,6 тыс. рублей</w:t>
      </w:r>
      <w:r>
        <w:rPr>
          <w:rFonts w:ascii="Times New Roman" w:hAnsi="Times New Roman"/>
          <w:bCs/>
          <w:highlight w:val="white"/>
        </w:rPr>
        <w:t xml:space="preserve">, или 36,5%,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highlight w:val="white"/>
        </w:rPr>
      </w:r>
    </w:p>
    <w:p>
      <w:pPr>
        <w:ind w:left="8148" w:firstLine="348"/>
        <w:jc w:val="center"/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</w:rPr>
      </w:r>
    </w:p>
    <w:p>
      <w:pPr>
        <w:ind w:left="8148" w:firstLine="348"/>
        <w:jc w:val="center"/>
        <w:rPr>
          <w:rFonts w:ascii="Times New Roman" w:hAnsi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  <w:highlight w:val="white"/>
        </w:rPr>
      </w:r>
    </w:p>
    <w:tbl>
      <w:tblPr>
        <w:tblW w:w="969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50"/>
        <w:gridCol w:w="1967"/>
        <w:gridCol w:w="1966"/>
        <w:gridCol w:w="1406"/>
        <w:gridCol w:w="842"/>
      </w:tblGrid>
      <w:tr>
        <w:tblPrEx/>
        <w:trPr>
          <w:trHeight w:val="107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29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  <w:tc>
          <w:tcPr>
            <w:tcW w:w="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highlight w:val="white"/>
              </w:rPr>
              <w:t xml:space="preserve">545 710,6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1 127 875,3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411 723,6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36,5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1</w:t>
            </w:r>
            <w:r>
              <w:rPr>
                <w:sz w:val="22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Проектная часть 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487 198,2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1 004 810,8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399 435,8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39,8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34 060,1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70 278,4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27 902,1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39,7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453 015,0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934 368,4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371 369,7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39,7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123,1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164,0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164,0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2</w:t>
            </w:r>
            <w:r>
              <w:rPr>
                <w:sz w:val="22"/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58 512,4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123 064,5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12 287,8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3 628,4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22 938,8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719,9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46 084,0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91 325,7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9 513,3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10,4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5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8 800,0</w:t>
            </w:r>
            <w:r>
              <w:rPr>
                <w:sz w:val="22"/>
                <w:highlight w:val="white"/>
              </w:rPr>
            </w:r>
          </w:p>
        </w:tc>
        <w:tc>
          <w:tcPr>
            <w:tcW w:w="1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8 800,0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2 054,6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23,4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center"/>
        <w:rPr>
          <w:rFonts w:ascii="Times New Roman" w:hAnsi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Проектная часть муниципальной программы «Развитие жилищной сферы на территории города </w:t>
      </w:r>
      <w:r>
        <w:rPr>
          <w:rFonts w:ascii="Times New Roman" w:hAnsi="Times New Roman" w:eastAsia="Times New Roman"/>
          <w:color w:val="000000"/>
          <w:highlight w:val="white"/>
        </w:rPr>
        <w:t xml:space="preserve">Мегиона</w:t>
      </w:r>
      <w:r>
        <w:rPr>
          <w:rFonts w:ascii="Times New Roman" w:hAnsi="Times New Roman" w:eastAsia="Times New Roman"/>
          <w:color w:val="000000"/>
          <w:highlight w:val="white"/>
        </w:rPr>
        <w:t xml:space="preserve">» в разрезе структурных элементов 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center"/>
        <w:rPr>
          <w:rFonts w:ascii="Times New Roman" w:hAnsi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highlight w:val="white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1133"/>
        <w:gridCol w:w="1276"/>
        <w:gridCol w:w="1276"/>
        <w:gridCol w:w="709"/>
        <w:gridCol w:w="1419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% исполнения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487 198,2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1 004 810,8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399 435,8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39,8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Региональные проекты, направленные на достижение целей, показателей и решение задач национальных проекта, 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из них: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485 007,0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1 001 891,3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396 516,4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39,6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1.1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Региональный проект «Жилье»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485 007,0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1 001 891,3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396 516,4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39,6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Исполнение  в 3 - 4 квартале 2025 года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33 950,5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70 132,4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27 756,2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39,6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451 056,5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931 758,9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368 760,2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39,6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Региональные проекты, направленные на достижение показателей федеральных проектов, не входящих в состав национальных проектов,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из них: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2 191,2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2 919,5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2 919,4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2.1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2 191,2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2 919,5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2 919,4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109,6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146,0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145,9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1 958,5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2 609,5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2 609,5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t xml:space="preserve">123,1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164,0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164,0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 </w:t>
      </w:r>
      <w:r>
        <w:rPr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Региональный проект «Жилье» направлен на реализацию мероприятий по обеспечению устойчивого сокращения непригодного для проживания жилищного фонда.</w:t>
      </w:r>
      <w:r>
        <w:rPr>
          <w:rFonts w:ascii="Times New Roman" w:hAnsi="Times New Roman" w:eastAsia="Times New Roman"/>
          <w:highlight w:val="white"/>
        </w:rPr>
        <w:t xml:space="preserve"> При плановом объеме бюджетных ассигнований в сумме 1 001 891,3 тыс. рублей, исполнено 396 516,4 тыс. рублей, или 39,6%. В рамках реализации регионального проекта по состоянию на 01.07.2025: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highlight w:val="white"/>
        </w:rPr>
        <w:t xml:space="preserve"> проведены выплаты по девяти соглашениям об изъятии объектов недвижимости общей площадью 276,29 </w:t>
      </w:r>
      <w:r>
        <w:rPr>
          <w:rFonts w:ascii="Times New Roman" w:hAnsi="Times New Roman" w:eastAsia="Times New Roman"/>
          <w:highlight w:val="white"/>
        </w:rPr>
        <w:t xml:space="preserve">кв.м</w:t>
      </w:r>
      <w:r>
        <w:rPr>
          <w:rFonts w:ascii="Times New Roman" w:hAnsi="Times New Roman" w:eastAsia="Times New Roman"/>
          <w:highlight w:val="white"/>
        </w:rPr>
        <w:t xml:space="preserve">. Завершение мероприятий по выплате возмещений запланированы на декабрь 2025 года;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highlight w:val="white"/>
        </w:rPr>
        <w:t xml:space="preserve">заключены муниципальные контракты на приобретение 92 квартир на сумму 384 532,5 тыс. рублей, исполнение по которым составило 100,0%;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highlight w:val="white"/>
        </w:rPr>
        <w:t xml:space="preserve">в июне размещен муниципальный заказ на приобретение 93 квартир на сумму 431 007,6 тыс. рублей, срок исполнения – август 2025 года.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</w:rPr>
        <w:t xml:space="preserve">Полное освоение денежных средств и достижение показателей запланировано до 31.12.2025.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В рамках реализации регионального проекта «Содействие с</w:t>
      </w:r>
      <w:r>
        <w:rPr>
          <w:rFonts w:ascii="Times New Roman" w:hAnsi="Times New Roman" w:eastAsia="Times New Roman"/>
          <w:color w:val="000000"/>
          <w:highlight w:val="white"/>
        </w:rPr>
        <w:t xml:space="preserve">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бюджетные ассигнования направлены на реализацию мероприятий по обеспечению жильем молодых семей.</w:t>
      </w:r>
      <w:r>
        <w:rPr>
          <w:rFonts w:ascii="Times New Roman" w:hAnsi="Times New Roman" w:eastAsia="Times New Roman"/>
          <w:highlight w:val="white"/>
        </w:rPr>
        <w:t xml:space="preserve"> Плановый объем бюджетных ассигнований составил 2 919,5 тыс. рублей, исполнено 2 919,4 тыс. рублей, или 100,0%. Выплачена субсидия одной молодой семье. 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 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Структура расходов процессной части муниципальной программы «Развитие жилищной сферы на территории города </w:t>
      </w:r>
      <w:r>
        <w:rPr>
          <w:rFonts w:ascii="Times New Roman" w:hAnsi="Times New Roman" w:eastAsia="Times New Roman"/>
          <w:color w:val="000000"/>
          <w:highlight w:val="white"/>
        </w:rPr>
        <w:t xml:space="preserve">Мегиона</w:t>
      </w:r>
      <w:r>
        <w:rPr>
          <w:rFonts w:ascii="Times New Roman" w:hAnsi="Times New Roman" w:eastAsia="Times New Roman"/>
          <w:color w:val="000000"/>
          <w:highlight w:val="white"/>
        </w:rPr>
        <w:t xml:space="preserve">»</w:t>
      </w:r>
      <w:r>
        <w:rPr>
          <w:highlight w:val="white"/>
        </w:rPr>
      </w:r>
    </w:p>
    <w:p>
      <w:pPr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right"/>
        <w:spacing w:line="253" w:lineRule="atLeast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0"/>
          <w:highlight w:val="white"/>
        </w:rPr>
        <w:t xml:space="preserve">(тыс. рублей)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1275"/>
        <w:gridCol w:w="1276"/>
        <w:gridCol w:w="1276"/>
        <w:gridCol w:w="709"/>
        <w:gridCol w:w="1419"/>
      </w:tblGrid>
      <w:tr>
        <w:tblPrEx/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8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% исполнения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ind w:left="-108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58 512,4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123 064,5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12 287,8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49 708,3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91 552,4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10 229,1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11,2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Исполнение  в 3 - 4 квартале 2025 года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местный бюджет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3 628,4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21 349,2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719,9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46 079,9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70 203,1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9 509,2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13,6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Улучшение жилищных условий отдельных категорий граждан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8 804,1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31 512,1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2 058,7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Предоставление субсидии участникам СВО, членам их семей на приобретение жилых помещений планируется в 3-4 квартале 2025 года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  местный бюджет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1 589,6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бюджет автономного округа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4,1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21 122,6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  федеральный бюджет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8 800,0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8 800,0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2 054,6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23,4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8"/>
        <w:jc w:val="both"/>
        <w:rPr>
          <w:rFonts w:ascii="Times New Roman" w:hAnsi="Times New Roman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В рамках реализации комплекса процессных мероприятий «Приобретение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Федерации» средства бюджета направлены на: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приобретение жилья и осуществление выплат гражданам, в чьей собственности находятся жилые помещения, входящие в аварийный жилищный фонд в сумме 91 192,4 тыс. рублей. Исполнено 10 225,0 тыс. рублей, или 11,2%.  На 01.07.2025 выплачены 3 возмещения за изым</w:t>
      </w:r>
      <w:r>
        <w:rPr>
          <w:rFonts w:ascii="Times New Roman" w:hAnsi="Times New Roman" w:eastAsia="Times New Roman"/>
          <w:color w:val="000000"/>
          <w:highlight w:val="white"/>
        </w:rPr>
        <w:t xml:space="preserve">аемые жилые помещения в сумме 4 818,0 тыс. рублей, приобретена квартира на сумму 5 407,0 тыс. рублей. В июне размещен муниципальный заказ на приобретение 9 квартир на сумму 47 609,6 тыс. рублей, срок исполнения – август 2025 года. В июле планируется размещ</w:t>
      </w:r>
      <w:r>
        <w:rPr>
          <w:rFonts w:ascii="Times New Roman" w:hAnsi="Times New Roman" w:eastAsia="Times New Roman"/>
          <w:color w:val="000000"/>
          <w:highlight w:val="white"/>
        </w:rPr>
        <w:t xml:space="preserve">ение муниципального заказа на приобретение одной квартиры на сумму 5 990,0 тыс. рублей, срок исполнения – сентябрь 2025 года. Завершение мероприятий по приобретению жилья и выплате возмещений за изымаемые жилые помещения запланировано на декабрь 2025 года;</w:t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проведение оценки жилых помещений, в связи с изъятием земельных участков для муниципальных нужд. При плановом объеме бюджетных </w:t>
      </w:r>
      <w:r>
        <w:rPr>
          <w:rFonts w:ascii="Times New Roman" w:hAnsi="Times New Roman" w:eastAsia="Times New Roman"/>
          <w:color w:val="000000"/>
          <w:highlight w:val="white"/>
        </w:rPr>
        <w:t xml:space="preserve">ассигнований в сумме 360,0 тыс. рублей, исполнено 4,1 тыс. рублей, или 1,1%. Заключены муниципальные контракты на сумму 122,1 тыс. рублей, срок исполнения до 15.12.2025. В 3 квартале планируется размещение муниципального заказа на сумму 237,9 тыс. рублей. </w:t>
      </w:r>
      <w:r>
        <w:rPr>
          <w:rFonts w:ascii="Times New Roman" w:hAnsi="Times New Roman"/>
          <w:highlight w:val="yellow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В рамках реализации комплекса процессных мероприятий</w:t>
      </w:r>
      <w:r>
        <w:rPr>
          <w:rFonts w:ascii="Times New Roman" w:hAnsi="Times New Roman" w:eastAsia="Times New Roman"/>
          <w:highlight w:val="white"/>
        </w:rPr>
        <w:t xml:space="preserve"> «Улучшение жилищных условий отдельных категорий граждан» средства бюджета предусмотрены на:</w:t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осуществление</w:t>
      </w:r>
      <w:r>
        <w:rPr>
          <w:rFonts w:ascii="Times New Roman" w:hAnsi="Times New Roman" w:eastAsia="Times New Roman"/>
          <w:color w:val="000000"/>
          <w:highlight w:val="white"/>
        </w:rPr>
        <w:t xml:space="preserve"> полномочий по обеспечению жильем отдельных категорий граждан, установленных федеральным законом от 12.01.1995 №5-ФЗ «О ветеранах». При плановом объем бюджетных ассигнований в сумме 6 600,0 тыс. рублей, исполнение составило 2 054,6 тыс. рублей, или 31,1%. </w:t>
      </w:r>
      <w:r>
        <w:rPr>
          <w:rFonts w:ascii="Times New Roman" w:hAnsi="Times New Roman" w:eastAsia="Times New Roman"/>
          <w:color w:val="000000"/>
        </w:rPr>
        <w:t xml:space="preserve">Выплачена 1 субсидия участнику боевых действий. Оставшиеся средства в сумме 4 545,4 тыс. рублей не востребованы, </w:t>
      </w:r>
      <w:r>
        <w:rPr>
          <w:rFonts w:ascii="Times New Roman" w:hAnsi="Times New Roman" w:eastAsia="Times New Roman"/>
          <w:color w:val="000000"/>
          <w:highlight w:val="white"/>
        </w:rPr>
        <w:t xml:space="preserve">в связи с отсутствием граждан, изъявивших желание получить субсидию. В Департамент строительства и архитектуры ХМАО-Югры направлено письмо от 01.07.2025 №АП-954 об отсутствии потребности;</w:t>
      </w:r>
      <w:r>
        <w:rPr>
          <w:rFonts w:ascii="Times New Roman" w:hAnsi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осуществление полномочий по обеспечению жильем отдельных категорий граждан, установленных федеральным законом от 24.11.1995 № 181-ФЗ «О социальной защите инвалидов в Российской Федерации» в сумме 2 200,0 тыс. рублей. По состоянию на 01.07.2025 </w:t>
      </w:r>
      <w:r>
        <w:rPr>
          <w:rFonts w:ascii="Times New Roman" w:hAnsi="Times New Roman" w:eastAsia="Times New Roman"/>
          <w:color w:val="000000"/>
          <w:highlight w:val="white"/>
        </w:rPr>
        <w:t xml:space="preserve">отсутствуют граждане, относящихся к категории инвалидов, изъявивших желание получить субсидию на приобретение жилого имущества. В Департамент строительства и архитектуры ХМАО-Югры направлено письмо от 01.07.2025 №АП-954 об отсутствии потребности;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highlight w:val="white"/>
        </w:rPr>
        <w:t xml:space="preserve">реализацию полномочий, указанных в пунктах 3.1, 3.2 статьи 2 Закона Ханты-Мансийского автономного округа – Югры от 31 марта 2009 года № 36-оз «О наделении органов местного самоуправления муниципальных образований Ханты-Ман</w:t>
      </w:r>
      <w:r>
        <w:rPr>
          <w:rFonts w:ascii="Times New Roman" w:hAnsi="Times New Roman" w:eastAsia="Times New Roman"/>
          <w:color w:val="000000"/>
          <w:highlight w:val="white"/>
        </w:rPr>
        <w:t xml:space="preserve">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законодательством», исполнение которых в сумме 4,1 тыс. рублей. Исполнение составило 100,0%</w:t>
      </w:r>
      <w:r>
        <w:rPr>
          <w:rFonts w:ascii="Times New Roman" w:hAnsi="Times New Roman" w:eastAsia="Times New Roman"/>
          <w:highlight w:val="white"/>
        </w:rPr>
        <w:t xml:space="preserve">;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highlight w:val="white"/>
        </w:rPr>
        <w:t xml:space="preserve">предоставление субсидии участникам </w:t>
      </w:r>
      <w:r>
        <w:rPr>
          <w:rFonts w:ascii="Times New Roman" w:hAnsi="Times New Roman" w:eastAsia="Times New Roman"/>
          <w:highlight w:val="white"/>
        </w:rPr>
        <w:t xml:space="preserve">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сумме 22 708,0 тыс. рублей. Плани</w:t>
      </w:r>
      <w:r>
        <w:rPr>
          <w:rFonts w:ascii="Times New Roman" w:hAnsi="Times New Roman" w:eastAsia="Times New Roman"/>
        </w:rPr>
        <w:t xml:space="preserve">руется выплата 6 субсидий в 3-4 квартале 2025 года.</w:t>
      </w:r>
      <w:r>
        <w:rPr>
          <w:rFonts w:ascii="Times New Roman" w:hAnsi="Times New Roman" w:eastAsia="Times New Roman"/>
          <w:highlight w:val="green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12. Программа 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9"/>
        <w:jc w:val="center"/>
        <w:widowControl w:val="off"/>
        <w:rPr>
          <w:rFonts w:ascii="Times New Roman" w:hAnsi="Times New Roman" w:eastAsia="Calibri"/>
          <w:b/>
        </w:rPr>
      </w:pPr>
      <w:r>
        <w:rPr>
          <w:rFonts w:ascii="Times New Roman" w:hAnsi="Times New Roman" w:eastAsia="Times New Roman"/>
          <w:b/>
          <w:szCs w:val="20"/>
          <w:lang w:eastAsia="ru-RU"/>
        </w:rPr>
        <w:t xml:space="preserve">«</w:t>
      </w:r>
      <w:r>
        <w:rPr>
          <w:rFonts w:ascii="Times New Roman" w:hAnsi="Times New Roman" w:eastAsia="Calibri"/>
          <w:b/>
        </w:rPr>
        <w:t xml:space="preserve">Развитие информационного общества на территории города </w:t>
      </w:r>
      <w:r>
        <w:rPr>
          <w:rFonts w:ascii="Times New Roman" w:hAnsi="Times New Roman" w:eastAsia="Calibri"/>
          <w:b/>
        </w:rPr>
        <w:t xml:space="preserve">Мегиона</w:t>
      </w:r>
      <w:r>
        <w:rPr>
          <w:rFonts w:ascii="Times New Roman" w:hAnsi="Times New Roman" w:eastAsia="Calibri"/>
          <w:b/>
        </w:rPr>
        <w:t xml:space="preserve">»</w:t>
      </w:r>
      <w:r>
        <w:rPr>
          <w:rFonts w:ascii="Times New Roman" w:hAnsi="Times New Roman" w:eastAsia="Calibri"/>
          <w:b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</w:t>
      </w:r>
      <w:r>
        <w:rPr>
          <w:rFonts w:ascii="Times New Roman" w:hAnsi="Times New Roman" w:eastAsia="Times New Roman"/>
          <w:szCs w:val="20"/>
          <w:lang w:eastAsia="ru-RU"/>
        </w:rPr>
        <w:t xml:space="preserve">«</w:t>
      </w:r>
      <w:r>
        <w:rPr>
          <w:rFonts w:ascii="Times New Roman" w:hAnsi="Times New Roman" w:eastAsia="Calibri"/>
        </w:rPr>
        <w:t xml:space="preserve">Развитие информационного общества на территории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Calibri"/>
        </w:rPr>
        <w:t xml:space="preserve">»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утверждена постановлением администрации города от 09.11.2023 года №1853 (с изменениями) (далее муниципальная программа). 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</w:rPr>
      </w:pPr>
      <w:r/>
      <w:hyperlink r:id="rId27" w:tooltip="https://admmegion.ru/programs/municipal/programmy-2024/informatsionnoe-obshchestvo/" w:history="1">
        <w:r>
          <w:rPr>
            <w:rStyle w:val="999"/>
            <w:rFonts w:ascii="Times New Roman" w:hAnsi="Times New Roman" w:eastAsia="Times New Roman"/>
            <w:bCs/>
            <w:lang w:eastAsia="ru-RU"/>
          </w:rPr>
          <w:t xml:space="preserve">https://admmegion.ru/programs/municipal/programmy-2024/informatsionnoe-obshchestvo/</w:t>
        </w:r>
      </w:hyperlink>
      <w:r>
        <w:rPr>
          <w:rFonts w:ascii="Times New Roman" w:hAnsi="Times New Roman" w:eastAsia="Times New Roman"/>
          <w:bCs/>
          <w:color w:val="000000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муниципальное бюджетное учреждение «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Мегионский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центр информационно-коммуникационных технологий «Вектор».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Theme="minorHAnsi" w:cstheme="minorBidi"/>
        </w:rPr>
      </w:pPr>
      <w:r>
        <w:rPr>
          <w:rFonts w:ascii="Times New Roman" w:hAnsi="Times New Roman" w:eastAsia="Times New Roman"/>
          <w:lang w:eastAsia="ru-RU"/>
        </w:rPr>
        <w:t xml:space="preserve">Целью программы является п</w:t>
      </w:r>
      <w:r>
        <w:rPr>
          <w:rFonts w:ascii="Times New Roman" w:hAnsi="Times New Roman" w:eastAsia="Calibri"/>
        </w:rPr>
        <w:t xml:space="preserve">олучение преимуществ от применения информационных и телекоммуникационных технологий гражданами и органами местного самоуправления.</w:t>
      </w:r>
      <w:r>
        <w:rPr>
          <w:rFonts w:ascii="Times New Roman" w:hAnsi="Times New Roman" w:eastAsiaTheme="minorHAnsi" w:cstheme="minorBidi"/>
        </w:rPr>
      </w:r>
    </w:p>
    <w:p>
      <w:pPr>
        <w:ind w:firstLine="360"/>
        <w:jc w:val="both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lang w:eastAsia="ru-RU"/>
        </w:rPr>
        <w:t xml:space="preserve">      </w:t>
      </w:r>
      <w:r>
        <w:rPr>
          <w:rFonts w:ascii="Times New Roman" w:hAnsi="Times New Roman" w:eastAsia="Times New Roman"/>
          <w:bCs/>
        </w:rPr>
        <w:t xml:space="preserve">Уточненный объем бюджетных ассигнований составляет </w:t>
      </w:r>
      <w:r>
        <w:rPr>
          <w:rFonts w:ascii="Times New Roman" w:hAnsi="Times New Roman"/>
        </w:rPr>
        <w:t xml:space="preserve">43 327,2 </w:t>
      </w:r>
      <w:r>
        <w:rPr>
          <w:rFonts w:ascii="Times New Roman" w:hAnsi="Times New Roman" w:eastAsia="Times New Roman"/>
        </w:rPr>
        <w:t xml:space="preserve">тыс. рублей, </w:t>
      </w:r>
      <w:r>
        <w:rPr>
          <w:rFonts w:ascii="Times New Roman" w:hAnsi="Times New Roman" w:eastAsia="Times New Roman"/>
          <w:bCs/>
        </w:rPr>
        <w:t xml:space="preserve">исполнено 22 235,4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 w:eastAsia="Times New Roman"/>
          <w:bCs/>
        </w:rPr>
        <w:t xml:space="preserve">, или 51,3 %, в том числе:</w:t>
      </w:r>
      <w:r>
        <w:rPr>
          <w:rFonts w:ascii="Times New Roman" w:hAnsi="Times New Roman" w:eastAsia="Times New Roman"/>
          <w:lang w:eastAsia="ru-RU"/>
        </w:rPr>
        <w:t xml:space="preserve">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ind w:left="7440" w:firstLine="348"/>
        <w:jc w:val="center"/>
        <w:rPr>
          <w:rFonts w:ascii="Times New Roman" w:hAnsi="Times New Roman" w:eastAsia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bCs/>
          <w:sz w:val="20"/>
          <w:szCs w:val="20"/>
        </w:rPr>
      </w: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984"/>
        <w:gridCol w:w="1418"/>
        <w:gridCol w:w="850"/>
      </w:tblGrid>
      <w:tr>
        <w:tblPrEx/>
        <w:trPr/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shd w:val="clear" w:color="000000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43 327,2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22 235,4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51,3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43 327,2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22 235,4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51,3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43 327,2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22 235,4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51,3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/>
          <w:bCs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left="360"/>
        <w:jc w:val="center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 w:eastAsiaTheme="minorHAnsi"/>
        </w:rPr>
      </w:r>
    </w:p>
    <w:tbl>
      <w:tblPr>
        <w:tblW w:w="5068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528"/>
        <w:gridCol w:w="1276"/>
        <w:gridCol w:w="1419"/>
        <w:gridCol w:w="1417"/>
        <w:gridCol w:w="992"/>
        <w:gridCol w:w="1679"/>
      </w:tblGrid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" w:type="pct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152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44 871,6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000000" w:fill="ffffff"/>
            <w:tcW w:w="7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43 327,2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22 235,4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51,3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5 040,0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3 495,6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1 450,1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41,5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Приобретение компьютерного оборудования запланирован в 3 квартале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муниципальных учреждений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37 331,6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37 331,6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18 629,5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49,9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2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95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информации органов местного самоуправления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(местный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5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2 500,0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7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2 155,8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0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86,2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860" w:type="pct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</w:rPr>
        <w:t xml:space="preserve">Бюджетные ассигнования по данной программе направлены на реализацию следующих мероприятий:</w:t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</w:rPr>
        <w:t xml:space="preserve">реализация мероприятий по обеспечению доступа к информации о дея</w:t>
      </w:r>
      <w:r>
        <w:rPr>
          <w:rFonts w:ascii="Times New Roman" w:hAnsi="Times New Roman" w:eastAsia="Times New Roman"/>
        </w:rPr>
        <w:t xml:space="preserve">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 При плане 3 495,6 тыс. рублей, исполнение составило 1 450,1 тыс. рублей, или 41,5%. 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ru-RU"/>
        </w:rPr>
        <w:t xml:space="preserve">Финансирование осуществляется по факту </w:t>
      </w:r>
      <w:r>
        <w:rPr>
          <w:rFonts w:ascii="Times New Roman" w:hAnsi="Times New Roman" w:eastAsia="Times New Roman"/>
        </w:rPr>
        <w:t xml:space="preserve">на основании заключенных муниципальных контрактов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Заключены муниципальные контракты на поставку товаров (</w:t>
      </w:r>
      <w:r>
        <w:rPr>
          <w:rFonts w:ascii="Times New Roman" w:hAnsi="Times New Roman" w:eastAsia="Times New Roman"/>
          <w:lang w:val="en-US"/>
        </w:rPr>
        <w:t xml:space="preserve">SSD</w:t>
      </w:r>
      <w:r>
        <w:rPr>
          <w:rFonts w:ascii="Times New Roman" w:hAnsi="Times New Roman" w:eastAsia="Times New Roman"/>
        </w:rPr>
        <w:t xml:space="preserve"> накопитель, системный блок, монитор, ноутбук, клавиатура и мышь), планируемое освоение средств – </w:t>
      </w:r>
      <w:r>
        <w:rPr>
          <w:rFonts w:ascii="Times New Roman" w:hAnsi="Times New Roman" w:eastAsia="Times New Roman"/>
          <w:lang w:eastAsia="ru-RU"/>
        </w:rPr>
        <w:t xml:space="preserve"> третий квартал </w:t>
      </w:r>
      <w:r>
        <w:rPr>
          <w:rFonts w:ascii="Times New Roman" w:hAnsi="Times New Roman" w:eastAsia="Times New Roman"/>
        </w:rPr>
        <w:t xml:space="preserve">2025 года. 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Заключен муниципальный контракт 01.04.2025 на сопровождение программы «Система автоматизированного рабочего места муниципального образования», оплата осуществляется в течение года.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</w:rPr>
        <w:t xml:space="preserve">Планируется заключение муниципального контракта на ежегодное продление программы «</w:t>
      </w:r>
      <w:r>
        <w:rPr>
          <w:rFonts w:ascii="Times New Roman" w:hAnsi="Times New Roman" w:eastAsia="Times New Roman"/>
        </w:rPr>
        <w:t xml:space="preserve">Технокад</w:t>
      </w:r>
      <w:r>
        <w:rPr>
          <w:rFonts w:ascii="Times New Roman" w:hAnsi="Times New Roman" w:eastAsia="Times New Roman"/>
        </w:rPr>
        <w:t xml:space="preserve">» для департамента землеустройства и градостроительства - ноябрь 2025 года.</w:t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обеспечение деятельности муниципального бюджетного учреждения МЦИКТ «Вектор», при плане 37 331,6 тыс. рублей, исполнение составило 18 629,5 тыс. рублей, или 49,9%. Финансирование осуществлялось согласно заявок муниципального учреждения.</w:t>
      </w:r>
      <w:r>
        <w:rPr>
          <w:rFonts w:ascii="Times New Roman" w:hAnsi="Times New Roman" w:eastAsia="Times New Roman"/>
        </w:rPr>
      </w:r>
    </w:p>
    <w:p>
      <w:pPr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13. Программа 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«Развитие транспортной системы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  <w:t xml:space="preserve">Муниципальная программа «Развитие транспортной системы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16.11.2023 №1895 </w:t>
      </w:r>
      <w:r>
        <w:rPr>
          <w:rFonts w:ascii="Times New Roman" w:hAnsi="Times New Roman" w:eastAsia="Times New Roman"/>
          <w:bCs/>
          <w:color w:val="000000"/>
          <w:highlight w:val="white"/>
        </w:rPr>
        <w:t xml:space="preserve">(с изменениями)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(далее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- муниципальная программа).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shd w:val="clear" w:color="ffffff" w:themeColor="background1" w:fill="ffffff" w:themeFill="background1"/>
        <w:tabs>
          <w:tab w:val="left" w:pos="709" w:leader="none"/>
        </w:tabs>
        <w:rPr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</w:rPr>
        <w:tab/>
      </w: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 xml:space="preserve">Текст муниципальной программы в актуальной редакции размещен в сети Интернет</w:t>
      </w:r>
      <w:r>
        <w:rPr>
          <w:rFonts w:ascii="Times New Roman" w:hAnsi="Times New Roman" w:eastAsia="Times New Roman"/>
          <w:bCs/>
          <w:color w:val="000000"/>
          <w:highlight w:val="white"/>
        </w:rPr>
        <w:t xml:space="preserve"> по электронному адресу: </w:t>
      </w:r>
      <w:hyperlink r:id="rId28" w:tooltip="https://admmegion.ru/programs/municipal/programmy-2024/transport/." w:history="1">
        <w:r>
          <w:rPr>
            <w:rStyle w:val="999"/>
            <w:rFonts w:ascii="Times New Roman" w:hAnsi="Times New Roman" w:eastAsia="Times New Roman"/>
            <w:highlight w:val="white"/>
            <w:shd w:val="clear" w:color="auto" w:fill="ffff00"/>
            <w:lang w:eastAsia="ru-RU"/>
          </w:rPr>
          <w:t xml:space="preserve">https://admmegion.ru/programs/municipal/programmy-2024/transport/.</w:t>
        </w:r>
      </w:hyperlink>
      <w:r/>
      <w:r>
        <w:rPr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жилищно-коммунального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</w:rPr>
        <w:tab/>
      </w:r>
      <w:r>
        <w:rPr>
          <w:rFonts w:ascii="Times New Roman" w:hAnsi="Times New Roman"/>
          <w:highlight w:val="white"/>
        </w:rPr>
        <w:t xml:space="preserve">Целью муниципальной программы является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Уточненный объем бюджетных ассигнований составляет 763 375,9 тыс. рублей, исполнено 209 739,1 тыс. рублей, или 27,5%, в том числе: </w:t>
      </w:r>
      <w:r>
        <w:rPr>
          <w:rFonts w:ascii="Times New Roman" w:hAnsi="Times New Roman"/>
          <w:b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81"/>
        <w:gridCol w:w="1675"/>
        <w:gridCol w:w="1670"/>
        <w:gridCol w:w="1666"/>
        <w:gridCol w:w="1172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766 602,5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763 375,9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209 739,1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0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399 775,8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16 700,0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19 988,8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317 300,0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379 787,0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432 602,5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363 600,1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209 739,1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57,7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370 115,5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363 600,1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209 739,1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57,7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62 487,0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highlight w:val="yellow"/>
        </w:rPr>
        <w:outlineLvl w:val="1"/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Проектная часть расходов муниципальной программы в общих расходах на программу составляет 52,4%, или в сумме 399 775,8 тыс. рублей. </w:t>
      </w:r>
      <w:r>
        <w:rPr>
          <w:rFonts w:ascii="Times New Roman" w:hAnsi="Times New Roman"/>
          <w:highlight w:val="white"/>
        </w:rPr>
      </w:r>
    </w:p>
    <w:p>
      <w:pPr>
        <w:jc w:val="both"/>
        <w:widowControl w:val="off"/>
        <w:rPr>
          <w:rFonts w:ascii="Times New Roman" w:hAnsi="Times New Roman"/>
          <w:highlight w:val="yellow"/>
        </w:rPr>
        <w:outlineLvl w:val="1"/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проектной части муниципальной программы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транспортной системы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2343"/>
        <w:gridCol w:w="1482"/>
        <w:gridCol w:w="1417"/>
        <w:gridCol w:w="1134"/>
        <w:gridCol w:w="709"/>
        <w:gridCol w:w="1984"/>
      </w:tblGrid>
      <w:tr>
        <w:tblPrEx/>
        <w:trPr>
          <w:trHeight w:val="1612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1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399 775,8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612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Региональный проект, направленный на достижение целей социально-экономического развития Ханты-Мансийского автономного округа-Югры                                                                                    из них:</w:t>
            </w:r>
            <w:r>
              <w:rPr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334 000,0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399 775,8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382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- Региональный проект "Строительство (реконструкция) автомобильных дорог общего пользования местного значения"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334 000,0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399 775,8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Конкурсная документация размещена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16 700,0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19 988,8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317 300,0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379 787,0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Региональный проект «Строительство (реконструкция) автомобильных дорог общего пользования местного значения» направлен на строительство автомобильной дороги по улице Нефтяников (от улицы Заречная до улицы Губкина) в городе </w:t>
      </w:r>
      <w:r>
        <w:rPr>
          <w:rFonts w:ascii="Times New Roman" w:hAnsi="Times New Roman"/>
          <w:highlight w:val="white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. В настоящее время конкурсная документация размещена, ориентировочный срок заключения муниципального контракта - сентябрь 2025 года, освоение бюджетных ассигнований до конца текущего года.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процессной части муниципальной программы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транспортной системы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385"/>
        <w:gridCol w:w="1289"/>
        <w:gridCol w:w="1276"/>
        <w:gridCol w:w="1276"/>
        <w:gridCol w:w="1241"/>
        <w:gridCol w:w="1594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432 602,5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363 600,0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209 739,1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57,7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5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Строительство (реконструкция), капитальный ремонт и ремонт автомобильных дорог общего пользования, искусственных сооружений, а также внутриквартальных проездов</w:t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189 951,9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69 396,3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5 346,9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57 342,5 тыс. рублей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129 951,9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69 396,3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5 346,9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60 000,0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03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доступности и повышение качества транспортных услуг автомобильным транспортом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26 194,4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26 194,4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10 774,1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41,1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по перевозке пассажиров на общую сумму 26 194,3 тыс. рублей. Исполнение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Субсидии перевозчику (подрядчику) в целях возмещения недополученных доходов в связи с выполнением работ по перевозке обучающихся в муниципальных общеобразовательных организациях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проживающих на территории СУ-920 и 28 микрорайона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, обучающихся в муниципальных общеобразовательных организациях поселка городского типа Высокий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и проживающих на территории поселка городского типа Высокий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на проезд автомобильным транспортом общего пользования (за исключением такси) до муниципальных общеобразовательных организаций и обратно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9 898,4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9 898,4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5 215,4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52,7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394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функционирования сети автомобильных дорог общего пользования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180 000,0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238 577,8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185 810,6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77,9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Совершенствование условий движения и организации  дорожного движения на улично-дорожной сети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val="en-US"/>
              </w:rPr>
              <w:t xml:space="preserve">26 557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19 533,2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2 592,1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19 358,2 тыс. рублей. Сроки исполнения - август 2025 года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24 070,8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19 533,2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2 592,1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8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2 487,0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В рамках реализации процессного мероприятия «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Строительство (реконструкция), капитальный ремонт и ремонт автомобильных дорог общего пользования, искусственных сооружений, а также внутриквартальных проездов» </w:t>
      </w:r>
      <w:r>
        <w:rPr>
          <w:rFonts w:ascii="Times New Roman" w:hAnsi="Times New Roman" w:eastAsia="Times New Roman"/>
          <w:lang w:eastAsia="ru-RU"/>
        </w:rPr>
        <w:t xml:space="preserve">заключены муниципальные контракты на: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устройство ливневых канализаций на автомобильных дорогах общего пользования (ПИР) с ООО «ПИК «Экспедиция» на сумму 11 125,0 тыс. рублей. Срок исполнения по контракту – декабрь 2025 года;</w:t>
      </w:r>
      <w:r>
        <w:rPr>
          <w:rFonts w:ascii="Times New Roman" w:hAnsi="Times New Roman" w:eastAsia="Cambria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</w:rPr>
      </w:pPr>
      <w:r>
        <w:rPr>
          <w:rFonts w:ascii="Times New Roman" w:hAnsi="Times New Roman" w:eastAsia="Cambria"/>
          <w:bCs/>
          <w:highlight w:val="white"/>
        </w:rPr>
        <w:t xml:space="preserve">ремонт автомобильных дорог общего пользования местного значения с ООО «</w:t>
      </w:r>
      <w:r>
        <w:rPr>
          <w:rFonts w:ascii="Times New Roman" w:hAnsi="Times New Roman" w:eastAsia="Cambria"/>
          <w:bCs/>
          <w:highlight w:val="white"/>
        </w:rPr>
        <w:t xml:space="preserve">Спецтранссервис</w:t>
      </w:r>
      <w:r>
        <w:rPr>
          <w:rFonts w:ascii="Times New Roman" w:hAnsi="Times New Roman" w:eastAsia="Cambria"/>
          <w:bCs/>
          <w:highlight w:val="white"/>
        </w:rPr>
        <w:t xml:space="preserve">» на сумму 36 178,0 тыс. рублей. Срок исполнения по контракту – август 2025 года;</w:t>
      </w:r>
      <w:r>
        <w:rPr>
          <w:rFonts w:ascii="Times New Roman" w:hAnsi="Times New Roman" w:eastAsia="Cambria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</w:rPr>
        <w:t xml:space="preserve">выполнение работ по ремонту грунтовой насыпи по </w:t>
      </w:r>
      <w:r>
        <w:rPr>
          <w:rFonts w:ascii="Times New Roman" w:hAnsi="Times New Roman" w:eastAsia="Cambria"/>
        </w:rPr>
        <w:t xml:space="preserve">ул.Озерная</w:t>
      </w:r>
      <w:r>
        <w:rPr>
          <w:rFonts w:ascii="Times New Roman" w:hAnsi="Times New Roman" w:eastAsia="Cambria"/>
        </w:rPr>
        <w:t xml:space="preserve"> в </w:t>
      </w:r>
      <w:r>
        <w:rPr>
          <w:rFonts w:ascii="Times New Roman" w:hAnsi="Times New Roman" w:eastAsia="Cambria"/>
        </w:rPr>
        <w:t xml:space="preserve">г.Мегионе</w:t>
      </w:r>
      <w:r>
        <w:rPr>
          <w:rFonts w:ascii="Times New Roman" w:hAnsi="Times New Roman" w:eastAsia="Cambria"/>
        </w:rPr>
        <w:t xml:space="preserve"> на сумму 599,5 тыс. рублей. Срок исполнения по контракту июль 2025 года;</w:t>
      </w:r>
      <w:r>
        <w:rPr>
          <w:rFonts w:ascii="Times New Roman" w:hAnsi="Times New Roman" w:eastAsia="Cambria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</w:rPr>
      </w:pPr>
      <w:r>
        <w:rPr>
          <w:rFonts w:ascii="Times New Roman" w:hAnsi="Times New Roman" w:eastAsia="Cambria"/>
          <w:bCs/>
          <w:highlight w:val="white"/>
        </w:rPr>
        <w:t xml:space="preserve">выполнение работ по устройству локальных очистных сооружений и лотков ливневой канализации по </w:t>
      </w:r>
      <w:r>
        <w:rPr>
          <w:rFonts w:ascii="Times New Roman" w:hAnsi="Times New Roman" w:eastAsia="Cambria"/>
          <w:bCs/>
          <w:highlight w:val="white"/>
        </w:rPr>
        <w:t xml:space="preserve">ул.Нефтеразведочная</w:t>
      </w:r>
      <w:r>
        <w:rPr>
          <w:rFonts w:ascii="Times New Roman" w:hAnsi="Times New Roman" w:eastAsia="Cambria"/>
          <w:bCs/>
          <w:highlight w:val="white"/>
        </w:rPr>
        <w:t xml:space="preserve"> на пересечении улиц Советская – Львовская в </w:t>
      </w:r>
      <w:r>
        <w:rPr>
          <w:rFonts w:ascii="Times New Roman" w:hAnsi="Times New Roman" w:eastAsia="Cambria"/>
          <w:bCs/>
          <w:highlight w:val="white"/>
        </w:rPr>
        <w:t xml:space="preserve">г.Мегионе</w:t>
      </w:r>
      <w:r>
        <w:rPr>
          <w:rFonts w:ascii="Times New Roman" w:hAnsi="Times New Roman" w:eastAsia="Cambria"/>
          <w:bCs/>
          <w:highlight w:val="white"/>
        </w:rPr>
        <w:t xml:space="preserve">  с</w:t>
      </w:r>
      <w:r>
        <w:rPr>
          <w:rFonts w:ascii="Times New Roman" w:hAnsi="Times New Roman" w:eastAsia="Cambria"/>
          <w:bCs/>
          <w:highlight w:val="white"/>
        </w:rPr>
        <w:t xml:space="preserve"> ИП </w:t>
      </w:r>
      <w:r>
        <w:rPr>
          <w:rFonts w:ascii="Times New Roman" w:hAnsi="Times New Roman" w:eastAsia="Cambria"/>
          <w:bCs/>
          <w:highlight w:val="white"/>
        </w:rPr>
        <w:t xml:space="preserve">Татанашвили</w:t>
      </w:r>
      <w:r>
        <w:rPr>
          <w:rFonts w:ascii="Times New Roman" w:hAnsi="Times New Roman" w:eastAsia="Cambria"/>
          <w:bCs/>
          <w:highlight w:val="white"/>
        </w:rPr>
        <w:t xml:space="preserve"> П.Г. на общую сумму 9 440,0 тыс. рублей. Срок исполнения по контрактам – июль 2025 года. </w:t>
      </w:r>
      <w:r>
        <w:rPr>
          <w:rFonts w:ascii="Times New Roman" w:hAnsi="Times New Roman" w:eastAsia="Cambria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</w:rPr>
        <w:t xml:space="preserve">В стадии подготовки аукционная документация на выполнение работ по ремонту автомобильной дороги по </w:t>
      </w:r>
      <w:r>
        <w:rPr>
          <w:rFonts w:ascii="Times New Roman" w:hAnsi="Times New Roman" w:eastAsia="Cambria"/>
        </w:rPr>
        <w:t xml:space="preserve">ул.Абазарова</w:t>
      </w:r>
      <w:r>
        <w:rPr>
          <w:rFonts w:ascii="Times New Roman" w:hAnsi="Times New Roman" w:eastAsia="Cambria"/>
        </w:rPr>
        <w:t xml:space="preserve"> в </w:t>
      </w:r>
      <w:r>
        <w:rPr>
          <w:rFonts w:ascii="Times New Roman" w:hAnsi="Times New Roman" w:eastAsia="Cambria"/>
        </w:rPr>
        <w:t xml:space="preserve">г.Мегионе</w:t>
      </w:r>
      <w:r>
        <w:rPr>
          <w:rFonts w:ascii="Times New Roman" w:hAnsi="Times New Roman" w:eastAsia="Cambria"/>
        </w:rPr>
        <w:t xml:space="preserve"> (наружное электроосвещение) и выполнение работ по разработке проектной документации "Наружное освещение улиц в </w:t>
      </w:r>
      <w:r>
        <w:rPr>
          <w:rFonts w:ascii="Times New Roman" w:hAnsi="Times New Roman" w:eastAsia="Cambria"/>
        </w:rPr>
        <w:t xml:space="preserve">г.Мегионе</w:t>
      </w:r>
      <w:r>
        <w:rPr>
          <w:rFonts w:ascii="Times New Roman" w:hAnsi="Times New Roman" w:eastAsia="Cambria"/>
        </w:rPr>
        <w:t xml:space="preserve"> (</w:t>
      </w:r>
      <w:r>
        <w:rPr>
          <w:rFonts w:ascii="Times New Roman" w:hAnsi="Times New Roman" w:eastAsia="Cambria"/>
        </w:rPr>
        <w:t xml:space="preserve">ул.Первомайская,ул.Новая</w:t>
      </w:r>
      <w:r>
        <w:rPr>
          <w:rFonts w:ascii="Times New Roman" w:hAnsi="Times New Roman" w:eastAsia="Cambria"/>
        </w:rPr>
        <w:t xml:space="preserve">). Ориентировочный срок размещения муниципальных заказов – август 2025 года, срок выполнения работ четвертый квартал 2025 года.</w:t>
      </w:r>
      <w:r>
        <w:rPr>
          <w:rFonts w:ascii="Times New Roman" w:hAnsi="Times New Roman" w:eastAsia="Cambria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В целях реализации процессного мероприятия «Совершенствование условий движения и организации дорожного движения на улично-дорожной сети города </w:t>
      </w:r>
      <w:r>
        <w:rPr>
          <w:rFonts w:ascii="Times New Roman" w:hAnsi="Times New Roman" w:eastAsia="Cambria"/>
          <w:bCs/>
          <w:highlight w:val="white"/>
        </w:rPr>
        <w:t xml:space="preserve">Мегиона</w:t>
      </w:r>
      <w:r>
        <w:rPr>
          <w:rFonts w:ascii="Times New Roman" w:hAnsi="Times New Roman" w:eastAsia="Cambria"/>
          <w:bCs/>
          <w:highlight w:val="white"/>
        </w:rPr>
        <w:t xml:space="preserve">»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заключены муниципальные контракты на</w:t>
      </w:r>
      <w:r>
        <w:rPr>
          <w:rFonts w:ascii="Times New Roman" w:hAnsi="Times New Roman" w:eastAsia="Cambria"/>
          <w:bCs/>
          <w:highlight w:val="white"/>
        </w:rPr>
        <w:t xml:space="preserve">:</w:t>
      </w:r>
      <w:r>
        <w:rPr>
          <w:rFonts w:ascii="Times New Roman" w:hAnsi="Times New Roman" w:eastAsia="Cambria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нанесение линий горизонтальной дорожной разметки с ООО «</w:t>
      </w:r>
      <w:r>
        <w:rPr>
          <w:rFonts w:ascii="Times New Roman" w:hAnsi="Times New Roman" w:eastAsia="Cambria"/>
          <w:bCs/>
          <w:highlight w:val="white"/>
        </w:rPr>
        <w:t xml:space="preserve">Спецтранссервис</w:t>
      </w:r>
      <w:r>
        <w:rPr>
          <w:rFonts w:ascii="Times New Roman" w:hAnsi="Times New Roman" w:eastAsia="Cambria"/>
          <w:bCs/>
          <w:highlight w:val="white"/>
        </w:rPr>
        <w:t xml:space="preserve">» на сумму 15 972,4 тыс. рублей. Срок исполнения по контракту – август 2025 года; </w:t>
      </w:r>
      <w:r>
        <w:rPr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оказание услуг по разработке комплексной схемы транспортного обслуживания населения общественным транспортом на территории муниципального образования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lang w:eastAsia="ru-RU"/>
        </w:rPr>
        <w:t xml:space="preserve"> на сумму 1 393,0 тыс. рублей. </w:t>
      </w:r>
      <w:r>
        <w:rPr>
          <w:rFonts w:ascii="Times New Roman" w:hAnsi="Times New Roman" w:eastAsia="Cambria"/>
          <w:bCs/>
          <w:highlight w:val="white"/>
        </w:rPr>
        <w:t xml:space="preserve"> Услуги выполнены в полном объеме;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оказание услуг по актуализации комплексной схемы организации дорожного движения города </w:t>
      </w:r>
      <w:r>
        <w:rPr>
          <w:rFonts w:ascii="Times New Roman" w:hAnsi="Times New Roman" w:eastAsia="Times New Roman"/>
          <w:lang w:eastAsia="ru-RU"/>
        </w:rPr>
        <w:t xml:space="preserve">Мегион</w:t>
      </w:r>
      <w:r>
        <w:rPr>
          <w:rFonts w:ascii="Times New Roman" w:hAnsi="Times New Roman" w:eastAsia="Times New Roman"/>
          <w:lang w:eastAsia="ru-RU"/>
        </w:rPr>
        <w:t xml:space="preserve"> на сумму 599,3 тыс. рублей. </w:t>
      </w:r>
      <w:r>
        <w:rPr>
          <w:rFonts w:ascii="Times New Roman" w:hAnsi="Times New Roman" w:eastAsia="Cambria"/>
          <w:bCs/>
          <w:highlight w:val="white"/>
        </w:rPr>
        <w:t xml:space="preserve">Услуги выполнены в полном объеме;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оказание услуг по разработке проекта организации дорожного движения на автодороги города </w:t>
      </w:r>
      <w:r>
        <w:rPr>
          <w:rFonts w:ascii="Times New Roman" w:hAnsi="Times New Roman" w:eastAsia="Times New Roman"/>
          <w:lang w:eastAsia="ru-RU"/>
        </w:rPr>
        <w:t xml:space="preserve">Мегион</w:t>
      </w:r>
      <w:r>
        <w:rPr>
          <w:rFonts w:ascii="Times New Roman" w:hAnsi="Times New Roman" w:eastAsia="Times New Roman"/>
          <w:lang w:eastAsia="ru-RU"/>
        </w:rPr>
        <w:t xml:space="preserve"> на сумму 599,8 тыс. рублей. </w:t>
      </w:r>
      <w:r>
        <w:rPr>
          <w:rFonts w:ascii="Times New Roman" w:hAnsi="Times New Roman" w:eastAsia="Cambria"/>
          <w:bCs/>
          <w:highlight w:val="white"/>
        </w:rPr>
        <w:t xml:space="preserve">Услуги выполнены в полном объеме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выполнение работ по монтажу светофорного объекта на участке 0 км+875м по ул. Кузьмина, город </w:t>
      </w:r>
      <w:r>
        <w:rPr>
          <w:rFonts w:ascii="Times New Roman" w:hAnsi="Times New Roman" w:eastAsia="Times New Roman"/>
          <w:lang w:eastAsia="ru-RU"/>
        </w:rPr>
        <w:t xml:space="preserve">Мегион</w:t>
      </w:r>
      <w:r>
        <w:rPr>
          <w:rFonts w:ascii="Times New Roman" w:hAnsi="Times New Roman" w:eastAsia="Times New Roman"/>
          <w:lang w:eastAsia="ru-RU"/>
        </w:rPr>
        <w:t xml:space="preserve"> на сумму 793,7 тыс. рублей.</w:t>
      </w:r>
      <w:r>
        <w:rPr>
          <w:rFonts w:ascii="Times New Roman" w:hAnsi="Times New Roman" w:eastAsia="Cambria"/>
          <w:bCs/>
        </w:rPr>
        <w:t xml:space="preserve"> </w:t>
      </w:r>
      <w:r>
        <w:rPr>
          <w:rFonts w:ascii="Times New Roman" w:hAnsi="Times New Roman" w:eastAsia="Cambria"/>
          <w:bCs/>
          <w:highlight w:val="white"/>
        </w:rPr>
        <w:t xml:space="preserve">Срок исполнения по контракту – август 2025 года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highlight w:val="white"/>
          <w:lang w:eastAsia="ru-RU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mbria"/>
          <w:highlight w:val="white"/>
        </w:rPr>
      </w:pPr>
      <w:r>
        <w:rPr>
          <w:rFonts w:ascii="Times New Roman" w:hAnsi="Times New Roman" w:eastAsia="Cambria"/>
          <w:bCs/>
          <w:highlight w:val="white"/>
        </w:rPr>
        <w:t xml:space="preserve">Ведется работа по формирован</w:t>
      </w:r>
      <w:r>
        <w:rPr>
          <w:rFonts w:ascii="Times New Roman" w:hAnsi="Times New Roman" w:eastAsia="Cambria"/>
          <w:bCs/>
          <w:highlight w:val="white"/>
        </w:rPr>
        <w:t xml:space="preserve">ию аукционной документации на содержание, обслуживание и проведение периодической поверки камер видеонаблюдения на улично-дорожной сети на сумму 175,0 тыс. рублей, планируемый срок размещения и заключения муниципального контракта август-сентябрь 2025 года.</w:t>
      </w:r>
      <w:r>
        <w:rPr>
          <w:rFonts w:ascii="Times New Roman" w:hAnsi="Times New Roman" w:eastAsia="Cambria"/>
          <w:highlight w:val="white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ind w:firstLine="709"/>
        <w:jc w:val="center"/>
        <w:tabs>
          <w:tab w:val="left" w:pos="538" w:leader="none"/>
        </w:tabs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14.Программа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16.11.2023 №1900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Style w:val="999"/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 xml:space="preserve">Текст муниципальной программы в актуальной редакции размещен в сети Интернет</w:t>
      </w:r>
      <w:r>
        <w:rPr>
          <w:rFonts w:ascii="Times New Roman" w:hAnsi="Times New Roman" w:eastAsia="Times New Roman"/>
          <w:bCs/>
          <w:color w:val="000000"/>
          <w:highlight w:val="white"/>
        </w:rPr>
        <w:t xml:space="preserve"> по электронному адресу: </w:t>
      </w:r>
      <w:hyperlink r:id="rId29" w:tooltip="https://admmegion.ru/programs/municipal/programmy-2024/zhkk/." w:history="1">
        <w:r>
          <w:rPr>
            <w:rStyle w:val="999"/>
            <w:rFonts w:ascii="Times New Roman" w:hAnsi="Times New Roman" w:eastAsia="Times New Roman"/>
            <w:highlight w:val="white"/>
            <w:shd w:val="clear" w:color="auto" w:fill="ffff00"/>
            <w:lang w:eastAsia="ru-RU"/>
          </w:rPr>
          <w:t xml:space="preserve">https://admmegion.ru/programs/municipal/programmy-2024/zhkk/</w:t>
        </w:r>
        <w:r>
          <w:rPr>
            <w:rStyle w:val="999"/>
            <w:rFonts w:ascii="Times New Roman" w:hAnsi="Times New Roman" w:eastAsia="Times New Roman"/>
            <w:bCs/>
            <w:highlight w:val="white"/>
          </w:rPr>
          <w:t xml:space="preserve">.</w:t>
        </w:r>
      </w:hyperlink>
      <w:r/>
      <w:r>
        <w:rPr>
          <w:rStyle w:val="999"/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жилищно-коммунального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/>
          <w:highlight w:val="white"/>
        </w:rPr>
        <w:t xml:space="preserve">Цел</w:t>
      </w:r>
      <w:r>
        <w:rPr>
          <w:rFonts w:ascii="Times New Roman" w:hAnsi="Times New Roman"/>
          <w:highlight w:val="white"/>
        </w:rPr>
        <w:t xml:space="preserve">ью муниципальной программы является развитие жилищно-коммунального комплекса и повышение энергетической эффективности, создание условий для комфортного проживания граждан, повышение качества и надежности предоставления жилищно-коммунальных услуг населению.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Уточненный объем бюджетных ассигнований составляет 503 093,4 тыс. рублей, исполнено 150 185,8 тыс. рублей, или 29,9%, в том числе:</w:t>
      </w:r>
      <w:r>
        <w:rPr>
          <w:rFonts w:ascii="Times New Roman" w:hAnsi="Times New Roman" w:eastAsia="Times New Roman"/>
          <w:highlight w:val="white"/>
        </w:rPr>
      </w:r>
    </w:p>
    <w:p>
      <w:pPr>
        <w:jc w:val="right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27"/>
        <w:gridCol w:w="1559"/>
        <w:gridCol w:w="1559"/>
        <w:gridCol w:w="1417"/>
        <w:gridCol w:w="1701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456 601,4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503 093,4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150 185,8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29,9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0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10 137,2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93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49 890,2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7 553,0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389 021,0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503 093,4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150 185,8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29,9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160 977,9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167 643,7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42 846,0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25,6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5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228 043,1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335 449,7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107 339,7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32,0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</w:tbl>
    <w:p>
      <w:pPr>
        <w:ind w:firstLine="709"/>
        <w:jc w:val="both"/>
        <w:shd w:val="clear" w:color="ffffff" w:themeColor="background1" w:fill="ffffff" w:themeFill="background1"/>
        <w:widowControl w:val="off"/>
        <w:rPr>
          <w:rFonts w:ascii="Times New Roman" w:hAnsi="Times New Roman"/>
          <w:highlight w:val="yellow"/>
        </w:rPr>
        <w:outlineLvl w:val="1"/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проектной части муниципальной программы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486"/>
        <w:gridCol w:w="1341"/>
        <w:gridCol w:w="1276"/>
        <w:gridCol w:w="1134"/>
        <w:gridCol w:w="850"/>
        <w:gridCol w:w="2126"/>
      </w:tblGrid>
      <w:tr>
        <w:tblPrEx/>
        <w:trPr>
          <w:trHeight w:val="1612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1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612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Региональные проекты, направленные на достижение целей, показателей и решение задач национального проекта,                                                                                    из них: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382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- Региональный проект "Модернизация коммунальной инфраструктуры"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67 580,4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основании уведомлений ХМАО-Югры бюджетные ассигнования отозваны, в связи с отсутствием объектов для проведения работ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87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10 137,2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8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49 890,2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86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7 553,0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widowControl w:val="off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процессной части муниципальной программы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»</w:t>
      </w:r>
      <w:r>
        <w:rPr>
          <w:rFonts w:ascii="Times New Roman" w:hAnsi="Times New Roman"/>
          <w:highlight w:val="white"/>
        </w:rPr>
      </w:r>
    </w:p>
    <w:p>
      <w:pPr>
        <w:jc w:val="right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538"/>
        <w:gridCol w:w="1289"/>
        <w:gridCol w:w="1276"/>
        <w:gridCol w:w="1134"/>
        <w:gridCol w:w="850"/>
        <w:gridCol w:w="2126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389 021,0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503 093,4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150 185,8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29,9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55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стабильной благополучной эпизоотической обстановки в городе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и защита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населения от болезней, общих для человека и животных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2 839,1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5 392,6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822,2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Финансирование осуществляется по факту выполненных работ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на основании заключенных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муниципальных контрактов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3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1 060,0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1 060,0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1 779,1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4 332,6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794,2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единого порядка содержания объектов внешнего благоустройства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бюджет)</w:t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77 338,4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85 591,9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37 206,6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43,5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Заключены муниципальные контракты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ko-KR"/>
              </w:rPr>
              <w:t xml:space="preserve">на проведение первоочередных мероприятий направленных на содержание объектов внешнего благоустройства. Оплата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Строительство кладбища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(местный бюджет)</w:t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20 283,8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18 852,2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3 552,6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16 646,9 тыс. рублей.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ko-KR"/>
              </w:rPr>
              <w:t xml:space="preserve">Оплата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Реконструкция, расширение, модернизация, строительство и капитальный ремонт объектов коммунального комплекса</w:t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245 094,0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245 094,0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 связи с сезонным характером работ реализация мероприятий планируется в 3, 4 кварталах 2025 года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51 744,9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51 744,9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193 349,1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193 349,1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Возмещение недополученных доходов организациям, осуществляющим реализацию населению сжиженного газа и возмещение расходов организации за доставку населению сжиженного газа для бытовых нужд (бюджет автономного округа)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4 513,3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4 211,5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1 390,6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33,0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Заключено соглашение о предоставлении субсидии на возмещение недополученных доходов. Финансирование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Предоставление субсидии из бюджета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тепло-, водоснабжения и водоотведения и оказывающих коммунальные услуги населению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связанных с погашением задолженности за потребленные топливно-энергетические ресурсы (бюджет автономного округа)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105 154,9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105 154,9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5811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Возмещение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ресурсоснабжающим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организациям, осуществляющим регулируемый вид деятельности в сфере тепло-, водоснабжения и водоотведения, н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35 502,1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35 502,1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  <w:highlight w:val="white"/>
              </w:rPr>
              <w:t xml:space="preserve">Заключено соглашение от 05.02.2025 №08-ПК-2025 с Департаментом жилищно-коммунального комплекса и энергетики ХМАО-Югры. В целях реализации мероприятия Департаментом ЖКК и энергети</w:t>
            </w:r>
            <w:r>
              <w:rPr>
                <w:rFonts w:ascii="Times New Roman" w:hAnsi="Times New Roman" w:eastAsia="Calibri"/>
                <w:bCs/>
                <w:sz w:val="20"/>
                <w:szCs w:val="20"/>
                <w:highlight w:val="white"/>
              </w:rPr>
              <w:t xml:space="preserve">ки ХМАО-Югры разработан порядок предоставления субсидии, который в настоящее время, в установленном порядке, проходит процедуру согласования Правительством автономного округа. После утверждения порядка будет разработан поэтапный план реализации мероприятия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7 100,5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7 100,5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28 401,6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28 401,6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45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Энергосбережение в бюджетной сфере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150,3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150,3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52,8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35,1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52,8 тыс. рублей. Работы по контракту выполнены. Документация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размещения муниципального заказа на сумму 97,5 тыс. рублей в стадии подготовки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83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53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ремонт, реконструкция и ремонт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муниципального жилого фонда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3 143,9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2 006,1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63,8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2 963,4 тыс. рублей. Срок исполнения по контрактам сентябрь 2025 года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В целях реализации 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/>
          <w:highlight w:val="white"/>
        </w:rPr>
        <w:t xml:space="preserve">Обеспечение стабильной благополучной эпизоотической обстановки в городе </w:t>
      </w:r>
      <w:r>
        <w:rPr>
          <w:rFonts w:ascii="Times New Roman" w:hAnsi="Times New Roman"/>
          <w:highlight w:val="white"/>
        </w:rPr>
        <w:t xml:space="preserve">Мегионе</w:t>
      </w:r>
      <w:r>
        <w:rPr>
          <w:rFonts w:ascii="Times New Roman" w:hAnsi="Times New Roman"/>
          <w:highlight w:val="white"/>
        </w:rPr>
        <w:t xml:space="preserve"> и защита населения от болезней, общих для человека и животных</w:t>
      </w:r>
      <w:r>
        <w:rPr>
          <w:rFonts w:ascii="Times New Roman" w:hAnsi="Times New Roman" w:eastAsia="Calibri"/>
          <w:bCs/>
          <w:color w:val="000000"/>
          <w:highlight w:val="white"/>
        </w:rPr>
        <w:t xml:space="preserve">»</w:t>
      </w:r>
      <w:r>
        <w:rPr>
          <w:rFonts w:ascii="Times New Roman" w:hAnsi="Times New Roman" w:eastAsia="Calibri"/>
          <w:bCs/>
          <w:highlight w:val="white"/>
        </w:rPr>
        <w:t xml:space="preserve"> заключены муниципальные контракты на: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567" w:leader="none"/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организацию мероприятий при осуществлении деятельности по обращению с животными без владельцев с МУП «</w:t>
      </w:r>
      <w:r>
        <w:rPr>
          <w:rFonts w:ascii="Times New Roman" w:hAnsi="Times New Roman" w:eastAsia="Calibri"/>
          <w:bCs/>
          <w:highlight w:val="white"/>
        </w:rPr>
        <w:t xml:space="preserve">Тепловодоканал</w:t>
      </w:r>
      <w:r>
        <w:rPr>
          <w:rFonts w:ascii="Times New Roman" w:hAnsi="Times New Roman" w:eastAsia="Calibri"/>
          <w:bCs/>
          <w:highlight w:val="white"/>
        </w:rPr>
        <w:t xml:space="preserve">» на общую сумму 3 444,1 тыс. рублей (средства бюджета автономного округа), исполнение составило 599,3 тыс. рублей. Срок исполнения по контрактам до 31.12.2025;</w:t>
      </w:r>
      <w:r>
        <w:rPr>
          <w:rFonts w:ascii="Times New Roman" w:hAnsi="Times New Roman" w:eastAsia="Calibri"/>
          <w:bCs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осуществления мероприятий по проведение дезинсекции (</w:t>
      </w:r>
      <w:r>
        <w:rPr>
          <w:rFonts w:ascii="Times New Roman" w:hAnsi="Times New Roman" w:eastAsia="Calibri"/>
          <w:bCs/>
          <w:highlight w:val="white"/>
        </w:rPr>
        <w:t xml:space="preserve">акарицидная</w:t>
      </w:r>
      <w:r>
        <w:rPr>
          <w:rFonts w:ascii="Times New Roman" w:hAnsi="Times New Roman" w:eastAsia="Calibri"/>
          <w:bCs/>
          <w:highlight w:val="white"/>
        </w:rPr>
        <w:t xml:space="preserve"> и </w:t>
      </w:r>
      <w:r>
        <w:rPr>
          <w:rFonts w:ascii="Times New Roman" w:hAnsi="Times New Roman" w:eastAsia="Calibri"/>
          <w:bCs/>
          <w:highlight w:val="white"/>
        </w:rPr>
        <w:t xml:space="preserve">ларвицидная</w:t>
      </w:r>
      <w:r>
        <w:rPr>
          <w:rFonts w:ascii="Times New Roman" w:hAnsi="Times New Roman" w:eastAsia="Calibri"/>
          <w:bCs/>
          <w:highlight w:val="white"/>
        </w:rPr>
        <w:t xml:space="preserve"> обработка) и дератизации на территории города </w:t>
      </w:r>
      <w:r>
        <w:rPr>
          <w:rFonts w:ascii="Times New Roman" w:hAnsi="Times New Roman" w:eastAsia="Calibri"/>
          <w:bCs/>
          <w:highlight w:val="white"/>
        </w:rPr>
        <w:t xml:space="preserve">Мегиона</w:t>
      </w:r>
      <w:r>
        <w:rPr>
          <w:rFonts w:ascii="Times New Roman" w:hAnsi="Times New Roman" w:eastAsia="Calibri"/>
          <w:bCs/>
          <w:highlight w:val="white"/>
        </w:rPr>
        <w:t xml:space="preserve"> с ИП Коневым В.А. на общую сумму по 888,5 тыс. рублей (средства бюджета автономного округа), исполнение составило 195,0 тыс. рублей. Срок исполнения по контрактам июль, сентябрь 2025 года;</w:t>
      </w:r>
      <w:r>
        <w:rPr>
          <w:rFonts w:ascii="Times New Roman" w:hAnsi="Times New Roman" w:eastAsia="Calibri"/>
          <w:bCs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организацию вывоза биологических отходов с ИП Девайкиной А.В. на сумму 60,0 тыс. рублей (средства местного бюджета), исполнение составило 27,9 тыс. рублей. Срок исполнения по контракту до декабря 2025 года. </w:t>
      </w:r>
      <w:r>
        <w:rPr>
          <w:rFonts w:ascii="Times New Roman" w:hAnsi="Times New Roman" w:eastAsia="Calibri"/>
          <w:bCs/>
          <w:highlight w:val="white"/>
        </w:rPr>
      </w:r>
    </w:p>
    <w:p>
      <w:pPr>
        <w:ind w:firstLine="709"/>
        <w:jc w:val="both"/>
        <w:tabs>
          <w:tab w:val="left" w:pos="709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В целях реализации </w:t>
      </w:r>
      <w:r>
        <w:rPr>
          <w:rFonts w:ascii="Times New Roman" w:hAnsi="Times New Roman"/>
          <w:bCs/>
          <w:highlight w:val="white"/>
        </w:rPr>
        <w:t xml:space="preserve">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/>
          <w:highlight w:val="white"/>
        </w:rPr>
        <w:t xml:space="preserve">Обеспечение единого порядка содержания объектов внешнего благоустройства</w:t>
      </w:r>
      <w:r>
        <w:rPr>
          <w:rFonts w:ascii="Times New Roman" w:hAnsi="Times New Roman" w:eastAsia="Batang"/>
          <w:highlight w:val="white"/>
          <w:lang w:eastAsia="ko-KR"/>
        </w:rPr>
        <w:t xml:space="preserve">» муниципальной программы бюджетные средства направлены на проведение первоочередных мероприятий направленных на содержание объектов внешнего благоустройство в сумме 85 591,9 тыс. рублей, исполнение составило 37 206,6 тыс. рублей, включая:</w:t>
      </w:r>
      <w:r>
        <w:rPr>
          <w:rFonts w:ascii="Times New Roman" w:hAnsi="Times New Roman" w:eastAsia="Batang"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потребление электроэнергии и обслуживание сетей уличного освещения;</w:t>
      </w:r>
      <w:r>
        <w:rPr>
          <w:rFonts w:ascii="Times New Roman" w:hAnsi="Times New Roman" w:eastAsia="Batang"/>
          <w:highlight w:val="white"/>
        </w:rPr>
      </w:r>
    </w:p>
    <w:p>
      <w:pPr>
        <w:pStyle w:val="996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yellow"/>
        </w:rPr>
      </w:pPr>
      <w:r>
        <w:rPr>
          <w:rFonts w:ascii="Times New Roman" w:hAnsi="Times New Roman" w:eastAsia="Calibri"/>
          <w:bCs/>
          <w:highlight w:val="white"/>
        </w:rPr>
        <w:t xml:space="preserve">содержание кладбища;</w:t>
      </w:r>
      <w:r>
        <w:rPr>
          <w:rFonts w:ascii="Times New Roman" w:hAnsi="Times New Roman" w:eastAsia="Calibri"/>
          <w:bCs/>
          <w:highlight w:val="yellow"/>
        </w:rPr>
      </w:r>
    </w:p>
    <w:p>
      <w:pPr>
        <w:pStyle w:val="996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ремонт и содержание площадей и скверов;</w:t>
      </w:r>
      <w:r>
        <w:rPr>
          <w:rFonts w:ascii="Times New Roman" w:hAnsi="Times New Roman" w:eastAsia="Calibri"/>
          <w:bCs/>
          <w:highlight w:val="white"/>
        </w:rPr>
      </w:r>
    </w:p>
    <w:p>
      <w:pPr>
        <w:pStyle w:val="996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обслуживание и эксплуатация туалетного модуля «Парк на берегу </w:t>
      </w:r>
      <w:r>
        <w:rPr>
          <w:rFonts w:ascii="Times New Roman" w:hAnsi="Times New Roman" w:eastAsia="Calibri"/>
          <w:bCs/>
          <w:highlight w:val="white"/>
        </w:rPr>
        <w:t xml:space="preserve">р.Мега</w:t>
      </w:r>
      <w:r>
        <w:rPr>
          <w:rFonts w:ascii="Times New Roman" w:hAnsi="Times New Roman" w:eastAsia="Calibri"/>
          <w:bCs/>
          <w:highlight w:val="white"/>
        </w:rPr>
        <w:t xml:space="preserve">»;</w:t>
      </w:r>
      <w:r>
        <w:rPr>
          <w:rFonts w:ascii="Times New Roman" w:hAnsi="Times New Roman" w:eastAsia="Calibri"/>
          <w:bCs/>
          <w:highlight w:val="white"/>
        </w:rPr>
      </w:r>
    </w:p>
    <w:p>
      <w:pPr>
        <w:pStyle w:val="996"/>
        <w:ind w:left="709"/>
        <w:jc w:val="both"/>
        <w:tabs>
          <w:tab w:val="left" w:pos="709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покос травы, расчистку от кустарников и мелколесья на пойме реки Обь;</w:t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противопаводковые</w:t>
      </w:r>
      <w:r>
        <w:rPr>
          <w:rFonts w:ascii="Times New Roman" w:hAnsi="Times New Roman" w:eastAsia="Batang"/>
          <w:highlight w:val="white"/>
          <w:lang w:eastAsia="ko-KR"/>
        </w:rPr>
        <w:t xml:space="preserve"> мероприятия;</w:t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снос сараев, гаражей, ветхих строений;</w:t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закупку и посадку насаждений, уход за цветниками, газонами;</w:t>
      </w:r>
      <w:r>
        <w:rPr>
          <w:rFonts w:ascii="Times New Roman" w:hAnsi="Times New Roman" w:eastAsia="Batang"/>
          <w:highlight w:val="white"/>
        </w:rPr>
      </w:r>
    </w:p>
    <w:p>
      <w:pPr>
        <w:pStyle w:val="996"/>
        <w:ind w:left="709"/>
        <w:jc w:val="both"/>
        <w:tabs>
          <w:tab w:val="left" w:pos="720" w:leader="none"/>
          <w:tab w:val="left" w:pos="851" w:leader="none"/>
        </w:tabs>
        <w:rPr>
          <w:rFonts w:ascii="Times New Roman" w:hAnsi="Times New Roman" w:eastAsia="Calibri"/>
          <w:bCs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содержание и ремонт детских игровых площадок;</w:t>
      </w:r>
      <w:r>
        <w:rPr>
          <w:rFonts w:ascii="Times New Roman" w:hAnsi="Times New Roman" w:eastAsia="Calibri"/>
          <w:bCs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yellow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подготовку объектов к новогодним мероприятиям;</w:t>
      </w:r>
      <w:r>
        <w:rPr>
          <w:rFonts w:ascii="Times New Roman" w:hAnsi="Times New Roman" w:eastAsia="Batang"/>
          <w:highlight w:val="white"/>
        </w:rPr>
        <w:t xml:space="preserve">  </w:t>
      </w:r>
      <w:r>
        <w:rPr>
          <w:rFonts w:ascii="Times New Roman" w:hAnsi="Times New Roman" w:eastAsia="Batang"/>
          <w:highlight w:val="yellow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приобретение товаров в рамках подготовки к празднованию 80-летия Победы в ВОВ;</w:t>
      </w:r>
      <w:r>
        <w:rPr>
          <w:rFonts w:ascii="Times New Roman" w:hAnsi="Times New Roman" w:eastAsia="Batang"/>
          <w:highlight w:val="white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lang w:eastAsia="ko-KR"/>
        </w:rPr>
      </w:pPr>
      <w:r>
        <w:rPr>
          <w:rFonts w:ascii="Times New Roman" w:hAnsi="Times New Roman" w:eastAsia="Batang"/>
          <w:lang w:eastAsia="ko-KR"/>
        </w:rPr>
        <w:t xml:space="preserve">услуги по погребению умерших (копка могил);</w:t>
      </w:r>
      <w:r>
        <w:rPr>
          <w:rFonts w:ascii="Times New Roman" w:hAnsi="Times New Roman" w:eastAsia="Batang"/>
          <w:lang w:eastAsia="ko-KR"/>
        </w:rPr>
      </w:r>
    </w:p>
    <w:p>
      <w:pPr>
        <w:ind w:left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yellow"/>
        </w:rPr>
      </w:pPr>
      <w:r>
        <w:rPr>
          <w:rFonts w:ascii="Times New Roman" w:hAnsi="Times New Roman" w:eastAsia="Batang"/>
          <w:lang w:eastAsia="ko-KR"/>
        </w:rPr>
        <w:t xml:space="preserve">закупку малых архитектурных форм (урны, лавочки).</w:t>
      </w:r>
      <w:r>
        <w:rPr>
          <w:rFonts w:ascii="Times New Roman" w:hAnsi="Times New Roman" w:eastAsia="Batang"/>
          <w:highlight w:val="yellow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  <w:lang w:eastAsia="ko-KR"/>
        </w:rPr>
      </w:pPr>
      <w:r>
        <w:rPr>
          <w:rFonts w:ascii="Times New Roman" w:hAnsi="Times New Roman" w:eastAsia="Calibri"/>
          <w:bCs/>
          <w:highlight w:val="white"/>
        </w:rPr>
        <w:t xml:space="preserve">В целях реализации </w:t>
      </w:r>
      <w:r>
        <w:rPr>
          <w:rFonts w:ascii="Times New Roman" w:hAnsi="Times New Roman"/>
          <w:bCs/>
          <w:highlight w:val="white"/>
        </w:rPr>
        <w:t xml:space="preserve">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 w:eastAsia="Batang"/>
          <w:highlight w:val="white"/>
          <w:lang w:eastAsia="ko-KR"/>
        </w:rPr>
        <w:t xml:space="preserve">Строительство кладбища» заключены муниципальные контракты на:</w:t>
      </w:r>
      <w:r>
        <w:rPr>
          <w:rFonts w:ascii="Times New Roman" w:hAnsi="Times New Roman" w:eastAsia="Batang"/>
          <w:highlight w:val="white"/>
          <w:lang w:eastAsia="ko-KR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  <w:lang w:eastAsia="ko-KR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выполнение работ по объекту «Городское кладбище (2-я очередь) </w:t>
      </w:r>
      <w:r>
        <w:rPr>
          <w:rFonts w:ascii="Times New Roman" w:hAnsi="Times New Roman" w:eastAsia="Batang"/>
          <w:highlight w:val="white"/>
          <w:lang w:val="en-US" w:eastAsia="ko-KR"/>
        </w:rPr>
        <w:t xml:space="preserve">II</w:t>
      </w:r>
      <w:r>
        <w:rPr>
          <w:rFonts w:ascii="Times New Roman" w:hAnsi="Times New Roman" w:eastAsia="Batang"/>
          <w:highlight w:val="white"/>
          <w:lang w:eastAsia="ko-KR"/>
        </w:rPr>
        <w:t xml:space="preserve"> этап строительства» на общую сумму 4 152,6 тыс. рублей, исполнение составило 3 552,6 тыс. рублей. Срок исполнения – июль 2025 года;</w:t>
      </w:r>
      <w:r>
        <w:rPr>
          <w:rFonts w:ascii="Times New Roman" w:hAnsi="Times New Roman" w:eastAsia="Batang"/>
          <w:highlight w:val="white"/>
          <w:lang w:eastAsia="ko-KR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  <w:highlight w:val="white"/>
          <w:lang w:eastAsia="ko-KR"/>
        </w:rPr>
        <w:t xml:space="preserve">выполнение работ по объекту «Городское кладбище (3-я очередь)» на общую сумму 11 898,9 тыс. рублей.</w:t>
      </w:r>
      <w:r>
        <w:rPr>
          <w:rFonts w:ascii="Times New Roman" w:hAnsi="Times New Roman" w:eastAsia="Batang"/>
          <w:highlight w:val="white"/>
        </w:rPr>
        <w:t xml:space="preserve"> Срок исполнения – август 2025 года;</w:t>
      </w:r>
      <w:r>
        <w:rPr>
          <w:rFonts w:ascii="Times New Roman" w:hAnsi="Times New Roman" w:eastAsia="Batang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Batang"/>
        </w:rPr>
        <w:t xml:space="preserve">выполнение работ по разработке проекта санитарно-защитной зоны для кладбищ в городе</w:t>
      </w:r>
      <w:r>
        <w:rPr>
          <w:rFonts w:ascii="Times New Roman" w:hAnsi="Times New Roman" w:eastAsia="Batang"/>
          <w:highlight w:val="white"/>
        </w:rPr>
        <w:t xml:space="preserve"> </w:t>
      </w:r>
      <w:r>
        <w:rPr>
          <w:rFonts w:ascii="Times New Roman" w:hAnsi="Times New Roman" w:eastAsia="Batang"/>
          <w:highlight w:val="white"/>
        </w:rPr>
        <w:t xml:space="preserve">Мегион</w:t>
      </w:r>
      <w:r>
        <w:rPr>
          <w:rFonts w:ascii="Times New Roman" w:hAnsi="Times New Roman" w:eastAsia="Batang"/>
          <w:highlight w:val="white"/>
        </w:rPr>
        <w:t xml:space="preserve"> на сумму 595,4 тыс. рублей. Срок исполнения – август 2025 года.</w:t>
      </w:r>
      <w:r>
        <w:rPr>
          <w:rFonts w:ascii="Times New Roman" w:hAnsi="Times New Roman" w:eastAsia="Batang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В целях реализации 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«</w:t>
      </w:r>
      <w:r>
        <w:rPr>
          <w:rFonts w:ascii="Times New Roman" w:hAnsi="Times New Roman" w:eastAsia="Batang"/>
          <w:highlight w:val="white"/>
          <w:lang w:eastAsia="ko-KR"/>
        </w:rPr>
        <w:t xml:space="preserve">Реконструкция, расширение, модернизация, строительство и капитальный ремонт объектов коммунального комплекса</w:t>
      </w:r>
      <w:r>
        <w:rPr>
          <w:rFonts w:ascii="Times New Roman" w:hAnsi="Times New Roman" w:eastAsia="Calibri"/>
          <w:bCs/>
          <w:color w:val="000000"/>
          <w:highlight w:val="white"/>
        </w:rPr>
        <w:t xml:space="preserve">»</w:t>
      </w:r>
      <w:r>
        <w:rPr>
          <w:rFonts w:ascii="Times New Roman" w:hAnsi="Times New Roman" w:eastAsia="Calibri"/>
          <w:bCs/>
          <w:highlight w:val="white"/>
        </w:rPr>
        <w:t xml:space="preserve"> муниципальной программы бюджетные средства в сумме 245 094,0 тыс. рублей направлены на: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капит</w:t>
      </w:r>
      <w:r>
        <w:rPr>
          <w:rFonts w:ascii="Times New Roman" w:hAnsi="Times New Roman" w:eastAsia="Calibri"/>
          <w:bCs/>
          <w:highlight w:val="white"/>
        </w:rPr>
        <w:t xml:space="preserve">альный ремонт (с заменой) систем газораспределения, теплоснабжения, водоснабжения и водоотведения, в том числе с применением композитных материалов, используется в целях обеспечения бесперебойной работы в осенне-зимний период в сумме 227 469,6 тыс. рублей </w:t>
      </w:r>
      <w:r>
        <w:rPr>
          <w:rFonts w:ascii="Times New Roman" w:hAnsi="Times New Roman" w:eastAsia="Cambria"/>
          <w:bCs/>
          <w:highlight w:val="white"/>
        </w:rPr>
        <w:t xml:space="preserve">(средства местного бюджета 34 120,5 тыс. рублей, средства бюджета автономного округа 193 349,1 тыс. рублей)</w:t>
      </w:r>
      <w:r>
        <w:rPr>
          <w:rFonts w:ascii="Times New Roman" w:hAnsi="Times New Roman" w:eastAsia="Calibri"/>
          <w:bCs/>
          <w:highlight w:val="white"/>
        </w:rPr>
        <w:t xml:space="preserve">. Заключено соглашение от 11.02.2025 №08-ОЗП-2025 с Департаментом жилищно-коммунального комплекса и энергетики ХМАО-Югры. В </w:t>
      </w:r>
      <w:r>
        <w:rPr>
          <w:rFonts w:ascii="Times New Roman" w:hAnsi="Times New Roman" w:eastAsia="Calibri"/>
          <w:bCs/>
          <w:highlight w:val="white"/>
        </w:rPr>
        <w:t xml:space="preserve">связи с сезонным проведением ремонтных работ выполнение планируется в летний, осенний период 2025 года. Финансирование осуществляется по факту выполненных работ; 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реконструкцию и расширение КОС до 4000м3/</w:t>
      </w:r>
      <w:r>
        <w:rPr>
          <w:rFonts w:ascii="Times New Roman" w:hAnsi="Times New Roman" w:eastAsia="Calibri"/>
          <w:bCs/>
          <w:highlight w:val="white"/>
        </w:rPr>
        <w:t xml:space="preserve">сут</w:t>
      </w:r>
      <w:r>
        <w:rPr>
          <w:rFonts w:ascii="Times New Roman" w:hAnsi="Times New Roman" w:eastAsia="Calibri"/>
          <w:bCs/>
          <w:highlight w:val="white"/>
        </w:rPr>
        <w:t xml:space="preserve"> в </w:t>
      </w:r>
      <w:r>
        <w:rPr>
          <w:rFonts w:ascii="Times New Roman" w:hAnsi="Times New Roman" w:eastAsia="Calibri"/>
          <w:bCs/>
          <w:highlight w:val="white"/>
        </w:rPr>
        <w:t xml:space="preserve">пгт.Высокий</w:t>
      </w:r>
      <w:r>
        <w:rPr>
          <w:rFonts w:ascii="Times New Roman" w:hAnsi="Times New Roman" w:eastAsia="Calibri"/>
          <w:bCs/>
          <w:highlight w:val="white"/>
        </w:rPr>
        <w:t xml:space="preserve"> (ПИР) в сумме 15 525,4 тыс.</w:t>
      </w:r>
      <w:r>
        <w:rPr>
          <w:rFonts w:ascii="Times New Roman" w:hAnsi="Times New Roman" w:eastAsia="Calibri"/>
          <w:bCs/>
          <w:highlight w:val="white"/>
        </w:rPr>
        <w:t xml:space="preserve"> </w:t>
      </w:r>
      <w:r>
        <w:rPr>
          <w:rFonts w:ascii="Times New Roman" w:hAnsi="Times New Roman" w:eastAsia="Calibri"/>
          <w:bCs/>
          <w:highlight w:val="white"/>
        </w:rPr>
        <w:t xml:space="preserve">рублей. Заключен муниципальный контракт на сумму 15 525,4 тыс. рублей. Срок исполнения по контракту – декабрь 2025 года;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проверку работоспособности и ремонту и/или замены пожарных гидрантов в сумме 1 500,0 тыс. рублей. Соглашение о предоставлении субсидии </w:t>
      </w:r>
      <w:r>
        <w:rPr>
          <w:rFonts w:ascii="Times New Roman" w:hAnsi="Times New Roman" w:eastAsia="Calibri"/>
          <w:highlight w:val="white"/>
        </w:rPr>
        <w:t xml:space="preserve">планируется заключить в третьем квартале 2025 года; 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tabs>
          <w:tab w:val="left" w:pos="720" w:leader="none"/>
          <w:tab w:val="left" w:pos="993" w:leader="none"/>
        </w:tabs>
        <w:rPr>
          <w:rFonts w:ascii="Times New Roman" w:hAnsi="Times New Roman" w:eastAsia="Batang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актуализацию схемы водоснабжения, водоотведения, теплоснабжения в сумме 599,0 тыс. рублей. Схема теплоснабжения находится в стадии разработки и согласования. Освоение средств планируется в декабре 2025 года.</w:t>
      </w:r>
      <w:r>
        <w:rPr>
          <w:rFonts w:ascii="Times New Roman" w:hAnsi="Times New Roman" w:eastAsia="Batang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ab/>
      </w:r>
      <w:r>
        <w:rPr>
          <w:rFonts w:ascii="Times New Roman" w:hAnsi="Times New Roman" w:eastAsia="Calibri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15.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«Мероприятия в области градостроительной деятельности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           Муниципальная программа «Мероприятия в области градостроительной деятельности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утверждена постановлением администрации города от 21.12.2023 №2168</w:t>
      </w:r>
      <w:r>
        <w:rPr>
          <w:rFonts w:ascii="Times New Roman" w:hAnsi="Times New Roman" w:eastAsia="Times New Roman"/>
          <w:bCs/>
          <w:color w:val="000000"/>
        </w:rPr>
        <w:t xml:space="preserve"> </w:t>
      </w:r>
      <w:r>
        <w:rPr>
          <w:rFonts w:ascii="Times New Roman" w:hAnsi="Times New Roman" w:eastAsia="Times New Roman"/>
          <w:bCs/>
          <w:lang w:eastAsia="ru-RU"/>
        </w:rPr>
        <w:t xml:space="preserve">(с изменениями)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(далее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30" w:tooltip="https://admmegion.ru/programs/municipal/programmy-2024/gradstroy/" w:history="1">
        <w:r>
          <w:rPr>
            <w:rStyle w:val="999"/>
          </w:rPr>
          <w:t xml:space="preserve">https://admmegion.ru/programs/municipal/programmy-2024/gradstroy/</w:t>
        </w:r>
      </w:hyperlink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          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- </w:t>
      </w:r>
      <w:r>
        <w:rPr>
          <w:rFonts w:ascii="Times New Roman" w:hAnsi="Times New Roman"/>
        </w:rPr>
        <w:t xml:space="preserve">департамент землеустройства и градостроительства администрации города.</w:t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lang w:eastAsia="ru-RU"/>
        </w:rPr>
        <w:t xml:space="preserve">Целью программы является г</w:t>
      </w:r>
      <w:r>
        <w:rPr>
          <w:rFonts w:ascii="Times New Roman" w:hAnsi="Times New Roman"/>
        </w:rPr>
        <w:t xml:space="preserve">радостроительная деятельность, направленная на обеспечение устойчивого пространственного развития в городском округе </w:t>
      </w:r>
      <w:r>
        <w:rPr>
          <w:rFonts w:ascii="Times New Roman" w:hAnsi="Times New Roman"/>
        </w:rPr>
        <w:t xml:space="preserve">Мегион</w:t>
      </w:r>
      <w:r>
        <w:rPr>
          <w:rFonts w:ascii="Times New Roman" w:hAnsi="Times New Roman"/>
        </w:rPr>
        <w:t xml:space="preserve">, формирование комфортной городской среды и повышение качества жизни населения</w:t>
      </w:r>
      <w:r>
        <w:t xml:space="preserve">, на </w:t>
      </w:r>
      <w:r>
        <w:rPr>
          <w:rFonts w:ascii="Times New Roman" w:hAnsi="Times New Roman"/>
        </w:rPr>
        <w:t xml:space="preserve">увеличение объема жилищного строительства и обеспечение 2030 году доступными и качественными жилищно-коммунальными услугами.</w:t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10 646,4</w:t>
      </w:r>
      <w:r>
        <w:rPr>
          <w:rFonts w:ascii="Times New Roman" w:hAnsi="Times New Roman"/>
        </w:rPr>
        <w:t xml:space="preserve"> тыс. рублей</w:t>
      </w:r>
      <w:r>
        <w:rPr>
          <w:rFonts w:ascii="Times New Roman" w:hAnsi="Times New Roman"/>
          <w:bCs/>
        </w:rPr>
        <w:t xml:space="preserve">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837"/>
        <w:gridCol w:w="1565"/>
        <w:gridCol w:w="850"/>
      </w:tblGrid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487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10 646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10 646,4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10 646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10 646,4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20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745,4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745,4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9 901,1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9 901,1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«Мероприятия в области градостроительной деятельности города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right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Theme="minorHAnsi"/>
        </w:rPr>
      </w:r>
    </w:p>
    <w:tbl>
      <w:tblPr>
        <w:tblW w:w="5068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528"/>
        <w:gridCol w:w="1276"/>
        <w:gridCol w:w="1276"/>
        <w:gridCol w:w="1559"/>
        <w:gridCol w:w="992"/>
        <w:gridCol w:w="1679"/>
      </w:tblGrid>
      <w:tr>
        <w:tblPrEx/>
        <w:trPr/>
        <w:tc>
          <w:tcPr>
            <w:gridSpan w:val="2"/>
            <w:tcW w:w="29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10 646,4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10 646,4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7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Совершенствование системы управления градостроительным развитием территории,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3 268,9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3 268,9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3325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Заключено 6 муниципальных контрактов на пров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едения работ по разработке проектов планировки и проектов межевания территории улично-дорожной сети (ул. Строителей, ул. Ленина, ул. Транспортная, ул. 50 лет Октября, ул. Садовая, ул. Геологов) в сумме 1 955,9 тыс. рублей, срок исполнения работ 28.11.2025.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863"/>
        </w:trPr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8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228,8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228,8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7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82"/>
        </w:trPr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8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3 040,1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3 040,1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7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8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7 377,5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7 377,5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22.07.2025 заключен муниципальный контракт на выполнение работ по отсыпке и выравнивание рельефа территории под индивидуальное жилищное строительство на сумму 3 979,8 тыс. рублей, срок выполнения работ 15.09.2025.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8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516,5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516,5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7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8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6 861,0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6 861,0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7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16.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«Формирование доступной среды для инвалидов и других маломобильных групп населения на территории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«Формирование доступной среды для инвалидов и других маломобильных групп населения на территории города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    постановлением     администрации    города от 21.12.2023 №2167</w:t>
      </w:r>
      <w:r>
        <w:rPr>
          <w:rFonts w:ascii="Times New Roman" w:hAnsi="Times New Roman" w:eastAsia="Times New Roman"/>
          <w:bCs/>
          <w:color w:val="000000"/>
        </w:rPr>
        <w:t xml:space="preserve"> </w:t>
      </w:r>
      <w:r>
        <w:rPr>
          <w:rFonts w:ascii="Times New Roman" w:hAnsi="Times New Roman" w:eastAsia="Times New Roman"/>
          <w:bCs/>
          <w:lang w:eastAsia="ru-RU"/>
        </w:rPr>
        <w:t xml:space="preserve">(с изменениями)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(далее муниципальная программа).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</w:t>
      </w:r>
      <w:r>
        <w:t xml:space="preserve"> </w:t>
      </w:r>
      <w:hyperlink r:id="rId31" w:tooltip="https://admmegion.ru/programs/municipal/programmy-2024/dostupnaya-sreda/" w:history="1">
        <w:r>
          <w:rPr>
            <w:rStyle w:val="999"/>
            <w:rFonts w:ascii="Times New Roman" w:hAnsi="Times New Roman"/>
          </w:rPr>
          <w:t xml:space="preserve">https://admmegion.ru/programs/municipal/programmy-2024/dostupnaya-sreda/</w:t>
        </w:r>
      </w:hyperlink>
      <w:r>
        <w:rPr>
          <w:rFonts w:ascii="Times New Roman" w:hAnsi="Times New Roman"/>
        </w:rPr>
        <w:t xml:space="preserve"> </w:t>
      </w:r>
      <w:r>
        <w:t xml:space="preserve">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hAnsi="Times New Roman"/>
        </w:rPr>
        <w:t xml:space="preserve">муниципальное казенное учреждение «Управление жилищно-коммунального комплекса».</w:t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</w:t>
      </w:r>
      <w:r>
        <w:rPr>
          <w:rFonts w:ascii="Times New Roman" w:hAnsi="Times New Roman"/>
        </w:rPr>
        <w:t xml:space="preserve">создание правовых экономических и институциональных условий, способствующих интеграции инвалидов в общество и повышению уровня их жизни.</w:t>
      </w:r>
      <w:r>
        <w:rPr>
          <w:rFonts w:ascii="Times New Roman" w:hAnsi="Times New Roman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16 208,9 </w:t>
      </w:r>
      <w:r>
        <w:rPr>
          <w:rFonts w:ascii="Times New Roman" w:hAnsi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</w:t>
      </w:r>
      <w:r>
        <w:rPr>
          <w:rFonts w:ascii="Times New Roman" w:hAnsi="Times New Roman" w:eastAsia="Calibri"/>
        </w:rPr>
        <w:t xml:space="preserve"> 731,4 тыс. рублей</w:t>
      </w:r>
      <w:r>
        <w:rPr>
          <w:rFonts w:ascii="Times New Roman" w:hAnsi="Times New Roman"/>
          <w:bCs/>
        </w:rPr>
        <w:t xml:space="preserve">, или 4,5%,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ind w:left="8148" w:firstLine="348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6"/>
        <w:gridCol w:w="2126"/>
        <w:gridCol w:w="2093"/>
        <w:gridCol w:w="1418"/>
        <w:gridCol w:w="741"/>
      </w:tblGrid>
      <w:tr>
        <w:tblPrEx/>
        <w:trPr>
          <w:trHeight w:val="118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16 275,8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16 208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731,4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16 275,8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16 208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731,4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13 275,8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13 208,9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731,4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3 000,0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«Формирование доступной среды для инвалидов и других маломобильных групп населения на территории города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708"/>
        <w:jc w:val="both"/>
        <w:widowControl w:val="o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    </w:t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center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 w:eastAsiaTheme="minorHAnsi"/>
        </w:rPr>
      </w:r>
    </w:p>
    <w:tbl>
      <w:tblPr>
        <w:tblW w:w="499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2529"/>
        <w:gridCol w:w="1276"/>
        <w:gridCol w:w="1276"/>
        <w:gridCol w:w="1559"/>
        <w:gridCol w:w="846"/>
        <w:gridCol w:w="1825"/>
      </w:tblGrid>
      <w:tr>
        <w:tblPrEx/>
        <w:trPr/>
        <w:tc>
          <w:tcPr>
            <w:gridSpan w:val="2"/>
            <w:tcW w:w="28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283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16 275,8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16 208,9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731,4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25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6 300,0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6 233,1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282,0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 контракт на обустройство входной группы для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маломобильных групп населения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в МАДОУ «Детский сад №10 «Золотая рыбка» на сумму 200,3 тыс. рублей, срок выполнения работ до 31.07.2025;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 контракта на обустройство туалетной комнаты в МБУ ДО «ДШИ им. Кузьмина» в сумме 760,0 тыс. рублей, срок выполнения работ до 25.08.2025;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 контракт на обустройство входной группы для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маломобильных групп населения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в МБУ «ЦБС» на сумму 102,6 тыс. рублей, срок выполнения работ до 15.07.2025.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9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Формирование доступности жилых помещений и общего имущества в многоквартирном доме, в котором расположены жилые помещения для инвалидов и других маломобильных групп населения, 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9 975,8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9 975,8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449,4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Заключены контракты на техническое обслуживание семи наклонных подъемников для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маломобильных групп населения в г.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пгт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Высокий на сумму 885,4 тыс. рублей,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срок выполнения работ до 24.12.2025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заключены контракты на обустройство входной группы в г.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Мегионе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по: ул. Нефтяников, дом 5 (2 подъезд)  и ул. Строителей 2/1 (1 подъезд) в сумме 3 369,6 тыс. рублей, срок выполнения работ до 24.12.2025.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9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6 975,8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6 750,0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449,4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3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529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</w:tbl>
    <w:p>
      <w:pPr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17.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«Профилактика правонарушений в сфере общественного порядка, незаконного оборота и злоупотребления наркотиками в городе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ind w:firstLine="709"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  <w:lang w:eastAsia="ru-RU"/>
        </w:rPr>
        <w:t xml:space="preserve">Муниципальная программа «Профилактика правонарушений в сфере общественного порядка, незаконного оборота и злоупотребления наркотиками в городе </w:t>
      </w:r>
      <w:r>
        <w:rPr>
          <w:rFonts w:ascii="Times New Roman" w:hAnsi="Times New Roman" w:eastAsia="Times New Roman"/>
          <w:bCs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lang w:eastAsia="ru-RU"/>
        </w:rPr>
        <w:t xml:space="preserve">» утверждена постановлением администрации города от 21.12.2023 №2079 (с изменениями) (далее муниципальная программа).</w:t>
      </w:r>
      <w:r>
        <w:rPr>
          <w:rFonts w:ascii="Times New Roman" w:hAnsi="Times New Roman" w:eastAsia="Times New Roman"/>
          <w:bCs/>
        </w:rPr>
      </w:r>
    </w:p>
    <w:p>
      <w:pPr>
        <w:ind w:firstLine="708"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о электронному адресу: </w:t>
      </w:r>
      <w:hyperlink r:id="rId32" w:tooltip="https://admmegion.ru/programs/municipal/programmy-2024/profilaktika-pravonarusheniy/" w:history="1">
        <w:r>
          <w:rPr>
            <w:rStyle w:val="999"/>
          </w:rPr>
          <w:t xml:space="preserve">https://admmegion.ru/programs/municipal/programmy-2024/profilaktika-pravonarusheniy/</w:t>
        </w:r>
      </w:hyperlink>
      <w:r>
        <w:t xml:space="preserve"> 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/>
          <w:bCs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Ответственный исполнитель муниципальной программы - </w:t>
      </w:r>
      <w:r>
        <w:rPr>
          <w:rFonts w:ascii="Times New Roman" w:hAnsi="Times New Roman"/>
        </w:rPr>
        <w:t xml:space="preserve">управление общественной безопасности администрации города.</w:t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Calibri"/>
        </w:rPr>
        <w:t xml:space="preserve">  </w:t>
      </w:r>
      <w:r>
        <w:rPr>
          <w:rFonts w:ascii="Times New Roman" w:hAnsi="Times New Roman" w:eastAsia="Calibri"/>
        </w:rPr>
        <w:tab/>
        <w:t xml:space="preserve">Целью муниципальной программы является </w:t>
      </w:r>
      <w:r>
        <w:rPr>
          <w:rFonts w:ascii="Times New Roman" w:hAnsi="Times New Roman"/>
          <w:color w:val="000000" w:themeColor="text1"/>
        </w:rPr>
        <w:t xml:space="preserve">обеспечение общественного порядка, профилактика правонарушений, снижение уровня преступности; организационное, </w:t>
      </w:r>
      <w:r>
        <w:rPr>
          <w:rFonts w:ascii="Times New Roman" w:hAnsi="Times New Roman"/>
          <w:color w:val="000000" w:themeColor="text1"/>
        </w:rPr>
        <w:t xml:space="preserve">нормативное правовое и ресурсное обеспечение антинаркотической деятельности; обеспечение прав граждан в отдельных сферах жизнедеятельности</w:t>
      </w:r>
      <w:r>
        <w:rPr>
          <w:color w:val="000000" w:themeColor="text1"/>
        </w:rPr>
        <w:t xml:space="preserve">.</w:t>
      </w:r>
      <w:r>
        <w:rPr>
          <w:rFonts w:ascii="Times New Roman" w:hAnsi="Times New Roman"/>
          <w:color w:val="000000" w:themeColor="text1"/>
        </w:rPr>
      </w:r>
    </w:p>
    <w:p>
      <w:pPr>
        <w:ind w:firstLine="708"/>
        <w:jc w:val="both"/>
        <w:rPr>
          <w:color w:val="000000" w:themeColor="text1"/>
        </w:rPr>
      </w:pPr>
      <w:r>
        <w:rPr>
          <w:rFonts w:ascii="Times New Roman" w:hAnsi="Times New Roman"/>
          <w:bCs/>
        </w:rPr>
        <w:t xml:space="preserve">Уточненный объем бюджетных ассигнований составляет 1 719,5 </w:t>
      </w:r>
      <w:r>
        <w:rPr>
          <w:rFonts w:ascii="Times New Roman" w:hAnsi="Times New Roman"/>
        </w:rPr>
        <w:t xml:space="preserve">тыс. рублей</w:t>
      </w:r>
      <w:r>
        <w:rPr>
          <w:rFonts w:ascii="Times New Roman" w:hAnsi="Times New Roman"/>
          <w:bCs/>
        </w:rPr>
        <w:t xml:space="preserve">, исполнено 785,3 </w:t>
      </w:r>
      <w:r>
        <w:rPr>
          <w:rFonts w:ascii="Times New Roman" w:hAnsi="Times New Roman" w:eastAsia="Calibri"/>
        </w:rPr>
        <w:t xml:space="preserve">тыс. рублей</w:t>
      </w:r>
      <w:r>
        <w:rPr>
          <w:rFonts w:ascii="Times New Roman" w:hAnsi="Times New Roman"/>
          <w:bCs/>
        </w:rPr>
        <w:t xml:space="preserve">, или 45,7%,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color w:val="000000" w:themeColor="text1"/>
        </w:rPr>
      </w:r>
    </w:p>
    <w:p>
      <w:pPr>
        <w:ind w:left="8148" w:firstLine="348"/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</w:rPr>
      </w:r>
    </w:p>
    <w:p>
      <w:pPr>
        <w:ind w:left="8148" w:firstLine="348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984"/>
        <w:gridCol w:w="1418"/>
        <w:gridCol w:w="741"/>
      </w:tblGrid>
      <w:tr>
        <w:tblPrEx/>
        <w:trPr>
          <w:trHeight w:val="118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1 143,5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1 719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785,3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  <w:t xml:space="preserve">45,7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1 143,5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1 719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 xml:space="preserve">785,3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45,7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1 004,7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1 580,7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751,8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47,6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138,8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138,8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33,5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24,0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 </w:t>
      </w:r>
      <w:r>
        <w:rPr>
          <w:rFonts w:ascii="Times New Roman" w:hAnsi="Times New Roman"/>
        </w:rPr>
        <w:t xml:space="preserve">Процессная часть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color w:val="000000"/>
          <w:lang w:eastAsia="ru-RU"/>
        </w:rPr>
        <w:t xml:space="preserve">«Профилактика правонарушений в сфере общественного порядка, незаконного оборота и злоупотребления наркотиками в городе </w:t>
      </w:r>
      <w:r>
        <w:rPr>
          <w:rFonts w:ascii="Times New Roman" w:hAnsi="Times New Roman" w:eastAsia="Times New Roman"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color w:val="000000"/>
          <w:lang w:eastAsia="ru-RU"/>
        </w:rPr>
        <w:t xml:space="preserve">»: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>
        <w:rPr>
          <w:rFonts w:ascii="Times New Roman" w:hAnsi="Times New Roman" w:eastAsia="Times New Roman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(тыс. рублей)</w:t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2"/>
        <w:gridCol w:w="1698"/>
        <w:gridCol w:w="1275"/>
        <w:gridCol w:w="1118"/>
        <w:gridCol w:w="582"/>
        <w:gridCol w:w="1841"/>
      </w:tblGrid>
      <w:tr>
        <w:tblPrEx/>
        <w:trPr/>
        <w:tc>
          <w:tcPr>
            <w:gridSpan w:val="2"/>
            <w:tcW w:w="31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1 143,5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1 719,5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785,3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45,7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982"/>
        </w:trPr>
        <w:tc>
          <w:tcPr>
            <w:shd w:val="clear" w:color="auto" w:fill="auto"/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общественного порядка, в том числе с участием граждан,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391,5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967,5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623,8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64,5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54"/>
        </w:trPr>
        <w:tc>
          <w:tcPr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252,7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828,7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590,3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71,2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446"/>
        </w:trPr>
        <w:tc>
          <w:tcPr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138,8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138,8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33,5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24,1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39"/>
        </w:trPr>
        <w:tc>
          <w:tcP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Мероприятия, направленные на профилактику правонарушений, в том числе профилактику правонарушений среди несовершеннолетни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180,0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Запланировано изготовление наглядной информационной продукции профилактической направленности (памятки, листовки и т.д.), ожидаемое исполнение - 3-4 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профилактической антинаркотической направленности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270,0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161,5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auto" w:fill="auto"/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59,8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277"/>
        </w:trPr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Проведение информационной антинаркотической политики, просветительских мероприятий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108,0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Запланировано изготовление наглядной информационной продукции профилактической направленности (памятки, листовки и т.д.), ожидаемое исполнение - 3-4 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69"/>
        </w:trPr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Поддержка социально ориентированных некоммерческих организаций, осуществляющих свою деятельность в сфере профилактики наркомании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Конкурс на получение субсидии запланировано провести в 3 квартале 2025 года, а предоставление субсидии запланировано в 4 квартале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951"/>
        </w:trPr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28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Правовое просвещение и информирование в сфере защиты прав потребителей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Запланировано изготовление наглядной информационной продукции профилактической направленности (памятки, листовки и т.д.), ожидаемое исполнение - 3-4 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</w:tbl>
    <w:p>
      <w:pPr>
        <w:rPr>
          <w:rFonts w:ascii="Times New Roman" w:hAnsi="Times New Roman" w:eastAsia="Times New Roman"/>
          <w:b/>
          <w:bCs/>
          <w:color w:val="000000"/>
          <w:highlight w:val="yellow"/>
        </w:rPr>
      </w:pP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  <w:r>
        <w:rPr>
          <w:rFonts w:ascii="Times New Roman" w:hAnsi="Times New Roman" w:eastAsia="Times New Roman"/>
          <w:b/>
          <w:bCs/>
          <w:color w:val="000000"/>
          <w:highlight w:val="yellow"/>
        </w:rPr>
      </w:r>
    </w:p>
    <w:p>
      <w:pPr>
        <w:ind w:firstLine="709"/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18.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spacing w:after="160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  <w:lang w:eastAsia="ru-RU"/>
        </w:rPr>
        <w:t xml:space="preserve">«</w:t>
      </w:r>
      <w:r>
        <w:rPr>
          <w:rFonts w:ascii="Times New Roman" w:hAnsi="Times New Roman" w:eastAsia="Calibri"/>
          <w:b/>
        </w:rPr>
        <w:t xml:space="preserve">Укрепление межнационального и межконфессионального согласия, профилактика экстремизма и терроризма в городе </w:t>
      </w:r>
      <w:r>
        <w:rPr>
          <w:rFonts w:ascii="Times New Roman" w:hAnsi="Times New Roman" w:eastAsia="Calibri"/>
          <w:b/>
        </w:rPr>
        <w:t xml:space="preserve">Мегионе</w:t>
      </w:r>
      <w:r>
        <w:rPr>
          <w:rFonts w:ascii="Times New Roman" w:hAnsi="Times New Roman" w:eastAsia="Calibri"/>
          <w:b/>
        </w:rPr>
        <w:t xml:space="preserve">»</w:t>
      </w:r>
      <w:r>
        <w:rPr>
          <w:rFonts w:ascii="Times New Roman" w:hAnsi="Times New Roman" w:eastAsia="Calibri"/>
          <w:b/>
        </w:rPr>
      </w:r>
    </w:p>
    <w:p>
      <w:pPr>
        <w:ind w:firstLine="708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Муниципальная программа «Укрепление межнационального и межконфессионального согласия, профилактика экстремизма и терроризма в городе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» утверждена постановлением администрации города от 14.12.2023 года №2086 (</w:t>
      </w:r>
      <w:r>
        <w:rPr>
          <w:rFonts w:ascii="Times New Roman" w:hAnsi="Times New Roman" w:eastAsia="Times New Roman"/>
          <w:bCs/>
          <w:color w:val="000000"/>
          <w:lang w:val="en-US" w:eastAsia="ru-RU"/>
        </w:rPr>
        <w:t xml:space="preserve">c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изменениями) (далее-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8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</w:t>
      </w:r>
      <w:r>
        <w:rPr>
          <w:rFonts w:ascii="Times New Roman" w:hAnsi="Times New Roman" w:eastAsia="Times New Roman"/>
        </w:rPr>
        <w:t xml:space="preserve"> </w:t>
      </w:r>
      <w:hyperlink r:id="rId33" w:tooltip="https://admmegion.ru/programs/municipal/programmy-2024/profilaktika-ekstremizma/" w:history="1">
        <w:r>
          <w:rPr>
            <w:rStyle w:val="999"/>
            <w:rFonts w:ascii="Times New Roman" w:hAnsi="Times New Roman" w:eastAsia="Calibri"/>
          </w:rPr>
          <w:t xml:space="preserve">https://admmegion.ru/programs/municipal/programmy-2024/profilaktika-ekstremizma/</w:t>
        </w:r>
      </w:hyperlink>
      <w:r>
        <w:rPr>
          <w:rFonts w:ascii="Times New Roman" w:hAnsi="Times New Roman" w:eastAsia="Calibri"/>
        </w:rPr>
        <w:t xml:space="preserve"> .</w:t>
      </w:r>
      <w:r>
        <w:rPr>
          <w:rFonts w:ascii="Times New Roman" w:hAnsi="Times New Roman" w:eastAsia="Calibri"/>
        </w:rPr>
      </w:r>
    </w:p>
    <w:p>
      <w:pPr>
        <w:ind w:firstLine="708"/>
        <w:jc w:val="both"/>
        <w:rPr>
          <w:rFonts w:ascii="Times New Roman" w:hAnsi="Times New Roman" w:eastAsia="Times New Roman"/>
          <w:shd w:val="clear" w:color="auto" w:fill="ffffff"/>
        </w:rPr>
      </w:pPr>
      <w:r>
        <w:rPr>
          <w:rFonts w:ascii="Times New Roman" w:hAnsi="Times New Roman" w:eastAsia="Calibri"/>
        </w:rPr>
        <w:t xml:space="preserve">Ответственный исполнитель муниципальной программы - управление общественной безопасности администрации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Times New Roman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Calibri"/>
        </w:rPr>
        <w:t xml:space="preserve">Целью муниципальной программы является у</w:t>
      </w:r>
      <w:r>
        <w:rPr>
          <w:rFonts w:ascii="Times New Roman" w:hAnsi="Times New Roman" w:eastAsia="Times New Roman"/>
          <w:lang w:eastAsia="ru-RU"/>
        </w:rPr>
        <w:t xml:space="preserve">крепление единства народов Российской Федерации, проживающих на территории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lang w:eastAsia="ru-RU"/>
        </w:rPr>
        <w:t xml:space="preserve">, профилактика экстремизма и терроризма в городе </w:t>
      </w:r>
      <w:r>
        <w:rPr>
          <w:rFonts w:ascii="Times New Roman" w:hAnsi="Times New Roman" w:eastAsia="Times New Roman"/>
          <w:lang w:eastAsia="ru-RU"/>
        </w:rPr>
        <w:t xml:space="preserve">Мегионе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Cs/>
        </w:rPr>
        <w:t xml:space="preserve">Уточненный объем бюджетных ассигнований составляет 9 599,6 </w:t>
      </w:r>
      <w:r>
        <w:rPr>
          <w:rFonts w:ascii="Times New Roman" w:hAnsi="Times New Roman" w:eastAsia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</w:t>
      </w:r>
      <w:r>
        <w:rPr>
          <w:rFonts w:ascii="Times New Roman" w:hAnsi="Times New Roman" w:eastAsia="Calibri"/>
        </w:rPr>
        <w:t xml:space="preserve"> 3 203,6 тыс. рублей</w:t>
      </w:r>
      <w:r>
        <w:rPr>
          <w:rFonts w:ascii="Times New Roman" w:hAnsi="Times New Roman"/>
          <w:bCs/>
        </w:rPr>
        <w:t xml:space="preserve">, или 33,4%, в том числе: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ind w:left="360"/>
        <w:jc w:val="right"/>
        <w:rPr>
          <w:rFonts w:ascii="Times New Roman" w:hAnsi="Times New Roman" w:eastAsia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984"/>
        <w:gridCol w:w="1418"/>
        <w:gridCol w:w="741"/>
      </w:tblGrid>
      <w:tr>
        <w:tblPrEx/>
        <w:trPr>
          <w:trHeight w:val="118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10 569,0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9 599,6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3 203,6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33,4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10 569,0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9 599,6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3 203,6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33,4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10 373,5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9  404,1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3 089,3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32,9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195,5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114,3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58,5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/>
          <w:bCs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</w:r>
      <w:r>
        <w:rPr>
          <w:rFonts w:ascii="Times New Roman" w:hAnsi="Times New Roman" w:eastAsiaTheme="minorHAnsi"/>
        </w:rPr>
      </w:r>
    </w:p>
    <w:p>
      <w:pPr>
        <w:ind w:left="360"/>
        <w:jc w:val="right"/>
        <w:rPr>
          <w:rFonts w:ascii="Times New Roman" w:hAnsi="Times New Roman" w:eastAsiaTheme="minorHAnsi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(тыс. рублей)</w:t>
      </w:r>
      <w:r>
        <w:rPr>
          <w:rFonts w:ascii="Times New Roman" w:hAnsi="Times New Roman" w:eastAsiaTheme="minorHAnsi"/>
        </w:rPr>
      </w:r>
    </w:p>
    <w:tbl>
      <w:tblPr>
        <w:tblW w:w="50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1559"/>
        <w:gridCol w:w="1666"/>
        <w:gridCol w:w="1589"/>
        <w:gridCol w:w="1139"/>
      </w:tblGrid>
      <w:tr>
        <w:tblPrEx/>
        <w:trPr/>
        <w:tc>
          <w:tcPr>
            <w:gridSpan w:val="2"/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10 569,0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9 599,6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3 203,6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33,4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Содействие этнокультурному развитию народов, формированию общероссийского гражданского самосознания, патриотизма и солидарности,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492,0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203,2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41,3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349,5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349,5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141,9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40,6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142,5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61,3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43,0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 принадлежностью,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176,7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176,7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132,5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75,0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123,7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123,7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79,5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64,2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Социальная и культурная адаптация иностранных граждан (мигрантов)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193,0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193,0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Профилактика экстремизма в молодежной среде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44,0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Мероприятия по информационному противодействию идеологии терроризма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95,4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5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317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Обеспечение выполнения требований антитеррористической защищенности объектов массового пребывания людей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9 467,9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8 498,5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2 867,9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33,8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Бюджетные ассигнования направляются </w:t>
      </w:r>
      <w:r>
        <w:rPr>
          <w:rFonts w:ascii="Times New Roman" w:hAnsi="Times New Roman" w:eastAsia="Calibri"/>
        </w:rPr>
        <w:t xml:space="preserve">в соответствии с сетевым графиком</w:t>
      </w:r>
      <w:r>
        <w:rPr>
          <w:rFonts w:ascii="Times New Roman" w:hAnsi="Times New Roman" w:eastAsia="Times New Roman"/>
        </w:rPr>
        <w:t xml:space="preserve"> на проведение торжественных мероприятий, приуроченные к памятным датам в истории народов России, государственным праздникам, на </w:t>
      </w:r>
      <w:r>
        <w:rPr>
          <w:rFonts w:ascii="Times New Roman" w:hAnsi="Times New Roman" w:eastAsia="Cambria"/>
          <w:bCs/>
        </w:rPr>
        <w:t xml:space="preserve">проведение</w:t>
      </w:r>
      <w:r>
        <w:rPr>
          <w:rFonts w:ascii="Times New Roman" w:hAnsi="Times New Roman" w:eastAsia="Calibri"/>
        </w:rPr>
        <w:t xml:space="preserve"> адаптационного курса для иностранных граждан (мигрантов), </w:t>
      </w:r>
      <w:r>
        <w:rPr>
          <w:rFonts w:ascii="Times New Roman" w:hAnsi="Times New Roman" w:eastAsia="Cambria"/>
          <w:bCs/>
        </w:rPr>
        <w:t xml:space="preserve">на проведение спортивных </w:t>
      </w:r>
      <w:r>
        <w:rPr>
          <w:rFonts w:ascii="Times New Roman" w:hAnsi="Times New Roman" w:eastAsia="Calibri"/>
        </w:rPr>
        <w:t xml:space="preserve">мероприятий (приобретение призового фонда, поставка наградной атрибутики)</w:t>
      </w:r>
      <w:r>
        <w:rPr>
          <w:rFonts w:ascii="Times New Roman" w:hAnsi="Times New Roman" w:eastAsia="Times New Roman"/>
        </w:rPr>
        <w:t xml:space="preserve">.</w:t>
      </w:r>
      <w:r>
        <w:rPr>
          <w:rFonts w:ascii="Times New Roman" w:hAnsi="Times New Roman" w:eastAsia="Calibri"/>
        </w:rPr>
        <w:t xml:space="preserve"> Бюджетные средства предусмотрены к реализации в 3 - 4 квартале 2025 года.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Calibri"/>
        </w:rPr>
        <w:t xml:space="preserve">Бюджетные средства предусмотрены к реализации н</w:t>
      </w:r>
      <w:r>
        <w:rPr>
          <w:rFonts w:ascii="Times New Roman" w:hAnsi="Times New Roman" w:eastAsia="Times New Roman"/>
          <w:bCs/>
          <w:spacing w:val="-1"/>
        </w:rPr>
        <w:t xml:space="preserve">а проведение информационных кампаний, направленных на противодействие распространению идеологии экстремизма</w:t>
      </w:r>
      <w:r>
        <w:rPr>
          <w:rFonts w:ascii="Times New Roman" w:hAnsi="Times New Roman" w:eastAsia="Times New Roman"/>
          <w:lang w:eastAsia="ru-RU"/>
        </w:rPr>
        <w:t xml:space="preserve"> (изготовление видеороликов на различные </w:t>
      </w:r>
      <w:r>
        <w:rPr>
          <w:rFonts w:ascii="Times New Roman" w:hAnsi="Times New Roman" w:eastAsia="Times New Roman"/>
          <w:lang w:eastAsia="ru-RU"/>
        </w:rPr>
        <w:t xml:space="preserve">темы по направлению профилактики экстремистских проявлений), проведение конкурса журналистских работ на тематику укрепления общегражданской идентичности и межнационального (межэтнического), межконфессионального и межкультурного взаимодействия. Планируемое </w:t>
      </w:r>
      <w:r>
        <w:rPr>
          <w:rFonts w:ascii="Times New Roman" w:hAnsi="Times New Roman" w:eastAsia="Calibri"/>
        </w:rPr>
        <w:t xml:space="preserve">исполнение в 3 - 4 кварталах 2025 года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</w:r>
    </w:p>
    <w:p>
      <w:pPr>
        <w:ind w:firstLine="708"/>
        <w:jc w:val="both"/>
      </w:pPr>
      <w:r>
        <w:rPr>
          <w:rFonts w:ascii="Times New Roman" w:hAnsi="Times New Roman" w:eastAsia="Calibri"/>
        </w:rPr>
        <w:t xml:space="preserve">В целях </w:t>
      </w:r>
      <w:r>
        <w:rPr>
          <w:rFonts w:ascii="Times New Roman" w:hAnsi="Times New Roman" w:eastAsia="Calibri"/>
          <w:bCs/>
        </w:rPr>
        <w:t xml:space="preserve">обеспечения требований антитеррористической защищенности объектов массового пребывания людей города </w:t>
      </w:r>
      <w:r>
        <w:rPr>
          <w:rFonts w:ascii="Times New Roman" w:hAnsi="Times New Roman" w:eastAsia="Calibri"/>
          <w:bCs/>
        </w:rPr>
        <w:t xml:space="preserve">Мегиона</w:t>
      </w:r>
      <w:r>
        <w:rPr>
          <w:rFonts w:ascii="Times New Roman" w:hAnsi="Times New Roman" w:eastAsia="Calibri"/>
          <w:bCs/>
        </w:rPr>
        <w:t xml:space="preserve"> заключен муниципальный контракт на установку системы оповещения и управления эвакуацией на объектах «Аллея Славы» и мемориал «Звезда», а также п</w:t>
      </w:r>
      <w:r>
        <w:rPr>
          <w:rFonts w:ascii="Times New Roman" w:hAnsi="Times New Roman" w:eastAsia="Calibri"/>
        </w:rPr>
        <w:t xml:space="preserve">ланируется заключение контракта на поставку мобильных ограждений в количестве 1200 штук. Планируемое освоение средств в 3-4 кварталах 2025 года.</w:t>
      </w:r>
      <w:r>
        <w:t xml:space="preserve"> </w:t>
      </w:r>
      <w:r/>
    </w:p>
    <w:p>
      <w:pPr>
        <w:rPr>
          <w:rFonts w:ascii="Times New Roman" w:hAnsi="Times New Roman" w:eastAsia="Times New Roman"/>
          <w:b/>
          <w:bCs/>
          <w:highlight w:val="yellow"/>
        </w:rPr>
      </w:pPr>
      <w:r>
        <w:rPr>
          <w:rFonts w:ascii="Times New Roman" w:hAnsi="Times New Roman" w:eastAsia="Times New Roman"/>
          <w:b/>
          <w:bCs/>
          <w:highlight w:val="yellow"/>
        </w:rPr>
      </w:r>
      <w:r>
        <w:rPr>
          <w:rFonts w:ascii="Times New Roman" w:hAnsi="Times New Roman" w:eastAsia="Times New Roman"/>
          <w:b/>
          <w:bCs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highlight w:val="white"/>
        </w:rPr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21.  Программа</w:t>
      </w:r>
      <w:r>
        <w:rPr>
          <w:rFonts w:ascii="Times New Roman" w:hAnsi="Times New Roman" w:eastAsia="Times New Roman"/>
          <w:b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highlight w:val="white"/>
        </w:rPr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 «Развитие экологической безопасности на территории города </w:t>
      </w: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highlight w:val="white"/>
        </w:rPr>
      </w:pPr>
      <w:r>
        <w:rPr>
          <w:rFonts w:ascii="Times New Roman" w:hAnsi="Times New Roman" w:eastAsia="Times New Roman"/>
          <w:b/>
          <w:bCs/>
          <w:highlight w:val="white"/>
        </w:rPr>
      </w:r>
      <w:r>
        <w:rPr>
          <w:rFonts w:ascii="Times New Roman" w:hAnsi="Times New Roman" w:eastAsia="Times New Roman"/>
          <w:b/>
          <w:bCs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Развитие экологической безопасности на территории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16.11.2023 №1893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Текст муниципальной программы в актуальной редакции размещен в сети Интернет по электронному адресу:</w:t>
      </w:r>
      <w:hyperlink r:id="rId34" w:tooltip="https://admmegion.ru/programs/municipal/programmy-2024/ekologicheskaya-bezopasnost/" w:history="1">
        <w:r>
          <w:rPr>
            <w:rFonts w:ascii="Times New Roman" w:hAnsi="Times New Roman" w:eastAsia="Times New Roman"/>
            <w:color w:val="000000"/>
            <w:highlight w:val="white"/>
            <w:lang w:eastAsia="ru-RU"/>
          </w:rPr>
          <w:t xml:space="preserve">https://admmegion.ru/programs/municipal/programmy-2024/ekologichesk </w:t>
        </w:r>
        <w:r>
          <w:rPr>
            <w:rFonts w:ascii="Times New Roman" w:hAnsi="Times New Roman" w:eastAsia="Times New Roman"/>
            <w:color w:val="000000"/>
            <w:highlight w:val="white"/>
            <w:lang w:eastAsia="ru-RU"/>
          </w:rPr>
          <w:t xml:space="preserve">aya-bezopasnost</w:t>
        </w:r>
        <w:r>
          <w:rPr>
            <w:rFonts w:ascii="Times New Roman" w:hAnsi="Times New Roman" w:eastAsia="Times New Roman"/>
            <w:color w:val="000000"/>
            <w:highlight w:val="white"/>
            <w:lang w:eastAsia="ru-RU"/>
          </w:rPr>
          <w:t xml:space="preserve">/</w:t>
        </w:r>
      </w:hyperlink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  <w:shd w:val="clear" w:color="auto" w:fill="ffff00"/>
          <w:lang w:eastAsia="ru-RU"/>
        </w:rPr>
        <w:tab/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жилищно-коммунального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</w:rPr>
        <w:tab/>
      </w:r>
      <w:r>
        <w:rPr>
          <w:rFonts w:ascii="Times New Roman" w:hAnsi="Times New Roman" w:eastAsia="Times New Roman"/>
          <w:highlight w:val="white"/>
          <w:lang w:eastAsia="ru-RU"/>
        </w:rPr>
        <w:t xml:space="preserve">Целью программы является сохранение благоприятной окружающей среды и биологического разнообразия и эффективное использование, охрана, защита и воспроизводство лесов.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ab/>
        <w:t xml:space="preserve">Уточненный объем бюджетных ассигнований составляет 18 230,8 тыс. рублей, исполнено 4 011,9 тыс. рублей, или 22,0%, в том числе:</w:t>
      </w:r>
      <w:r>
        <w:rPr>
          <w:rFonts w:ascii="Times New Roman" w:hAnsi="Times New Roman" w:eastAsia="Times New Roman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</w:rPr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contextualSpacing/>
        <w:jc w:val="right"/>
        <w:tabs>
          <w:tab w:val="left" w:pos="709" w:leader="none"/>
        </w:tabs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bCs/>
          <w:highlight w:val="yellow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81"/>
        <w:gridCol w:w="1647"/>
        <w:gridCol w:w="1559"/>
        <w:gridCol w:w="1276"/>
        <w:gridCol w:w="1701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Всего по муниципальной программе,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18 230,8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4 011,9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18 230,8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4 011,9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9 546,8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18 069,1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3 850,2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21,3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78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расходов процессной части муниципальной программы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«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Развитие экологической безопасности на территории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</w:t>
      </w:r>
      <w:r>
        <w:rPr>
          <w:rFonts w:ascii="Times New Roman" w:hAnsi="Times New Roman"/>
          <w:highlight w:val="whit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385"/>
        <w:gridCol w:w="1437"/>
        <w:gridCol w:w="1432"/>
        <w:gridCol w:w="1254"/>
        <w:gridCol w:w="709"/>
        <w:gridCol w:w="1843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9 708,5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18 230,8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4 011,9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3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Снижение и ликвидация вредного воздействия отходов производства и потребления на окружающую среду  и здоровье населения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7 913,0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16 685,7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3 606,8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6 228,7 тыс. рублей. Исполнение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7 751,3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16 524,0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3 445,1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79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Обеспечение мер противопожарной безопасности в городских лесах (местный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1 795,5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1 545,1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405,1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26,2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Исполнение по факту выполненных работ</w:t>
            </w:r>
            <w:r>
              <w:rPr>
                <w:highlight w:val="yellow"/>
              </w:rPr>
            </w:r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8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В целях реализации процессного мероприятия «</w:t>
      </w:r>
      <w:r>
        <w:rPr>
          <w:rFonts w:ascii="Times New Roman" w:hAnsi="Times New Roman"/>
          <w:highlight w:val="white"/>
        </w:rPr>
        <w:t xml:space="preserve">Снижение и ликвидация вредного воздействия отходов производства и потребления на окружающую среду и здоровье населения</w:t>
      </w:r>
      <w:r>
        <w:rPr>
          <w:rFonts w:ascii="Times New Roman" w:hAnsi="Times New Roman" w:eastAsia="Calibri"/>
          <w:bCs/>
          <w:highlight w:val="white"/>
        </w:rPr>
        <w:t xml:space="preserve">» заключены муниципальные контракты на:</w:t>
      </w:r>
      <w:r>
        <w:rPr>
          <w:rFonts w:ascii="Times New Roman" w:hAnsi="Times New Roman" w:eastAsia="Calibri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ликвидацию несанкционированных свалок на общую сумму 3 301,3 тыс. рублей, исполнение составило 1 769,0 тыс. рублей. Срок исполнения по контракту </w:t>
      </w:r>
      <w:r>
        <w:rPr>
          <w:rFonts w:ascii="Times New Roman" w:hAnsi="Times New Roman" w:eastAsia="Times New Roman"/>
          <w:color w:val="000000"/>
          <w:highlight w:val="white"/>
        </w:rPr>
        <w:t xml:space="preserve">– декабрь 2025 года;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вывоз и утилизацию твердых коммунальных отходов на сумму 279,2 тыс. рублей, исполнение составило 176,5 тыс. рублей. Срок исполнения по контракту – октябрь 2025 года;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ремонт контейнерных площадок для накопления твердых коммунальных отходов </w:t>
      </w:r>
      <w:r>
        <w:rPr>
          <w:rFonts w:ascii="Times New Roman" w:hAnsi="Times New Roman" w:eastAsia="Calibri"/>
          <w:color w:val="000000"/>
          <w:highlight w:val="white"/>
        </w:rPr>
        <w:t xml:space="preserve">на сумму 598,0 </w:t>
      </w:r>
      <w:r>
        <w:rPr>
          <w:rFonts w:ascii="Times New Roman" w:hAnsi="Times New Roman"/>
          <w:highlight w:val="white"/>
        </w:rPr>
        <w:t xml:space="preserve">тыс. рублей. Контракт исполнен</w:t>
      </w:r>
      <w:r>
        <w:rPr>
          <w:rFonts w:ascii="Times New Roman" w:hAnsi="Times New Roman" w:eastAsia="Calibri"/>
          <w:color w:val="000000"/>
          <w:highlight w:val="white"/>
        </w:rPr>
        <w:t xml:space="preserve"> в полном объеме;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изготовление информационных табличек для размещения на площадках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твердых коммунальных отходов на сумму 38,8 тыс. рублей</w:t>
      </w:r>
      <w:r>
        <w:rPr>
          <w:rFonts w:ascii="Times New Roman" w:hAnsi="Times New Roman"/>
          <w:highlight w:val="white"/>
        </w:rPr>
        <w:t xml:space="preserve">. Контракт исполнен</w:t>
      </w:r>
      <w:r>
        <w:rPr>
          <w:rFonts w:ascii="Times New Roman" w:hAnsi="Times New Roman" w:eastAsia="Calibri"/>
          <w:color w:val="000000"/>
          <w:highlight w:val="white"/>
        </w:rPr>
        <w:t xml:space="preserve"> в полном объеме; 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содержание и обслуживание контейнерных площадок твердых коммунальных отходов на общую сумму 1 849,7 тыс. рублей, исполнение составило 901,6 тыс. рублей. Срок исполнения по контрактам – декабрь 2025 года;  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 w:eastAsia="Times New Roman"/>
          <w:highlight w:val="white"/>
        </w:rPr>
        <w:t xml:space="preserve">поставку автоматизированного рабочего места (монитор, системный блок, клавиатура, мышь компьютерная), МФУ лазерный, картридж, в рамках </w:t>
      </w:r>
      <w:r>
        <w:rPr>
          <w:rFonts w:ascii="Times New Roman" w:hAnsi="Times New Roman" w:eastAsia="Calibri"/>
          <w:color w:val="000000"/>
          <w:highlight w:val="white"/>
        </w:rPr>
        <w:t xml:space="preserve">осуществление отдельных государственных полномочий в сфере обращения с твердыми коммунальными отходами, на сумму 161,7 тыс. рублей</w:t>
      </w:r>
      <w:r>
        <w:rPr>
          <w:rFonts w:ascii="Times New Roman" w:hAnsi="Times New Roman" w:eastAsia="Times New Roman"/>
          <w:color w:val="000000"/>
          <w:highlight w:val="white"/>
        </w:rPr>
        <w:t xml:space="preserve">.</w:t>
      </w:r>
      <w:r>
        <w:rPr>
          <w:rFonts w:ascii="Times New Roman" w:hAnsi="Times New Roman" w:eastAsia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Контракт исполнен</w:t>
      </w:r>
      <w:r>
        <w:rPr>
          <w:rFonts w:ascii="Times New Roman" w:hAnsi="Times New Roman" w:eastAsia="Calibri"/>
          <w:color w:val="000000"/>
          <w:highlight w:val="white"/>
        </w:rPr>
        <w:t xml:space="preserve"> в полном объеме</w:t>
      </w:r>
      <w:r>
        <w:rPr>
          <w:rFonts w:ascii="Times New Roman" w:hAnsi="Times New Roman" w:eastAsia="Times New Roman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</w:rPr>
        <w:t xml:space="preserve">В стадии формирования аукционная документация на оказание услуг по ликвидации несанкционированных свалок на сумму 4 991,6 тыс. рублей. </w:t>
      </w:r>
      <w:r>
        <w:rPr>
          <w:rFonts w:ascii="Times New Roman" w:hAnsi="Times New Roman"/>
          <w:color w:val="000000"/>
          <w:highlight w:val="yellow"/>
        </w:rPr>
      </w:r>
    </w:p>
    <w:p>
      <w:pPr>
        <w:ind w:firstLine="708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Реализация процессного мероприятия «</w:t>
      </w:r>
      <w:r>
        <w:rPr>
          <w:rFonts w:ascii="Times New Roman" w:hAnsi="Times New Roman"/>
          <w:highlight w:val="white"/>
        </w:rPr>
        <w:t xml:space="preserve">Обеспечение мер противопожарной безопасности в городских лесах</w:t>
      </w:r>
      <w:r>
        <w:rPr>
          <w:rFonts w:ascii="Times New Roman" w:hAnsi="Times New Roman" w:eastAsia="Calibri"/>
          <w:bCs/>
          <w:highlight w:val="white"/>
        </w:rPr>
        <w:t xml:space="preserve">»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направлена на обустройство противопожарной минерализованной полосы в городе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и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пгт.Высокий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и предусмотрено 1 545,1 тыс. рублей. Заключен муниципальный контракт на сумму 405,3 тыс. рублей, контракт исполнен в полном объеме. </w:t>
      </w:r>
      <w:r>
        <w:rPr>
          <w:rFonts w:ascii="Times New Roman" w:hAnsi="Times New Roman"/>
          <w:color w:val="000000"/>
          <w:highlight w:val="white"/>
        </w:rPr>
        <w:t xml:space="preserve">В стадии формирования аукционная документация на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обустройство противопожарной минерализованной полосы, планируемый срок заключения муниципального контракта третий квартал 2025 года.</w:t>
      </w:r>
      <w:r>
        <w:rPr>
          <w:rFonts w:ascii="Times New Roman" w:hAnsi="Times New Roman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yellow"/>
        </w:rPr>
      </w:pPr>
      <w:r>
        <w:rPr>
          <w:rFonts w:ascii="Times New Roman" w:hAnsi="Times New Roman" w:eastAsia="Times New Roman"/>
          <w:bCs/>
          <w:color w:val="000000"/>
          <w:highlight w:val="yellow"/>
          <w:lang w:eastAsia="ru-RU"/>
        </w:rPr>
        <w:t xml:space="preserve"> </w:t>
      </w:r>
      <w:r>
        <w:rPr>
          <w:rFonts w:ascii="Times New Roman" w:hAnsi="Times New Roman" w:eastAsia="Calibri"/>
          <w:color w:val="000000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highlight w:val="white"/>
        </w:rPr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22. Программа   </w:t>
      </w:r>
      <w:r>
        <w:rPr>
          <w:rFonts w:ascii="Times New Roman" w:hAnsi="Times New Roman" w:eastAsia="Times New Roman"/>
          <w:b/>
          <w:bCs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«Развитие муниципального управления»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tabs>
          <w:tab w:val="left" w:pos="7005" w:leader="none"/>
        </w:tabs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</w:t>
      </w:r>
      <w:r>
        <w:rPr>
          <w:rFonts w:ascii="Times New Roman" w:hAnsi="Times New Roman" w:eastAsia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«Развитие муниципального управления» утверждена постановлением администрации города от 27.10.2023 №1746 (с изменениями) (далее муниципальная программа).</w:t>
      </w:r>
      <w:r>
        <w:rPr>
          <w:rFonts w:ascii="Times New Roman" w:hAnsi="Times New Roman"/>
          <w:bCs/>
          <w:color w:val="000000"/>
          <w:highlight w:val="white"/>
        </w:rPr>
      </w:r>
    </w:p>
    <w:p>
      <w:pPr>
        <w:ind w:firstLine="708"/>
        <w:rPr>
          <w:rFonts w:ascii="Times New Roman" w:hAnsi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 w:eastAsia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 </w:t>
      </w:r>
      <w:hyperlink r:id="rId35" w:tooltip="https://admmegion.ru/programs/municipal/programmy-2024/razvitie-munuprav/" w:history="1">
        <w:r>
          <w:rPr>
            <w:rStyle w:val="999"/>
            <w:rFonts w:ascii="Times New Roman" w:hAnsi="Times New Roman" w:eastAsia="Times New Roman"/>
            <w:highlight w:val="white"/>
          </w:rPr>
          <w:t xml:space="preserve">https://admmegion.ru/programs/municipal/programmy-2024/razvitie-munuprav/</w:t>
        </w:r>
      </w:hyperlink>
      <w:r>
        <w:rPr>
          <w:rFonts w:ascii="Times New Roman" w:hAnsi="Times New Roman" w:eastAsia="Times New Roman"/>
          <w:highlight w:val="white"/>
        </w:rPr>
        <w:t xml:space="preserve"> . </w:t>
      </w:r>
      <w:r>
        <w:rPr>
          <w:rFonts w:ascii="Times New Roman" w:hAnsi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  <w:t xml:space="preserve">Ответственный исполнитель муниципальной программы – управление экономической политики адм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инистрации города.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Целью муниципальной программы является повышение эффективности деятельности органов местного самоуправления и повышение качества муниципального управления.</w:t>
      </w:r>
      <w:r>
        <w:rPr>
          <w:rFonts w:ascii="Times New Roman" w:hAnsi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highlight w:val="white"/>
        </w:rPr>
        <w:t xml:space="preserve">Уточненный объем бюджетных ассигнований составляет 558 168,3</w:t>
      </w:r>
      <w:r>
        <w:rPr>
          <w:rFonts w:ascii="Times New Roman" w:hAnsi="Times New Roman" w:eastAsia="Times New Roman"/>
          <w:highlight w:val="white"/>
        </w:rPr>
        <w:t xml:space="preserve"> тыс. рублей, </w:t>
      </w:r>
      <w:r>
        <w:rPr>
          <w:rFonts w:ascii="Times New Roman" w:hAnsi="Times New Roman" w:eastAsia="Times New Roman"/>
          <w:bCs/>
          <w:highlight w:val="white"/>
        </w:rPr>
        <w:t xml:space="preserve">исполнено 296 331,8 </w:t>
      </w:r>
      <w:r>
        <w:rPr>
          <w:rFonts w:ascii="Times New Roman" w:hAnsi="Times New Roman" w:eastAsia="Times New Roman"/>
          <w:highlight w:val="white"/>
        </w:rPr>
        <w:t xml:space="preserve">тыс. рублей</w:t>
      </w:r>
      <w:r>
        <w:rPr>
          <w:rFonts w:ascii="Times New Roman" w:hAnsi="Times New Roman" w:eastAsia="Times New Roman"/>
          <w:bCs/>
          <w:highlight w:val="white"/>
        </w:rPr>
        <w:t xml:space="preserve">, или 53,1 %, в том числе: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ind w:firstLine="709"/>
        <w:jc w:val="both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ind w:left="7440" w:firstLine="348"/>
        <w:jc w:val="right"/>
        <w:rPr>
          <w:rFonts w:ascii="Times New Roman" w:hAnsi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(тыс. рублей)</w:t>
      </w:r>
      <w:r>
        <w:rPr>
          <w:rFonts w:ascii="Times New Roman" w:hAnsi="Times New Roman"/>
          <w:bCs/>
          <w:sz w:val="20"/>
          <w:szCs w:val="20"/>
          <w:highlight w:val="white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127"/>
        <w:gridCol w:w="1559"/>
        <w:gridCol w:w="1559"/>
        <w:gridCol w:w="992"/>
      </w:tblGrid>
      <w:tr>
        <w:tblPrEx/>
        <w:trPr>
          <w:trHeight w:val="691"/>
        </w:trPr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8"/>
        </w:trPr>
        <w:tc>
          <w:tcPr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Всего по муниципальной программе, в том числе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555 043,6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558 168,3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296 331,8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53,1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555 043,6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558 168,3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296 331,8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53,1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533 182,4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536 307,1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286 419,9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53,4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15 482,2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15 482,2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6 711,9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43,4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6 379,0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6 379,0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3 200,0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  <w:t xml:space="preserve">50,2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sz w:val="20"/>
          <w:szCs w:val="20"/>
          <w:highlight w:val="yellow"/>
        </w:rPr>
      </w:r>
      <w:r>
        <w:rPr>
          <w:rFonts w:ascii="Times New Roman" w:hAnsi="Times New Roman" w:eastAsia="Times New Roman"/>
          <w:sz w:val="20"/>
          <w:szCs w:val="20"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на осуществление процессной части муниципальной программы по направлениям расходования средств представлены следующим образом:</w:t>
      </w:r>
      <w:r>
        <w:rPr>
          <w:rFonts w:ascii="Times New Roman" w:hAnsi="Times New Roman"/>
          <w:highlight w:val="white"/>
        </w:rPr>
      </w:r>
    </w:p>
    <w:p>
      <w:pPr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Структура расходов процессной части муниципальной программы                                                </w:t>
      </w:r>
      <w:r>
        <w:rPr>
          <w:rFonts w:ascii="Times New Roman" w:hAnsi="Times New Roman"/>
          <w:highlight w:val="white"/>
        </w:rPr>
        <w:t xml:space="preserve">  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Развитие муниципального управления</w:t>
      </w:r>
      <w:r>
        <w:rPr>
          <w:rFonts w:ascii="Times New Roman" w:hAnsi="Times New Roman"/>
          <w:highlight w:val="white"/>
        </w:rPr>
        <w:t xml:space="preserve">» 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yellow"/>
        </w:rPr>
      </w:r>
    </w:p>
    <w:tbl>
      <w:tblPr>
        <w:tblStyle w:val="9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1275"/>
        <w:gridCol w:w="1276"/>
        <w:gridCol w:w="1276"/>
        <w:gridCol w:w="709"/>
        <w:gridCol w:w="1419"/>
      </w:tblGrid>
      <w:tr>
        <w:tblPrEx/>
        <w:trPr>
          <w:trHeight w:val="1695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Исполнено на 01.07.2025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 % исполнения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Причины неисполнения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i/>
                <w:color w:val="000000"/>
                <w:sz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555 043,6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558 168,3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296 331,8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53,1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деятельности органов местного самоуправления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310 715,3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310 384,7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170 102,3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Осуществление переданных государственных полномочий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21 861,2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21 861,2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9 911,9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45,3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15 482,2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15 482,2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6 711,9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43,4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6 379,0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6 379,0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3 200,0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50,2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Исполнение иных функций и полномочий органов местного самоуправления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ab/>
              <w:t xml:space="preserve">(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10 983,9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11 023,9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5 686,0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51,6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9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деятельности органов местного самоуправления, содержания и эксплуатации зданий и объектов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164 719,9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166 119,9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78 566,6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47,3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Реализация полномочий органов местного самоуправления в сфере строительства, ре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конструкции, ремонта,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реализация полномочий в сфере владения и пользования муниципальным имуществом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46 763,3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48 778,6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32 065,0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65,7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составе комплекса процессных мероприятий «Обеспечение деятельности органов местного самоуправления» бюджетные ассигнования направлены на финансовое обеспечение деятельности главы города и администрации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в сумме 310 384,7 тыс. рублей. Исполнено 170 102,3 тыс. рублей, или 54,8%.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В составе комплекса процессных мероприятий «Осуществление переданных государственных полномочий» бюджетные ассигнования направлены на:</w:t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осуществление полномочий по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хранению, комплектованию, учету и использованию архивных документов, относящихся к государственной собственности автономного округа за счет средств бюджета автономного округа. При плановом объеме бюджетных ассигнований в сумме 329,0 тыс. рублей, исполнено </w:t>
      </w:r>
      <w:r>
        <w:rPr>
          <w:rFonts w:ascii="Times New Roman" w:hAnsi="Times New Roman" w:eastAsia="Times New Roman"/>
          <w:highlight w:val="white"/>
        </w:rPr>
        <w:t xml:space="preserve">100,0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%;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осуществление полномочий по созданию и обеспечению деятельности административных комиссий за счет средств бюджета автономного округа. При плановом объеме бюджетных ассигнований в сумме 2 370,4 тыс. рублей, исполнено 960,2 тыс. рублей, или 40,5%;</w:t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осуществление полномочий по образованию и организации деятельности комиссий по делам несовершеннолетних и защите их прав за счет средств бюджета автономного округа в сумме 10 302,7 тыс. рублей</w:t>
      </w:r>
      <w:r>
        <w:rPr>
          <w:rFonts w:ascii="Times New Roman" w:hAnsi="Times New Roman" w:eastAsia="Calibri"/>
        </w:rPr>
        <w:t xml:space="preserve">, и</w:t>
      </w:r>
      <w:r>
        <w:rPr>
          <w:rFonts w:ascii="Times New Roman" w:hAnsi="Times New Roman" w:eastAsia="Calibri"/>
          <w:highlight w:val="white"/>
        </w:rPr>
        <w:t xml:space="preserve">сполнено 4 103,1 тыс. рублей, или 39,8%;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осуществление полномочий по государственной регистрации актов гражданского состояния в сумме 8 859,1 тыс. рублей (средства бю</w:t>
      </w:r>
      <w:r>
        <w:rPr>
          <w:rFonts w:ascii="Times New Roman" w:hAnsi="Times New Roman" w:eastAsia="Calibri"/>
          <w:highlight w:val="white"/>
        </w:rPr>
        <w:t xml:space="preserve">джета автономного округа - 2 480,1 тыс. рублей, средства федерального бюджета - 6 379,0 тыс. рублей), исполнено 4 519,6 тыс. рублей (средства бюджета автономного округа - 1 319,6 тыс. рублей, средства федерального бюджета - 3 200,0 тыс. рублей), или 51,0%.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В составе расходов на исполнение комплекса процессных мероприятий «Исполнение иных функций и полномочий органов местного самоуправления» бюджетные ассигнования направлены на следующие цели: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доплаты к пенсиям за выслугу лет лицам, замещавшим муниципальные должности и должности муниципальной службы в сумме 10 533,9 тыс. рублей. Исполнено 5 533,8 тыс. рублей, или 52,5%;</w:t>
      </w:r>
      <w:r>
        <w:rPr>
          <w:rFonts w:ascii="Times New Roman" w:hAnsi="Times New Roman" w:eastAsia="Calibri"/>
          <w:highlight w:val="white"/>
        </w:rPr>
      </w:r>
    </w:p>
    <w:p>
      <w:pPr>
        <w:ind w:firstLine="709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highlight w:val="white"/>
        </w:rPr>
        <w:t xml:space="preserve">единовременное денежное вознаграждение к Почетной грамоте главы города. При плановом объеме бюджетных ассигнований в сумме 450,0 тыс. рублей, исполнено 132,3 тыс. рублей, или 29,4%.</w:t>
      </w:r>
      <w:r>
        <w:rPr>
          <w:rFonts w:ascii="Times New Roman" w:hAnsi="Times New Roman" w:eastAsia="Calibri"/>
          <w:color w:val="000000"/>
          <w:highlight w:val="white"/>
        </w:rPr>
        <w:t xml:space="preserve"> Расходы осуществляются по мере принятия решения о награждении</w:t>
      </w:r>
      <w:r>
        <w:rPr>
          <w:rFonts w:ascii="Times New Roman" w:hAnsi="Times New Roman" w:eastAsia="Calibri"/>
        </w:rPr>
        <w:t xml:space="preserve">;</w:t>
      </w:r>
      <w:r>
        <w:rPr>
          <w:rFonts w:ascii="Times New Roman" w:hAnsi="Times New Roman" w:eastAsia="Calibri"/>
        </w:rPr>
      </w:r>
    </w:p>
    <w:p>
      <w:pPr>
        <w:ind w:firstLine="709"/>
        <w:jc w:val="both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</w:rPr>
        <w:t xml:space="preserve">единовременные денежные выплаты при присвоении почетного звания «Почетный житель города </w:t>
      </w:r>
      <w:r>
        <w:rPr>
          <w:rFonts w:ascii="Times New Roman" w:hAnsi="Times New Roman" w:eastAsia="Calibri"/>
        </w:rPr>
        <w:t xml:space="preserve">Мегион</w:t>
      </w:r>
      <w:r>
        <w:rPr>
          <w:rFonts w:ascii="Times New Roman" w:hAnsi="Times New Roman" w:eastAsia="Calibri"/>
        </w:rPr>
        <w:t xml:space="preserve">». При плановом объеме бюджетных ассигнований в сумме 40,0 тыс. рублей, исполнено 20,0 тыс. рублей, или 50,0%.</w:t>
      </w:r>
      <w:r>
        <w:rPr>
          <w:rFonts w:ascii="Times New Roman" w:hAnsi="Times New Roman" w:eastAsia="Calibri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Calibri"/>
          <w:highlight w:val="white"/>
        </w:rPr>
        <w:t xml:space="preserve">Бюджетные ассигнования, предусмотренные на реализацию процессного мероприятия «Обеспечение деятельности органов местного самоуправления, содержания и эксплуатации зданий и сооружений», направлены на финансовое обеспечение деятельности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муниципального казенного учреждения «Служба обеспечения». При плановом объеме бюджетных ассигнований в сумме 166 119,9 тыс. рублей, исполнено 78 566,6 тыс. рублей, или 47,3%. </w:t>
      </w:r>
      <w:r>
        <w:rPr>
          <w:rFonts w:ascii="Times New Roman" w:hAnsi="Times New Roman" w:eastAsia="Times New Roman"/>
          <w:highlight w:val="yellow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  <w:u w:val="single"/>
        </w:rPr>
      </w:pPr>
      <w:r>
        <w:rPr>
          <w:rFonts w:ascii="Times New Roman" w:hAnsi="Times New Roman" w:eastAsia="Calibri"/>
          <w:highlight w:val="white"/>
        </w:rPr>
        <w:t xml:space="preserve">Бюджетные ассигнования, предусмотренные на реализацию процессного мероприятия «</w:t>
      </w:r>
      <w:r>
        <w:rPr>
          <w:rFonts w:ascii="Times New Roman" w:hAnsi="Times New Roman"/>
          <w:highlight w:val="white"/>
        </w:rPr>
        <w:t xml:space="preserve">Реализация полномочий органов местного самоуправления в сфере строительства, реконструкции</w:t>
      </w:r>
      <w:r>
        <w:rPr>
          <w:rFonts w:ascii="Times New Roman" w:hAnsi="Times New Roman"/>
          <w:highlight w:val="white"/>
        </w:rPr>
        <w:t xml:space="preserve">, ремонта,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реализация полномочий в сфере владения и пользования муниципальным имуществом» направлены </w:t>
      </w:r>
      <w:r>
        <w:rPr>
          <w:rFonts w:ascii="Times New Roman" w:hAnsi="Times New Roman" w:eastAsia="Calibri"/>
          <w:highlight w:val="white"/>
        </w:rPr>
        <w:t xml:space="preserve">на финансовое обеспечение деятельности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муниципального казенного учреждения «Управление капитального строительства». При плановом объеме бюджетных ассигнований в сумме 48 778,6 тыс. рублей, исполнено 32 065,0 тыс. рублей, или 65,7%.</w:t>
      </w:r>
      <w:r>
        <w:rPr>
          <w:rFonts w:ascii="Times New Roman" w:hAnsi="Times New Roman" w:eastAsia="Times New Roman"/>
          <w:highlight w:val="white"/>
          <w:u w:val="single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23. Программа  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right="849"/>
        <w:jc w:val="center"/>
        <w:tabs>
          <w:tab w:val="left" w:pos="709" w:leader="none"/>
        </w:tabs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«Формирование комфортной городской среды города 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«Формирование комфортной городской среды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утверждена постановлением администрации города от 16.11.2023 №1894 (с изменениями) (далее - муниципальная программа).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8"/>
        <w:jc w:val="both"/>
        <w:rPr>
          <w:rStyle w:val="999"/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  <w:lang w:eastAsia="ru-RU"/>
        </w:rPr>
        <w:t xml:space="preserve">Текст муниципальной программы в актуальной редакции размещен в сети Интернет по электронному адресу: </w:t>
      </w:r>
      <w:hyperlink r:id="rId36" w:tooltip="https://admmegion.ru/programs/municipal/programmy-2024/formirovanie-gorsredy/" w:history="1">
        <w:r>
          <w:rPr>
            <w:rStyle w:val="999"/>
            <w:rFonts w:ascii="Times New Roman" w:hAnsi="Times New Roman" w:eastAsia="Times New Roman"/>
            <w:highlight w:val="white"/>
          </w:rPr>
          <w:t xml:space="preserve">https://admmegion.ru/programs/municipal/programmy-2024/formirovanie-gorsredy/.</w:t>
        </w:r>
      </w:hyperlink>
      <w:r/>
      <w:r>
        <w:rPr>
          <w:rStyle w:val="999"/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Ответственный исполнитель муниципальной программы - управление жилищно-коммунального комплекса</w:t>
      </w:r>
      <w:r>
        <w:rPr>
          <w:rFonts w:ascii="Times New Roman" w:hAnsi="Times New Roman"/>
          <w:highlight w:val="white"/>
        </w:rPr>
        <w:t xml:space="preserve"> администрации города.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Целью муниципальной программы является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повышение качества и комфорта городской среды на территории города 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Уточненный объем бюджетных ассигнований составляет 26 930,2 тыс. рублей, исполнено 3 565,8 тыс. рублей, или 13,2%, в том числе:</w:t>
      </w:r>
      <w:r>
        <w:rPr>
          <w:rFonts w:ascii="Times New Roman" w:hAnsi="Times New Roman" w:eastAsia="Times New Roman"/>
          <w:highlight w:val="white"/>
        </w:rPr>
      </w:r>
    </w:p>
    <w:p>
      <w:pPr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030"/>
        <w:gridCol w:w="1789"/>
        <w:gridCol w:w="1701"/>
        <w:gridCol w:w="1417"/>
        <w:gridCol w:w="1276"/>
      </w:tblGrid>
      <w:tr>
        <w:tblPrEx/>
        <w:trPr/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Всего по муниципальной программе,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27 450,6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26 930,2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3 565,8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09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93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7 185,9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3 565,8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3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6 585,9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3 565,8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73"/>
        </w:trPr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3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Проектная часть расходов муниципальной программы в общих расходах на программу составляет 73,3%, или в сумме 19 744,3 тыс. рублей. </w:t>
      </w:r>
      <w:r>
        <w:rPr>
          <w:rFonts w:ascii="Times New Roman" w:hAnsi="Times New Roman"/>
          <w:highlight w:val="white"/>
        </w:rPr>
      </w:r>
    </w:p>
    <w:p>
      <w:pPr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проектной части муниципальной программы «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Формирование комфортной городской среды города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»  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yellow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2343"/>
        <w:gridCol w:w="1590"/>
        <w:gridCol w:w="1417"/>
        <w:gridCol w:w="1201"/>
        <w:gridCol w:w="676"/>
        <w:gridCol w:w="1843"/>
      </w:tblGrid>
      <w:tr>
        <w:tblPrEx/>
        <w:trPr>
          <w:trHeight w:val="1612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1"/>
        </w:trPr>
        <w:tc>
          <w:tcPr>
            <w:gridSpan w:val="2"/>
            <w:tcW w:w="29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178"/>
        </w:trPr>
        <w:tc>
          <w:tcPr>
            <w:gridSpan w:val="2"/>
            <w:tcW w:w="291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Региональные проекты, направленные на достижение целей, показателей и решение задач национального проекта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178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19 744,3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Заключены муниципальные контракты на общую сумму 19 744,2 тыс. рублей. Исполнение по факту выполненных работ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2 961,7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4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4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10 241,1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4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6 541,5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708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Региональный проект «Формирован</w:t>
      </w:r>
      <w:r>
        <w:rPr>
          <w:rFonts w:ascii="Times New Roman" w:hAnsi="Times New Roman"/>
          <w:highlight w:val="white"/>
        </w:rPr>
        <w:t xml:space="preserve">ие комфортной городской среды» </w:t>
      </w:r>
      <w:r>
        <w:rPr>
          <w:rFonts w:ascii="Times New Roman" w:hAnsi="Times New Roman"/>
          <w:highlight w:val="white"/>
        </w:rPr>
        <w:t xml:space="preserve">направлен на благоустройство объекта «Спортивная зона в районе памятника Первопроходцам </w:t>
      </w:r>
      <w:r>
        <w:rPr>
          <w:rFonts w:ascii="Times New Roman" w:hAnsi="Times New Roman"/>
          <w:highlight w:val="white"/>
        </w:rPr>
        <w:t xml:space="preserve">г.Мегион</w:t>
      </w:r>
      <w:r>
        <w:rPr>
          <w:rFonts w:ascii="Times New Roman" w:hAnsi="Times New Roman"/>
          <w:highlight w:val="white"/>
        </w:rPr>
        <w:t xml:space="preserve"> (общестроительные работы)». Заключены муниципальные контракты на общую сумму 19 744,2 тыс. рублей. Срок исполнения по контрактам – август 2025 года. 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Бюджетные ассигнования по исполнению процессной части муниципальной программы представлены следующим образом.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Style w:val="993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385"/>
        <w:gridCol w:w="1289"/>
        <w:gridCol w:w="1276"/>
        <w:gridCol w:w="1276"/>
        <w:gridCol w:w="850"/>
        <w:gridCol w:w="1984"/>
      </w:tblGrid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Причины неисполнения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W w:w="29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7 185,9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3 565,8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5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Повышение качества и комфорта территорий общего пользования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7 185,9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3 565,8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49,6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7 706,3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6 585,9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3 565,8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65"/>
        </w:trPr>
        <w:tc>
          <w:tcPr>
            <w:tcW w:w="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38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600,0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</w:tbl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ab/>
      </w:r>
      <w:r>
        <w:rPr>
          <w:rFonts w:ascii="Times New Roman" w:hAnsi="Times New Roman" w:eastAsia="Calibri"/>
          <w:bCs/>
          <w:highlight w:val="white"/>
        </w:rPr>
        <w:t xml:space="preserve">В рамках реализации </w:t>
      </w:r>
      <w:r>
        <w:rPr>
          <w:rFonts w:ascii="Times New Roman" w:hAnsi="Times New Roman"/>
          <w:bCs/>
          <w:highlight w:val="white"/>
        </w:rPr>
        <w:t xml:space="preserve">процессного мероприятия</w:t>
      </w:r>
      <w:r>
        <w:rPr>
          <w:rFonts w:ascii="Times New Roman" w:hAnsi="Times New Roman" w:eastAsia="Calibri"/>
          <w:bCs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«</w:t>
      </w:r>
      <w:r>
        <w:rPr>
          <w:rFonts w:ascii="Times New Roman" w:hAnsi="Times New Roman" w:eastAsia="Batang"/>
          <w:highlight w:val="white"/>
          <w:lang w:eastAsia="ko-KR"/>
        </w:rPr>
        <w:t xml:space="preserve">Повышение качества и комфорта территорий общего пользования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</w:t>
      </w:r>
      <w:r>
        <w:rPr>
          <w:rFonts w:ascii="Times New Roman" w:hAnsi="Times New Roman" w:eastAsia="Calibri"/>
          <w:bCs/>
          <w:highlight w:val="white"/>
        </w:rPr>
        <w:t xml:space="preserve">бюджетные ассигнования в сумме 7 185,9 тыс. рублей направлены на:</w:t>
      </w:r>
      <w:r>
        <w:rPr>
          <w:rFonts w:ascii="Times New Roman" w:hAnsi="Times New Roman" w:eastAsia="Times New Roman"/>
          <w:highlight w:val="white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  <w:t xml:space="preserve">обустройство тротуара с ограждением вдоль филиала МФЦ от дома №9/3 по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пр.Победы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до существующего тротуара в сумме 773,8 тыс. рублей. Заключен муниципальный контракт на сумму 773,8 тыс. рублей. Срок исполнения по контракту – август 2025 года;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  <w:t xml:space="preserve">выполнение проектно-изыскательских работ по объекту «Контрольно-пропускной пункт в административном здании по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ул.Садовая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7,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г.Мегион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» в сумме 128,4 тыс. рублей. Аукционная документация в стадии подготовки;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ab/>
        <w:t xml:space="preserve">благоустройство мемориального комплекса "Аллея Славы" со стороны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ул.Сутормина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, д.12 и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ул.Строителей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, д.1 в сумме 2 915,9 тыс. рублей. Заключен муниципальный контракт на сумму 2 915,9 тыс. рублей. Контракт исполнен в полном объеме;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ab/>
        <w:t xml:space="preserve">благоустройство общественной территории "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Скейт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Парк" в части приобретения оборудования энергетического хозяйства в сумме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1761,5 тыс. рублей. Заключен муниципальный контракт на сумму 649,9 тыс. рублей, контракт исполнен. Документация для размещения муниципального заказа на сумму 1 111,6 тыс. рублей в стадии подготовки, ориентировочный срок размещения второй квартал 2025 года;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lang w:eastAsia="ru-RU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ab/>
        <w:t xml:space="preserve">обустройство пешеходного тротуара с торца многоквартирного дома №3/4 по ул. Строителей до пр. Победы, г.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Мегион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в сумме 406,3 тыс. рублей. Заключен муниципальный контракт на сумму 376,3 тыс. рублей. Срок исполнения по контракту – август 2025 года;</w:t>
      </w:r>
      <w:r>
        <w:rPr>
          <w:rFonts w:ascii="Times New Roman" w:hAnsi="Times New Roman" w:eastAsia="Times New Roman"/>
          <w:color w:val="000000"/>
          <w:lang w:eastAsia="ru-RU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ab/>
        <w:t xml:space="preserve">благоустройство территории административного здания по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ул.Нефтяников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, 8 в сумме 600,0 тыс. рублей. Заключен муниципальный контракт на сумму 600,0 тыс. рублей. Срок исполнения по контракту – октябрь 2025 года.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shd w:val="clear" w:color="auto" w:fill="ffffff" w:themeFill="background1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24. Программа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shd w:val="clear" w:color="auto" w:fill="ffffff" w:themeFill="background1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 «Молодежная политика города 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Мегиона</w:t>
      </w:r>
      <w:r>
        <w:rPr>
          <w:rFonts w:ascii="Times New Roman" w:hAnsi="Times New Roman" w:eastAsia="Times New Roman"/>
          <w:b/>
          <w:bCs/>
          <w:color w:val="000000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</w:rPr>
      </w:pPr>
      <w:r>
        <w:rPr>
          <w:rFonts w:ascii="Times New Roman" w:hAnsi="Times New Roman" w:eastAsia="Times New Roman"/>
          <w:b/>
          <w:bCs/>
          <w:color w:val="000000"/>
        </w:rPr>
      </w:r>
      <w:r>
        <w:rPr>
          <w:rFonts w:ascii="Times New Roman" w:hAnsi="Times New Roman" w:eastAsia="Times New Roman"/>
          <w:b/>
          <w:bCs/>
          <w:color w:val="000000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ab/>
        <w:t xml:space="preserve">Муниципальная программа </w:t>
      </w:r>
      <w:r>
        <w:rPr>
          <w:rFonts w:ascii="Times New Roman" w:hAnsi="Times New Roman" w:eastAsia="Times New Roman"/>
          <w:lang w:eastAsia="ru-RU"/>
        </w:rPr>
        <w:t xml:space="preserve">«Молодежная политика города </w:t>
      </w:r>
      <w:r>
        <w:rPr>
          <w:rFonts w:ascii="Times New Roman" w:hAnsi="Times New Roman" w:eastAsia="Times New Roman"/>
          <w:lang w:eastAsia="ru-RU"/>
        </w:rPr>
        <w:t xml:space="preserve">Мегиона</w:t>
      </w:r>
      <w:r>
        <w:rPr>
          <w:rFonts w:ascii="Times New Roman" w:hAnsi="Times New Roman" w:eastAsia="Times New Roman"/>
          <w:lang w:eastAsia="ru-RU"/>
        </w:rPr>
        <w:t xml:space="preserve">»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утверждена постановлением администрации города от 10.11.2023 №1867 (</w:t>
      </w:r>
      <w:r>
        <w:rPr>
          <w:rFonts w:ascii="Times New Roman" w:hAnsi="Times New Roman" w:eastAsia="Times New Roman"/>
          <w:bCs/>
          <w:color w:val="000000"/>
          <w:lang w:val="en-US" w:eastAsia="ru-RU"/>
        </w:rPr>
        <w:t xml:space="preserve">c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изменениями) (далее- муниципальная программа).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bCs/>
          <w:color w:val="000000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в актуальной редакции размещен в сети Интернет по электронному адресу: </w:t>
      </w:r>
      <w:hyperlink r:id="rId37" w:tooltip="https://admmegion.ru/programs/municipal/programmy-2024/molodezhnaya-politika/" w:history="1">
        <w:r>
          <w:rPr>
            <w:rStyle w:val="999"/>
            <w:rFonts w:ascii="Times New Roman" w:hAnsi="Times New Roman"/>
          </w:rPr>
          <w:t xml:space="preserve">https://admmegion.ru/programs/municipal/programmy-2024/molodezhnaya-politika/</w:t>
        </w:r>
      </w:hyperlink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Calibri"/>
        </w:rPr>
        <w:tab/>
        <w:t xml:space="preserve">Ответственный исполнитель муниципальной программы - отдел молодежной политики администрации города </w:t>
      </w:r>
      <w:r>
        <w:rPr>
          <w:rFonts w:ascii="Times New Roman" w:hAnsi="Times New Roman" w:eastAsia="Calibri"/>
        </w:rPr>
        <w:t xml:space="preserve">Мегиона</w:t>
      </w:r>
      <w:r>
        <w:rPr>
          <w:rFonts w:ascii="Times New Roman" w:hAnsi="Times New Roman" w:eastAsia="Calibri"/>
        </w:rPr>
        <w:t xml:space="preserve">.</w:t>
      </w:r>
      <w:r>
        <w:rPr>
          <w:rFonts w:ascii="Times New Roman" w:hAnsi="Times New Roman" w:eastAsia="Times New Roman"/>
          <w:color w:val="000000"/>
        </w:rPr>
      </w:r>
    </w:p>
    <w:p>
      <w:pPr>
        <w:ind w:firstLine="709"/>
        <w:jc w:val="both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Целью муниципальной программы является:</w:t>
      </w:r>
      <w:r>
        <w:rPr>
          <w:rFonts w:ascii="Times New Roman" w:hAnsi="Times New Roman"/>
          <w:b/>
        </w:rPr>
      </w:r>
    </w:p>
    <w:p>
      <w:pPr>
        <w:ind w:right="-108" w:firstLine="708"/>
        <w:jc w:val="both"/>
        <w:widowControl w:val="off"/>
        <w:rPr>
          <w:rFonts w:ascii="Times New Roman CYR" w:hAnsi="Times New Roman CYR" w:eastAsia="Times New Roman" w:cs="Times New Roman CYR"/>
        </w:rPr>
      </w:pPr>
      <w:r>
        <w:rPr>
          <w:rFonts w:ascii="Times New Roman CYR" w:hAnsi="Times New Roman CYR" w:eastAsia="Times New Roman" w:cs="Times New Roman CYR"/>
          <w:lang w:eastAsia="ru-RU"/>
        </w:rPr>
        <w:t xml:space="preserve">Создание условий для реализации государственной молодежной политики на территории города </w:t>
      </w:r>
      <w:r>
        <w:rPr>
          <w:rFonts w:ascii="Times New Roman CYR" w:hAnsi="Times New Roman CYR" w:eastAsia="Times New Roman" w:cs="Times New Roman CYR"/>
          <w:lang w:eastAsia="ru-RU"/>
        </w:rPr>
        <w:t xml:space="preserve">Мегиона</w:t>
      </w:r>
      <w:r>
        <w:rPr>
          <w:rFonts w:ascii="Times New Roman CYR" w:hAnsi="Times New Roman CYR" w:eastAsia="Times New Roman" w:cs="Times New Roman CYR"/>
          <w:lang w:eastAsia="ru-RU"/>
        </w:rPr>
        <w:t xml:space="preserve">. </w:t>
      </w:r>
      <w:r>
        <w:rPr>
          <w:rFonts w:ascii="Times New Roman CYR" w:hAnsi="Times New Roman CYR" w:eastAsia="Times New Roman" w:cs="Times New Roman CYR"/>
        </w:rPr>
      </w:r>
    </w:p>
    <w:p>
      <w:pPr>
        <w:ind w:firstLine="36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bCs/>
        </w:rPr>
        <w:t xml:space="preserve">Уточненный объем бюджетных ассигнований составляет 90 800,1 </w:t>
      </w:r>
      <w:r>
        <w:rPr>
          <w:rFonts w:ascii="Times New Roman" w:hAnsi="Times New Roman"/>
        </w:rPr>
        <w:t xml:space="preserve">тыс. рублей, </w:t>
      </w:r>
      <w:r>
        <w:rPr>
          <w:rFonts w:ascii="Times New Roman" w:hAnsi="Times New Roman"/>
          <w:bCs/>
        </w:rPr>
        <w:t xml:space="preserve">исполнено 45 779,9 ты</w:t>
      </w:r>
      <w:r>
        <w:rPr>
          <w:rFonts w:ascii="Times New Roman" w:hAnsi="Times New Roman" w:eastAsia="Calibri"/>
        </w:rPr>
        <w:t xml:space="preserve">с. рублей</w:t>
      </w:r>
      <w:r>
        <w:rPr>
          <w:rFonts w:ascii="Times New Roman" w:hAnsi="Times New Roman"/>
          <w:bCs/>
        </w:rPr>
        <w:t xml:space="preserve">, или 50,4%, в том числе:</w:t>
      </w:r>
      <w:r>
        <w:rPr>
          <w:rFonts w:ascii="Times New Roman" w:hAnsi="Times New Roman" w:eastAsia="Times New Roman"/>
          <w:lang w:eastAsia="ru-RU"/>
        </w:rPr>
        <w:t xml:space="preserve">  </w:t>
      </w:r>
      <w:r>
        <w:rPr>
          <w:rFonts w:ascii="Times New Roman" w:hAnsi="Times New Roman" w:eastAsia="Times New Roman"/>
        </w:rPr>
      </w:r>
    </w:p>
    <w:p>
      <w:pPr>
        <w:ind w:firstLine="36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36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985"/>
        <w:gridCol w:w="1588"/>
        <w:gridCol w:w="1701"/>
        <w:gridCol w:w="854"/>
      </w:tblGrid>
      <w:tr>
        <w:tblPrEx/>
        <w:trPr/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shd w:val="clear" w:color="auto" w:fill="auto"/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  <w:t xml:space="preserve">Всего по муниципальной программе, в</w:t>
            </w:r>
            <w:r>
              <w:rPr>
                <w:rFonts w:ascii="Times New Roman" w:hAnsi="Times New Roman" w:eastAsiaTheme="minorHAnsi"/>
                <w:bCs/>
                <w:sz w:val="20"/>
                <w:szCs w:val="20"/>
              </w:rPr>
              <w:t xml:space="preserve"> том числе:</w:t>
            </w:r>
            <w:r>
              <w:rPr>
                <w:rFonts w:ascii="Times New Roman" w:hAnsi="Times New Roman" w:eastAsiaTheme="minorHAnsi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90 800,1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45 779,9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50,4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90 800,1</w:t>
            </w: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45 779,9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50,4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69 340,1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75 800,1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37 764,9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49,8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01"/>
        </w:trPr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12 050,0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15 000,0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8 015,0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53,4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/>
          <w:bCs/>
        </w:rPr>
        <w:t xml:space="preserve">Структура расходов муниципальной программы не содержит проектную часть и состоит из процессной части.</w:t>
      </w:r>
      <w:r>
        <w:rPr>
          <w:rFonts w:ascii="Times New Roman" w:hAnsi="Times New Roman" w:eastAsiaTheme="minorHAnsi"/>
        </w:rPr>
      </w:r>
    </w:p>
    <w:p>
      <w:pPr>
        <w:ind w:firstLine="708"/>
        <w:jc w:val="both"/>
        <w:widowControl w:val="off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Бюджетные ассигнования по исполнению процессной части муниципальной программы по направлениям расходования средств представлены следующим образом.</w:t>
      </w:r>
      <w:r>
        <w:rPr>
          <w:rFonts w:ascii="Times New Roman" w:hAnsi="Times New Roman" w:eastAsiaTheme="minorHAnsi"/>
        </w:rPr>
      </w:r>
    </w:p>
    <w:p>
      <w:pPr>
        <w:spacing w:line="276" w:lineRule="auto"/>
        <w:widowControl w:val="off"/>
        <w:rPr>
          <w:rFonts w:ascii="Times New Roman" w:hAnsi="Times New Roman" w:eastAsiaTheme="minorHAnsi"/>
          <w:sz w:val="20"/>
          <w:szCs w:val="20"/>
          <w:highlight w:val="yellow"/>
        </w:rPr>
        <w:outlineLvl w:val="1"/>
      </w:pPr>
      <w:r>
        <w:rPr>
          <w:rFonts w:ascii="Times New Roman" w:hAnsi="Times New Roman" w:eastAsiaTheme="minorHAnsi"/>
          <w:sz w:val="20"/>
          <w:szCs w:val="20"/>
          <w:highlight w:val="yellow"/>
        </w:rPr>
      </w:r>
      <w:r>
        <w:rPr>
          <w:rFonts w:ascii="Times New Roman" w:hAnsi="Times New Roman" w:eastAsiaTheme="minorHAnsi"/>
          <w:sz w:val="20"/>
          <w:szCs w:val="20"/>
          <w:highlight w:val="yellow"/>
        </w:rPr>
      </w:r>
    </w:p>
    <w:p>
      <w:pPr>
        <w:ind w:firstLine="709"/>
        <w:jc w:val="right"/>
        <w:spacing w:line="276" w:lineRule="auto"/>
        <w:widowControl w:val="off"/>
        <w:rPr>
          <w:rFonts w:ascii="Times New Roman" w:hAnsi="Times New Roman" w:eastAsiaTheme="minorHAnsi"/>
          <w:sz w:val="20"/>
          <w:szCs w:val="20"/>
        </w:rPr>
        <w:outlineLvl w:val="1"/>
      </w:pPr>
      <w:r>
        <w:rPr>
          <w:rFonts w:ascii="Times New Roman" w:hAnsi="Times New Roman" w:eastAsiaTheme="minorHAnsi"/>
          <w:sz w:val="20"/>
          <w:szCs w:val="20"/>
        </w:rPr>
        <w:t xml:space="preserve">(тыс. рублей)</w:t>
      </w:r>
      <w:r>
        <w:rPr>
          <w:rFonts w:ascii="Times New Roman" w:hAnsi="Times New Roman" w:eastAsiaTheme="minorHAnsi"/>
          <w:sz w:val="20"/>
          <w:szCs w:val="20"/>
        </w:rPr>
      </w:r>
    </w:p>
    <w:tbl>
      <w:tblPr>
        <w:tblW w:w="5075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2691"/>
        <w:gridCol w:w="1264"/>
        <w:gridCol w:w="1198"/>
        <w:gridCol w:w="1159"/>
        <w:gridCol w:w="1113"/>
        <w:gridCol w:w="2031"/>
      </w:tblGrid>
      <w:tr>
        <w:tblPrEx/>
        <w:trPr/>
        <w:tc>
          <w:tcPr>
            <w:gridSpan w:val="2"/>
            <w:tcW w:w="190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" w:type="pct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1908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  <w:t xml:space="preserve">в том числе: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81 390,1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90 800,1</w:t>
            </w: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45 779,9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50,4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Организация и проведение мероприятий творческой, спортивной, профилактической, гражданско-патриотической и добровольческой направленности городского уровня                           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1 000,0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1 000,0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Исполнение запланировано на 3-4 кварталы 2025 года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Реализация и обеспечение деятельности муниципальных учреждений молодежной политики (местный бюджет)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58 677,6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65 137,6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33 460,3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51,4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1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Предоставление субсидии АНО "Молодежный центр города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" для реализации молодежной политики, материально-технического оснащения учреждений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Исполнение запланировано на 3-4 кварталы 2025 года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1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Организация временного трудоустройства несовершеннолетних граждан, в том числе: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21 212,5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24 162,5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    11 829,6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49,0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Исполнение мероприятий по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рганизации временного трудоустройства несовершеннолетних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планируется в летний период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в свободное от учёбы время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16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местный бюджет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9 162,5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9 162,5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3 814,6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41,6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16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1746" w:type="pct"/>
            <w:textDirection w:val="lrTb"/>
            <w:noWrap w:val="false"/>
          </w:tcPr>
          <w:p>
            <w:pPr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12 050,0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15 000,0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93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8 015,0</w:t>
            </w:r>
            <w:r>
              <w:rPr>
                <w:rFonts w:ascii="Times New Roman" w:hAnsi="Times New Roman" w:eastAsiaTheme="minorHAnsi"/>
                <w:sz w:val="20"/>
                <w:szCs w:val="20"/>
              </w:rPr>
            </w:r>
          </w:p>
        </w:tc>
        <w:tc>
          <w:tcPr>
            <w:tcW w:w="569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</w:rPr>
              <w:t xml:space="preserve">53,4</w:t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  <w:tc>
          <w:tcPr>
            <w:tcW w:w="670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Theme="minorHAnsi"/>
                <w:sz w:val="20"/>
                <w:szCs w:val="20"/>
                <w:highlight w:val="yellow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Theme="minorHAnsi"/>
          <w:highlight w:val="yellow"/>
        </w:rPr>
      </w:pPr>
      <w:r>
        <w:rPr>
          <w:rFonts w:ascii="Times New Roman" w:hAnsi="Times New Roman" w:eastAsiaTheme="minorHAnsi"/>
          <w:highlight w:val="yellow"/>
        </w:rPr>
      </w:r>
      <w:r>
        <w:rPr>
          <w:rFonts w:ascii="Times New Roman" w:hAnsi="Times New Roman" w:eastAsiaTheme="minorHAnsi"/>
          <w:highlight w:val="yellow"/>
        </w:rPr>
      </w:r>
    </w:p>
    <w:p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 w:eastAsia="Times New Roman"/>
          <w:lang w:eastAsia="ru-RU"/>
        </w:rPr>
        <w:t xml:space="preserve">В рамках реализации данной программы бюджетные ассигнования направлены на</w:t>
      </w:r>
      <w:r>
        <w:rPr>
          <w:rFonts w:ascii="Times New Roman" w:hAnsi="Times New Roman"/>
          <w:bCs/>
        </w:rPr>
        <w:t xml:space="preserve"> содержание муниципального учреждения молодежной политики. </w:t>
      </w:r>
      <w:r>
        <w:rPr>
          <w:rFonts w:ascii="Times New Roman" w:hAnsi="Times New Roman"/>
          <w:bCs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ru-RU"/>
        </w:rPr>
        <w:t xml:space="preserve">Реализация мероприятий программы осуществляется путем предоставления субсидий муниципальному автономному учреждению «Центр гражданского и патриотического воспитания им. </w:t>
      </w:r>
      <w:r>
        <w:rPr>
          <w:rFonts w:ascii="Times New Roman" w:hAnsi="Times New Roman" w:eastAsia="Times New Roman"/>
          <w:lang w:eastAsia="ru-RU"/>
        </w:rPr>
        <w:t xml:space="preserve">Е.И.Горбатова</w:t>
      </w:r>
      <w:r>
        <w:rPr>
          <w:rFonts w:ascii="Times New Roman" w:hAnsi="Times New Roman" w:eastAsia="Times New Roman"/>
          <w:lang w:eastAsia="ru-RU"/>
        </w:rPr>
        <w:t xml:space="preserve">» на выполнение муниципального задания по оказанию муниципальных услуг (выполнению работ), субсидий автономному учреждению на иные цели, не связанные с выполнением муниципального задания. </w:t>
      </w:r>
      <w:r>
        <w:rPr>
          <w:rFonts w:ascii="Times New Roman" w:hAnsi="Times New Roman" w:eastAsia="Times New Roman"/>
        </w:rPr>
      </w:r>
    </w:p>
    <w:p>
      <w:pPr>
        <w:ind w:firstLine="567"/>
        <w:jc w:val="both"/>
        <w:spacing w:line="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ru-RU"/>
        </w:rPr>
        <w:t xml:space="preserve">В рамках реализации данной программы бюджетные ассигнования предусмотрены на</w:t>
      </w:r>
      <w:r>
        <w:rPr>
          <w:rFonts w:ascii="Times New Roman" w:hAnsi="Times New Roman"/>
          <w:bCs/>
        </w:rPr>
        <w:t xml:space="preserve"> реализацию мероприятий, направленных на п</w:t>
      </w:r>
      <w:r>
        <w:rPr>
          <w:rFonts w:ascii="Times New Roman" w:hAnsi="Times New Roman" w:eastAsia="Times New Roman"/>
          <w:lang w:eastAsia="ru-RU"/>
        </w:rPr>
        <w:t xml:space="preserve">роведение мероприятий для детей и молодёжи нацеленных на повышение гражданско-патриотической активности, на приобретение инвентаря, оборудования, экипировки, а также</w:t>
      </w:r>
      <w:r>
        <w:rPr>
          <w:rFonts w:ascii="Times New Roman" w:hAnsi="Times New Roman"/>
          <w:bCs/>
        </w:rPr>
        <w:t xml:space="preserve"> на о</w:t>
      </w:r>
      <w:r>
        <w:rPr>
          <w:rFonts w:ascii="Times New Roman" w:hAnsi="Times New Roman" w:eastAsia="Calibri"/>
        </w:rPr>
        <w:t xml:space="preserve">рганизацию временного трудоустройства несовершеннолетних в возрасте от 14 до 18 лет в свободное от учёбы время.</w:t>
      </w:r>
      <w:r>
        <w:rPr>
          <w:rFonts w:ascii="Times New Roman" w:hAnsi="Times New Roman" w:eastAsia="Times New Roman"/>
        </w:rPr>
      </w:r>
    </w:p>
    <w:p>
      <w:pPr>
        <w:ind w:left="3" w:firstLine="705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</w:rPr>
        <w:t xml:space="preserve">Средства были направлены на выплату подросткам компенсации за неиспользованный отпуск согласно законодательства РФ и оплату страховых взносов.    </w:t>
      </w:r>
      <w:r>
        <w:rPr>
          <w:rFonts w:ascii="Times New Roman" w:hAnsi="Times New Roman" w:eastAsia="Calibri"/>
          <w:highlight w:val="yellow"/>
        </w:rPr>
        <w:t xml:space="preserve">         </w:t>
      </w:r>
      <w:r>
        <w:rPr>
          <w:rFonts w:ascii="Times New Roman" w:hAnsi="Times New Roman" w:eastAsia="Calibri"/>
          <w:highlight w:val="yellow"/>
        </w:rPr>
      </w:r>
    </w:p>
    <w:p>
      <w:pPr>
        <w:ind w:left="3" w:firstLine="705"/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lang w:eastAsia="ru-RU"/>
        </w:rPr>
        <w:t xml:space="preserve">По состоянию на 01.07.2025 года трудоустроено 595 человек, в возрасте от 14 до 18 лет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, из них компенсацию за неиспользованный отпуск получили 585. 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left="3" w:firstLine="705"/>
        <w:jc w:val="both"/>
        <w:rPr>
          <w:rFonts w:ascii="Times New Roman" w:hAnsi="Times New Roman" w:eastAsia="Calibri Light"/>
          <w:color w:val="000000"/>
          <w:highlight w:val="yellow"/>
        </w:rPr>
      </w:pPr>
      <w:r>
        <w:rPr>
          <w:rFonts w:ascii="Times New Roman" w:hAnsi="Times New Roman" w:eastAsia="Calibri Light"/>
          <w:color w:val="000000"/>
          <w:highlight w:val="yellow"/>
        </w:rPr>
      </w:r>
      <w:r>
        <w:rPr>
          <w:rFonts w:ascii="Times New Roman" w:hAnsi="Times New Roman" w:eastAsia="Calibri Light"/>
          <w:color w:val="000000"/>
          <w:highlight w:val="yellow"/>
        </w:rPr>
      </w:r>
    </w:p>
    <w:p>
      <w:pPr>
        <w:jc w:val="center"/>
        <w:shd w:val="clear" w:color="auto" w:fill="ffffff" w:themeFill="background1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  <w:lang w:eastAsia="ru-RU"/>
        </w:rPr>
        <w:t xml:space="preserve">25. Программа «Развитие образования»</w:t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/>
          <w:color w:val="333333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Муниципальная программа «Развитие образования» утверждена постановлением администрации города от 27.10.2023 года №1759 (с изменениями)</w:t>
      </w:r>
      <w:r>
        <w:rPr>
          <w:rFonts w:ascii="Times New Roman" w:hAnsi="Times New Roman"/>
          <w:color w:val="333333"/>
          <w:highlight w:val="white"/>
          <w:shd w:val="clear" w:color="auto" w:fill="ffffff"/>
        </w:rPr>
        <w:t xml:space="preserve"> (далее - муниципальная программа).</w:t>
      </w:r>
      <w:r>
        <w:rPr>
          <w:rFonts w:ascii="Times New Roman" w:hAnsi="Times New Roman"/>
          <w:color w:val="333333"/>
          <w:highlight w:val="white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Текст муниципальной программы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в актуальной редакции размещен в сети Интернет по электронному адресу:</w:t>
      </w:r>
      <w:r>
        <w:rPr>
          <w:highlight w:val="white"/>
        </w:rPr>
        <w:t xml:space="preserve"> </w:t>
      </w:r>
      <w:hyperlink r:id="rId38" w:tooltip="https://admmegion.ru/programs/municipal/programmy-2024/razvitie-obrazovaniya/" w:history="1">
        <w:r>
          <w:rPr>
            <w:rStyle w:val="999"/>
            <w:rFonts w:ascii="Times New Roman" w:hAnsi="Times New Roman" w:eastAsia="Times New Roman"/>
            <w:bCs/>
            <w:highlight w:val="white"/>
            <w:lang w:eastAsia="ru-RU"/>
          </w:rPr>
          <w:t xml:space="preserve">https://admmegion.ru/programs/municipal/programmy-2024/razvitie-obrazovaniya/</w:t>
        </w:r>
      </w:hyperlink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 w:themeColor="text1"/>
          <w:highlight w:val="white"/>
        </w:rPr>
      </w:pPr>
      <w:r>
        <w:rPr>
          <w:rFonts w:ascii="Times New Roman" w:hAnsi="Times New Roman" w:eastAsia="Times New Roman"/>
          <w:bCs/>
          <w:color w:val="000000" w:themeColor="text1"/>
          <w:highlight w:val="white"/>
          <w:lang w:eastAsia="ru-RU"/>
        </w:rPr>
        <w:t xml:space="preserve">Ответственный исполнитель муниципальной программы - департамент образования администрации города.</w:t>
      </w:r>
      <w:r>
        <w:rPr>
          <w:rFonts w:ascii="Times New Roman" w:hAnsi="Times New Roman" w:eastAsia="Times New Roman"/>
          <w:color w:val="000000" w:themeColor="text1"/>
          <w:highlight w:val="white"/>
        </w:rPr>
      </w:r>
    </w:p>
    <w:p>
      <w:pPr>
        <w:ind w:firstLine="708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Цели муниципальной программы:</w:t>
      </w:r>
      <w:r>
        <w:rPr>
          <w:rFonts w:ascii="Times New Roman" w:hAnsi="Times New Roman" w:eastAsia="Calibri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1. Обеспечение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общества и каждого жителя города.</w:t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highlight w:val="white"/>
          <w:lang w:eastAsia="ru-RU"/>
        </w:rPr>
        <w:t xml:space="preserve">2. </w:t>
      </w:r>
      <w:r>
        <w:rPr>
          <w:rFonts w:ascii="Times New Roman" w:hAnsi="Times New Roman"/>
          <w:highlight w:val="white"/>
          <w:lang w:eastAsia="ru-RU"/>
        </w:rPr>
        <w:t xml:space="preserve">Формирование эффективной системы выявления, поддержки и развития способностей и талантов у детей и молодежи.</w:t>
      </w:r>
      <w:r>
        <w:rPr>
          <w:rFonts w:ascii="Times New Roman" w:hAnsi="Times New Roman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Times New Roman"/>
          <w:bCs/>
          <w:color w:val="000000"/>
          <w:highlight w:val="white"/>
          <w:lang w:eastAsia="ru-RU"/>
        </w:rPr>
        <w:t xml:space="preserve"> </w:t>
      </w: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</w:t>
      </w:r>
      <w:r>
        <w:rPr>
          <w:rFonts w:ascii="Times New Roman" w:hAnsi="Times New Roman"/>
          <w:highlight w:val="white"/>
        </w:rPr>
        <w:t xml:space="preserve">3 695 715,6 тыс. рублей, </w:t>
      </w:r>
      <w:r>
        <w:rPr>
          <w:rFonts w:ascii="Times New Roman" w:hAnsi="Times New Roman"/>
          <w:bCs/>
          <w:highlight w:val="white"/>
        </w:rPr>
        <w:t xml:space="preserve">исполнено 1 877 331,0</w:t>
      </w:r>
      <w:r>
        <w:rPr>
          <w:rFonts w:ascii="Times New Roman" w:hAnsi="Times New Roman" w:eastAsia="Calibri"/>
          <w:highlight w:val="white"/>
        </w:rPr>
        <w:t xml:space="preserve"> тыс. рублей</w:t>
      </w:r>
      <w:r>
        <w:rPr>
          <w:rFonts w:ascii="Times New Roman" w:hAnsi="Times New Roman"/>
          <w:bCs/>
          <w:highlight w:val="white"/>
        </w:rPr>
        <w:t xml:space="preserve">, или 50,8%,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widowControl w:val="off"/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  <w:highlight w:val="yellow"/>
        </w:rPr>
        <w:t xml:space="preserve">            </w:t>
      </w:r>
      <w:r>
        <w:rPr>
          <w:rFonts w:ascii="Times New Roman" w:hAnsi="Times New Roman"/>
          <w:bCs/>
          <w:highlight w:val="yellow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 w:eastAsia="Calibri"/>
          <w:bCs/>
          <w:highlight w:val="white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highlight w:val="white"/>
        </w:rPr>
      </w:r>
    </w:p>
    <w:tbl>
      <w:tblPr>
        <w:tblW w:w="5072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3156"/>
        <w:gridCol w:w="1820"/>
        <w:gridCol w:w="1366"/>
        <w:gridCol w:w="1702"/>
        <w:gridCol w:w="1203"/>
      </w:tblGrid>
      <w:tr>
        <w:tblPrEx/>
        <w:trPr>
          <w:jc w:val="center"/>
          <w:trHeight w:val="145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97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ind w:left="-106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Всего по муниципальной программе, в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 xml:space="preserve"> том числе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3 574 770,9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3 695 715,6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1 877 331,0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50,8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3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Проектная часть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 xml:space="preserve">263 840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380 146,7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158 234,0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41,6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38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17 272,1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28 902,7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10 033,7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34,7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125 233,5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229 908,8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63 391,8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27,6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3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121 335,2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121 335,2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84 808,5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69,9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Процессная часть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3 310 930,1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3 315 568,9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1 719 097,0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654 664,8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677 379,6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315 565,5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46,6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000000" w:fill="ffffff"/>
            <w:tcBorders>
              <w:left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2 637 611,9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2 619 535,9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1 395 547,3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60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18 653,4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18 653,4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7 984,2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42,8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widowControl w:val="off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9"/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 Исполнение расходов проектной части муниципальной программы </w:t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      «Развитие образования» в разрезе структурных элементов</w:t>
      </w:r>
      <w:r>
        <w:rPr>
          <w:rFonts w:ascii="Times New Roman" w:hAnsi="Times New Roman"/>
          <w:highlight w:val="whit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yellow"/>
        </w:rPr>
        <w:outlineLvl w:val="1"/>
      </w:pPr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yellow"/>
        </w:rPr>
      </w:r>
    </w:p>
    <w:tbl>
      <w:tblPr>
        <w:tblW w:w="5150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3347"/>
        <w:gridCol w:w="1219"/>
        <w:gridCol w:w="1212"/>
        <w:gridCol w:w="1212"/>
        <w:gridCol w:w="807"/>
        <w:gridCol w:w="1733"/>
      </w:tblGrid>
      <w:tr>
        <w:tblPrEx/>
        <w:trPr>
          <w:trHeight w:val="1593"/>
        </w:trPr>
        <w:tc>
          <w:tcPr>
            <w:gridSpan w:val="2"/>
            <w:tcW w:w="34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19"/>
        </w:trPr>
        <w:tc>
          <w:tcPr>
            <w:gridSpan w:val="2"/>
            <w:tcW w:w="34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Проектная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263 840,8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380 146,7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158 234,0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41,6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60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3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Региональные проекты, направленные на достижение целей, показателей и решение задач национальных проекта                                                                                    из них: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263 840,8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380 146,7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158 234,0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41,6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60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3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- Региональный проект «Педагоги и наставники»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91 298,8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91 298,8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58 013,0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63,5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  <w:tc>
          <w:tcPr>
            <w:tcW w:w="160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363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17,8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11,6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65,2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6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1 070,8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1 070,8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698,3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65,2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0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90 210,2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90 210,2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57 303,1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63,5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7"/>
        </w:trPr>
        <w:tc>
          <w:tcPr>
            <w:tcW w:w="3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309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- Региональный проект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"Все лучшее детям"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172 542,0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288 847.9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val="en-US"/>
              </w:rPr>
              <w:t xml:space="preserve">100 221,0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val="en-US"/>
              </w:rPr>
              <w:t xml:space="preserve">34,7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604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Работы по капитальному ремонту здания корпуса №1 МАОУ "СОШ №4" осуществляются согласно сетевому графику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  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17 254,3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28 884,9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10 022,1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34,7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124 162,7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228 838,0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62 693,5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27,4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4"/>
        </w:trPr>
        <w:tc>
          <w:tcPr>
            <w:tcW w:w="3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31 125,0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31 125,0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27 505,4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6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widowControl w:val="off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В рамках муниципальной программы реализуется 2 региональных проекта, направленных на достижение целей, показателей и решение задач национальных проектов.</w:t>
      </w:r>
      <w:r>
        <w:rPr>
          <w:rFonts w:ascii="Times New Roman" w:hAnsi="Times New Roman"/>
          <w:highlight w:val="white"/>
        </w:rPr>
      </w:r>
    </w:p>
    <w:p>
      <w:pPr>
        <w:jc w:val="both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        Региональный проект </w:t>
      </w:r>
      <w:r>
        <w:rPr>
          <w:rFonts w:ascii="Times New Roman" w:hAnsi="Times New Roman"/>
          <w:highlight w:val="white"/>
        </w:rPr>
        <w:t xml:space="preserve">«Педагоги и наставники» направлен на выплату ежемесячного денежного вознаграждения за классное руководство педагогическим работникам муниципальных образовательных организаций, обеспечение деятельности советников директора по воспитанию и взаимодействию с д</w:t>
      </w:r>
      <w:r>
        <w:rPr>
          <w:rFonts w:ascii="Times New Roman" w:hAnsi="Times New Roman"/>
          <w:highlight w:val="white"/>
        </w:rPr>
        <w:t xml:space="preserve">етскими общественными объединениями в общеобразовательных организациях,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организациях.</w:t>
      </w:r>
      <w:r>
        <w:rPr>
          <w:rFonts w:ascii="Times New Roman" w:hAnsi="Times New Roman"/>
          <w:highlight w:val="white"/>
        </w:rPr>
      </w:r>
    </w:p>
    <w:p>
      <w:pPr>
        <w:pStyle w:val="996"/>
        <w:ind w:left="0"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Региональный проект </w:t>
      </w:r>
      <w:r>
        <w:rPr>
          <w:rFonts w:ascii="Times New Roman" w:hAnsi="Times New Roman" w:eastAsia="Times New Roman"/>
          <w:highlight w:val="white"/>
        </w:rPr>
        <w:t xml:space="preserve">«Все лучшее детям" </w:t>
      </w:r>
      <w:r>
        <w:rPr>
          <w:rFonts w:ascii="Times New Roman" w:hAnsi="Times New Roman"/>
          <w:highlight w:val="white"/>
        </w:rPr>
        <w:t xml:space="preserve">направлен на модернизацию школьных систем образования о</w:t>
      </w:r>
      <w:r>
        <w:rPr>
          <w:rFonts w:ascii="Times New Roman" w:hAnsi="Times New Roman" w:eastAsia="Calibri"/>
          <w:highlight w:val="white"/>
        </w:rPr>
        <w:t xml:space="preserve">бъем бюджетных ассигнований, </w:t>
      </w:r>
      <w:r>
        <w:rPr>
          <w:rFonts w:ascii="Times New Roman" w:hAnsi="Times New Roman"/>
          <w:highlight w:val="white"/>
        </w:rPr>
        <w:t xml:space="preserve">проведение к</w:t>
      </w:r>
      <w:r>
        <w:rPr>
          <w:rFonts w:ascii="Times New Roman" w:hAnsi="Times New Roman" w:eastAsia="Times New Roman"/>
          <w:highlight w:val="white"/>
        </w:rPr>
        <w:t xml:space="preserve">апитального ремонта и оснащение </w:t>
      </w:r>
      <w:r>
        <w:rPr>
          <w:rFonts w:ascii="Times New Roman" w:hAnsi="Times New Roman" w:eastAsia="Times New Roman"/>
          <w:highlight w:val="white"/>
        </w:rPr>
        <w:t xml:space="preserve">немонтируемыми</w:t>
      </w:r>
      <w:r>
        <w:rPr>
          <w:rFonts w:ascii="Times New Roman" w:hAnsi="Times New Roman" w:eastAsia="Times New Roman"/>
          <w:highlight w:val="white"/>
        </w:rPr>
        <w:t xml:space="preserve"> средствами обучения и воспитания объектов муниципальных общеобразовательных организаций. Средства направлены на </w:t>
      </w:r>
      <w:r>
        <w:rPr>
          <w:rFonts w:ascii="Times New Roman" w:hAnsi="Times New Roman"/>
          <w:highlight w:val="white"/>
        </w:rPr>
        <w:t xml:space="preserve">ремонт корпуса №1 муниципального автономного образовательного учреждения «Средняя общеобразовательная школа №4».</w:t>
      </w:r>
      <w:r>
        <w:rPr>
          <w:rFonts w:ascii="Times New Roman" w:hAnsi="Times New Roman"/>
          <w:highlight w:val="white"/>
        </w:rPr>
      </w:r>
    </w:p>
    <w:p>
      <w:pPr>
        <w:pStyle w:val="996"/>
        <w:ind w:left="0"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center"/>
        <w:widowControl w:val="off"/>
        <w:rPr>
          <w:rFonts w:ascii="Times New Roman" w:hAnsi="Times New Roman"/>
          <w:highlight w:val="white"/>
        </w:rPr>
        <w:outlineLvl w:val="1"/>
      </w:pPr>
      <w:r>
        <w:rPr>
          <w:rFonts w:ascii="Times New Roman" w:hAnsi="Times New Roman"/>
          <w:highlight w:val="white"/>
        </w:rPr>
        <w:t xml:space="preserve">Исполнение расходов процессной части муниципальной программы                                                </w:t>
      </w:r>
      <w:r>
        <w:rPr>
          <w:rFonts w:ascii="Times New Roman" w:hAnsi="Times New Roman"/>
          <w:highlight w:val="white"/>
        </w:rPr>
        <w:t xml:space="preserve">   «</w:t>
      </w:r>
      <w:r>
        <w:rPr>
          <w:rFonts w:ascii="Times New Roman" w:hAnsi="Times New Roman"/>
          <w:highlight w:val="white"/>
        </w:rPr>
        <w:t xml:space="preserve">Развитие образования» 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right"/>
        <w:widowControl w:val="off"/>
        <w:rPr>
          <w:rFonts w:ascii="Times New Roman" w:hAnsi="Times New Roman"/>
          <w:sz w:val="20"/>
          <w:szCs w:val="20"/>
          <w:highlight w:val="white"/>
        </w:rPr>
        <w:outlineLvl w:val="1"/>
      </w:pPr>
      <w:r/>
      <w:bookmarkStart w:id="0" w:name="_GoBack"/>
      <w:r>
        <w:rPr>
          <w:rFonts w:ascii="Times New Roman" w:hAnsi="Times New Roman"/>
          <w:sz w:val="20"/>
          <w:szCs w:val="20"/>
          <w:highlight w:val="white"/>
        </w:rPr>
        <w:t xml:space="preserve">(тыс. рублей)</w:t>
      </w:r>
      <w:bookmarkEnd w:id="0"/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W w:w="5279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892"/>
        <w:gridCol w:w="1557"/>
        <w:gridCol w:w="1275"/>
        <w:gridCol w:w="1241"/>
        <w:gridCol w:w="1133"/>
        <w:gridCol w:w="1557"/>
      </w:tblGrid>
      <w:tr>
        <w:tblPrEx/>
        <w:trPr>
          <w:trHeight w:val="1275"/>
        </w:trPr>
        <w:tc>
          <w:tcPr>
            <w:gridSpan w:val="2"/>
            <w:tcW w:w="34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Наименование типа структурного элемента, структурного элемента муниципальной программы 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Причины неисполнения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2"/>
        </w:trPr>
        <w:tc>
          <w:tcPr>
            <w:gridSpan w:val="2"/>
            <w:tcW w:w="340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Процессная часть муниципальной программы – всего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3 310 930,1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3 315 568,9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1 719 097,0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51,9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функций органов местного самоуправления (управление) и обеспечения деятельности департамента образования администрации города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44 484,2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44 070,2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19 806,0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44,9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44 484,2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44 070,2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19 806,0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Развитие системы дошкольного и общего образования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2 820 361,0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2 822 394,5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1 535 919,1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540 276,6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539 570,3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259 282,1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280 084,4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2 282 824,2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1 276 637,0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Предоставление компенсаци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36 522,0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36 522,0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17 468,8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47,8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36 522,0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36 522,0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17 468,8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11 714,6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11 714,6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6 713,3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57,3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11 714,6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11 714,6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6 713,3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Развитие системы, методического и информационного сопровождения традиционных, муниципальных и региональных мероприятий дошкольного и общего образования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8 218,4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8 218,4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5 211,4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63,4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8 218,4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8 218,4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5 211,4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Развитие и организационное обеспечение деятельности (оказание услуг) в муниципальных организациях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19 411,0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20 281,5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10 522,1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51,9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19 411,0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20 281,5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10522,1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Организация питания в муниципальных общеобразовательных организациях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197 763,5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197 763,5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101824,9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51,5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10 405,6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10 405,6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4 453,9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168 704,5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168 704,5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89 386,8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федеральный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18 653,4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18 653,4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7 984,2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Организация отдыха и оздоровления детей и подростков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58 423,8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61 753,8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19 280,5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31,2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Исполнение запланировано на 3 квартал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10 798,2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14 128,2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7 225,8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47 625,6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47 625,6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12 054,7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комплексной безопасности образовательных организаций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13 989,0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1 064,7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7,6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Исполнение запланировано на 3 квартал 2025 года</w:t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13 989,0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1 064,7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65"/>
        </w:trPr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Обеспечение комплексной безопасности образовательных организаций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1 189,0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Исполнение запланировано на 3,4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1 189,0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3"/>
        </w:trPr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Подготовка образовательных организаций к осенне-зимнему периоду, к новому учебному году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3 846,9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4 102,1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1 286,2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31,4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Исполнение запланировано на 3,4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327"/>
        </w:trPr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4 102,1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1 286,2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Благоустройство территорий муниципальных общеобразовательных организаций, включая обустройство и (или) ремонт, оснащение плоскостных спортивных сооружений, развивающих площадок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75 325,9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Исполнение запланировано на 3,4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3 766,3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71 559,6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Капитальный ремонт муниципальных учреждений культуры, образования, спорта и иных социальных учреждений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110 184,7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5 509,3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9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104 675,4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0"/>
        </w:trPr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Реализация инициативных проектов, отобранных по результатам конкурса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18 244,3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Исполнение запланировано на 3,4 кварталы 2025 года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5 944,3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95"/>
        </w:trPr>
        <w:tc>
          <w:tcPr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         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12 300,0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jc w:val="center"/>
        <w:tabs>
          <w:tab w:val="left" w:pos="0" w:leader="none"/>
        </w:tabs>
        <w:rPr>
          <w:rFonts w:ascii="Times New Roman" w:hAnsi="Times New Roman" w:eastAsia="Calibri"/>
          <w:b/>
          <w:bCs/>
          <w:highlight w:val="white"/>
        </w:rPr>
      </w:pPr>
      <w:r>
        <w:rPr>
          <w:rFonts w:ascii="Times New Roman" w:hAnsi="Times New Roman" w:eastAsia="Calibri"/>
          <w:b/>
          <w:highlight w:val="white"/>
        </w:rPr>
        <w:t xml:space="preserve">НЕПРОГРАММНЫЕ РАСХОДЫ</w:t>
      </w:r>
      <w:r>
        <w:rPr>
          <w:rFonts w:ascii="Times New Roman" w:hAnsi="Times New Roman" w:eastAsia="Calibri"/>
          <w:b/>
          <w:bCs/>
          <w:highlight w:val="white"/>
        </w:rPr>
      </w:r>
    </w:p>
    <w:p>
      <w:pPr>
        <w:jc w:val="center"/>
        <w:tabs>
          <w:tab w:val="left" w:pos="0" w:leader="none"/>
        </w:tabs>
        <w:rPr>
          <w:rFonts w:ascii="Times New Roman" w:hAnsi="Times New Roman" w:eastAsia="Calibri"/>
          <w:b/>
          <w:bCs/>
          <w:highlight w:val="white"/>
        </w:rPr>
      </w:pPr>
      <w:r>
        <w:rPr>
          <w:rFonts w:ascii="Times New Roman" w:hAnsi="Times New Roman" w:eastAsia="Calibri"/>
          <w:b/>
          <w:bCs/>
          <w:highlight w:val="white"/>
        </w:rPr>
      </w:r>
      <w:r>
        <w:rPr>
          <w:rFonts w:ascii="Times New Roman" w:hAnsi="Times New Roman" w:eastAsia="Calibri"/>
          <w:b/>
          <w:bCs/>
          <w:highlight w:val="white"/>
        </w:rPr>
      </w:r>
    </w:p>
    <w:p>
      <w:pPr>
        <w:ind w:firstLine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  <w:t xml:space="preserve">Непрограммные направления</w:t>
      </w:r>
      <w:r>
        <w:rPr>
          <w:rFonts w:ascii="Times New Roman" w:hAnsi="Times New Roman" w:eastAsia="Times New Roman"/>
          <w:highlight w:val="white"/>
        </w:rPr>
        <w:t xml:space="preserve"> расходов бюджета городского округа включают финансовое обеспечение деятельности органов местного самоуправления, в силу специфики которой, затруднительно применение программно-целевых методов планирования в рамках муниципальных программ городского округа.</w:t>
      </w:r>
      <w:r>
        <w:rPr>
          <w:rFonts w:ascii="Times New Roman" w:hAnsi="Times New Roman"/>
          <w:highlight w:val="white"/>
        </w:rPr>
      </w:r>
    </w:p>
    <w:p>
      <w:pPr>
        <w:ind w:firstLine="851"/>
        <w:jc w:val="both"/>
        <w:rPr>
          <w:rFonts w:ascii="Times New Roman" w:hAnsi="Times New Roman" w:eastAsia="Times New Roman"/>
          <w:bCs/>
          <w:highlight w:val="white"/>
        </w:rPr>
      </w:pPr>
      <w:r>
        <w:rPr>
          <w:rFonts w:ascii="Times New Roman" w:hAnsi="Times New Roman" w:eastAsia="Times New Roman"/>
          <w:bCs/>
          <w:highlight w:val="white"/>
        </w:rPr>
        <w:t xml:space="preserve">Уточненный объем бюджетных ассигнований составляет 82 709,7</w:t>
      </w:r>
      <w:r>
        <w:rPr>
          <w:rFonts w:ascii="Times New Roman" w:hAnsi="Times New Roman" w:eastAsia="Times New Roman"/>
          <w:highlight w:val="white"/>
        </w:rPr>
        <w:t xml:space="preserve"> тыс. рублей, </w:t>
      </w:r>
      <w:r>
        <w:rPr>
          <w:rFonts w:ascii="Times New Roman" w:hAnsi="Times New Roman" w:eastAsia="Times New Roman"/>
          <w:bCs/>
          <w:highlight w:val="white"/>
        </w:rPr>
        <w:t xml:space="preserve">исполнено 46 792,7</w:t>
      </w:r>
      <w:r>
        <w:rPr>
          <w:rFonts w:ascii="Times New Roman" w:hAnsi="Times New Roman" w:eastAsia="Times New Roman"/>
          <w:highlight w:val="white"/>
        </w:rPr>
        <w:t xml:space="preserve"> тыс. рублей</w:t>
      </w:r>
      <w:r>
        <w:rPr>
          <w:rFonts w:ascii="Times New Roman" w:hAnsi="Times New Roman" w:eastAsia="Times New Roman"/>
          <w:bCs/>
          <w:highlight w:val="white"/>
        </w:rPr>
        <w:t xml:space="preserve">, или 56,6%, в том числе:</w:t>
      </w:r>
      <w:r>
        <w:rPr>
          <w:rFonts w:ascii="Times New Roman" w:hAnsi="Times New Roman" w:eastAsia="Times New Roman"/>
          <w:bCs/>
          <w:highlight w:val="white"/>
        </w:rPr>
      </w:r>
    </w:p>
    <w:p>
      <w:pPr>
        <w:ind w:firstLine="851"/>
        <w:jc w:val="both"/>
        <w:rPr>
          <w:rFonts w:ascii="Times New Roman" w:hAnsi="Times New Roman" w:eastAsia="Times New Roman"/>
          <w:bCs/>
          <w:highlight w:val="white"/>
        </w:rPr>
      </w:pPr>
      <w:r>
        <w:rPr>
          <w:rFonts w:ascii="Times New Roman" w:hAnsi="Times New Roman" w:eastAsia="Times New Roman"/>
          <w:bCs/>
          <w:highlight w:val="white"/>
        </w:rPr>
      </w:r>
      <w:r>
        <w:rPr>
          <w:rFonts w:ascii="Times New Roman" w:hAnsi="Times New Roman" w:eastAsia="Times New Roman"/>
          <w:bCs/>
          <w:highlight w:val="white"/>
        </w:rPr>
      </w:r>
    </w:p>
    <w:p>
      <w:pPr>
        <w:ind w:firstLine="851"/>
        <w:jc w:val="both"/>
        <w:rPr>
          <w:rFonts w:ascii="Times New Roman" w:hAnsi="Times New Roman" w:eastAsia="Times New Roman"/>
          <w:bCs/>
          <w:highlight w:val="white"/>
        </w:rPr>
      </w:pPr>
      <w:r>
        <w:rPr>
          <w:rFonts w:ascii="Times New Roman" w:hAnsi="Times New Roman" w:eastAsia="Times New Roman"/>
          <w:bCs/>
          <w:highlight w:val="white"/>
        </w:rPr>
      </w:r>
      <w:r>
        <w:rPr>
          <w:rFonts w:ascii="Times New Roman" w:hAnsi="Times New Roman" w:eastAsia="Times New Roman"/>
          <w:bCs/>
          <w:highlight w:val="white"/>
        </w:rPr>
      </w:r>
    </w:p>
    <w:p>
      <w:pPr>
        <w:ind w:firstLine="851"/>
        <w:jc w:val="both"/>
        <w:rPr>
          <w:rFonts w:ascii="Times New Roman" w:hAnsi="Times New Roman" w:eastAsia="Times New Roman"/>
          <w:bCs/>
          <w:highlight w:val="white"/>
        </w:rPr>
      </w:pPr>
      <w:r>
        <w:rPr>
          <w:rFonts w:ascii="Times New Roman" w:hAnsi="Times New Roman" w:eastAsia="Times New Roman"/>
          <w:bCs/>
          <w:highlight w:val="white"/>
        </w:rPr>
      </w:r>
      <w:r>
        <w:rPr>
          <w:rFonts w:ascii="Times New Roman" w:hAnsi="Times New Roman" w:eastAsia="Times New Roman"/>
          <w:bCs/>
          <w:highlight w:val="white"/>
        </w:rPr>
      </w:r>
    </w:p>
    <w:p>
      <w:pPr>
        <w:ind w:firstLine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ind w:firstLine="851"/>
        <w:jc w:val="righ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  <w:t xml:space="preserve">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4"/>
        <w:gridCol w:w="1701"/>
        <w:gridCol w:w="1276"/>
        <w:gridCol w:w="1417"/>
      </w:tblGrid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Непрограммные направления деятельности – всего, в том числе: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  <w:lang w:eastAsia="ru-RU"/>
              </w:rPr>
              <w:t xml:space="preserve">52 932,4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  <w:lang w:eastAsia="ru-RU"/>
              </w:rPr>
              <w:t xml:space="preserve">2 709,7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  <w:lang w:eastAsia="ru-RU"/>
              </w:rPr>
              <w:t xml:space="preserve">46 792,7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  <w:lang w:eastAsia="ru-RU"/>
              </w:rPr>
              <w:t xml:space="preserve">56,6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Calibri"/>
                <w:iCs/>
                <w:sz w:val="20"/>
                <w:szCs w:val="20"/>
                <w:highlight w:val="white"/>
              </w:rPr>
              <w:t xml:space="preserve">Обеспечение деятельности органов местного самоуправления 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 w:eastAsia="Calibri"/>
                <w:iCs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29 775,2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29 775,2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13 319,7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44,7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Формирование резервного фонда администрации города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1 500,0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1 500,0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Реализация иных полномочий органов местного самоуправления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287,5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46 714,8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33 466,1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71,6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местный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287,5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46 174,8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32 926,1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71,3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540,0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540,0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100,0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Осуществление переданных государственных полномочий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80,2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80,2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8,6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73,3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100,0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Реализация норм, установленных Бюджетным кодексом Российской Федерации (местный бюджет)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outlineLvl w:val="1"/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21 289,5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4 639,5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Calibri"/>
                <w:sz w:val="20"/>
                <w:szCs w:val="20"/>
                <w:highlight w:val="white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Times New Roman"/>
          <w:highlight w:val="yellow"/>
        </w:rPr>
      </w:pPr>
      <w:r>
        <w:rPr>
          <w:rFonts w:ascii="Times New Roman" w:hAnsi="Times New Roman" w:eastAsia="Times New Roman"/>
          <w:highlight w:val="yellow"/>
        </w:rPr>
      </w:r>
      <w:r>
        <w:rPr>
          <w:rFonts w:ascii="Times New Roman" w:hAnsi="Times New Roman" w:eastAsia="Times New Roman"/>
          <w:highlight w:val="yellow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 w:eastAsia="Calibri"/>
          <w:iCs/>
          <w:highlight w:val="white"/>
        </w:rPr>
      </w:pPr>
      <w:r>
        <w:rPr>
          <w:rFonts w:ascii="Times New Roman" w:hAnsi="Times New Roman" w:eastAsia="Calibri"/>
          <w:iCs/>
          <w:highlight w:val="white"/>
        </w:rPr>
        <w:t xml:space="preserve">1. Обеспечение деятельности органов местного самоуправления</w:t>
      </w:r>
      <w:r>
        <w:rPr>
          <w:rFonts w:ascii="Times New Roman" w:hAnsi="Times New Roman" w:eastAsia="Calibri"/>
          <w:iCs/>
          <w:highlight w:val="white"/>
        </w:rPr>
      </w:r>
    </w:p>
    <w:p>
      <w:pPr>
        <w:ind w:firstLine="360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/>
          <w:bCs/>
          <w:highlight w:val="white"/>
        </w:rPr>
        <w:t xml:space="preserve">Уточненный объем бюджетных ассигнований составляет 29 775,2</w:t>
      </w:r>
      <w:r>
        <w:rPr>
          <w:rFonts w:ascii="Times New Roman" w:hAnsi="Times New Roman"/>
          <w:highlight w:val="white"/>
        </w:rPr>
        <w:t xml:space="preserve"> тыс. рублей, </w:t>
      </w:r>
      <w:r>
        <w:rPr>
          <w:rFonts w:ascii="Times New Roman" w:hAnsi="Times New Roman"/>
          <w:bCs/>
          <w:highlight w:val="white"/>
        </w:rPr>
        <w:t xml:space="preserve">исполнено 13 319,7</w:t>
      </w:r>
      <w:r>
        <w:rPr>
          <w:rFonts w:ascii="Times New Roman" w:hAnsi="Times New Roman" w:eastAsia="Calibri"/>
          <w:highlight w:val="white"/>
        </w:rPr>
        <w:t xml:space="preserve"> тыс. рублей</w:t>
      </w:r>
      <w:r>
        <w:rPr>
          <w:rFonts w:ascii="Times New Roman" w:hAnsi="Times New Roman"/>
          <w:bCs/>
          <w:highlight w:val="white"/>
        </w:rPr>
        <w:t xml:space="preserve">, или 44,7%, в том числе:</w:t>
      </w:r>
      <w:r>
        <w:rPr>
          <w:rFonts w:ascii="Times New Roman" w:hAnsi="Times New Roman" w:eastAsia="Times New Roman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/>
          <w:highlight w:val="white"/>
        </w:rPr>
      </w:r>
    </w:p>
    <w:p>
      <w:pPr>
        <w:ind w:left="360"/>
        <w:jc w:val="center"/>
        <w:rPr>
          <w:rFonts w:ascii="Times New Roman" w:hAnsi="Times New Roman"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  <w:highlight w:val="white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55"/>
        <w:gridCol w:w="1672"/>
        <w:gridCol w:w="1418"/>
        <w:gridCol w:w="1275"/>
      </w:tblGrid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Всего: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29 775,2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29 775,2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13 319,7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 xml:space="preserve">44,7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29 775,2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29 775,2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13 319,7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44,7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ind w:left="283"/>
        <w:tabs>
          <w:tab w:val="left" w:pos="709" w:leader="none"/>
        </w:tabs>
        <w:rPr>
          <w:rFonts w:ascii="Times New Roman" w:hAnsi="Times New Roman" w:eastAsia="Calibri"/>
          <w:b/>
          <w:iCs/>
          <w:highlight w:val="yellow"/>
        </w:rPr>
      </w:pPr>
      <w:r>
        <w:rPr>
          <w:rFonts w:ascii="Times New Roman" w:hAnsi="Times New Roman" w:eastAsia="Calibri"/>
          <w:b/>
          <w:iCs/>
          <w:highlight w:val="yellow"/>
        </w:rPr>
      </w:r>
      <w:r>
        <w:rPr>
          <w:rFonts w:ascii="Times New Roman" w:hAnsi="Times New Roman" w:eastAsia="Calibri"/>
          <w:b/>
          <w:iCs/>
          <w:highlight w:val="yellow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highlight w:val="white"/>
        </w:rPr>
        <w:tab/>
        <w:t xml:space="preserve">Объем бюджетных ассигнований предусматривает финансовое обеспечение</w:t>
      </w:r>
      <w:r>
        <w:rPr>
          <w:rFonts w:ascii="Times New Roman" w:hAnsi="Times New Roman" w:eastAsia="Calibri"/>
          <w:color w:val="000000"/>
          <w:highlight w:val="white"/>
        </w:rPr>
        <w:t xml:space="preserve"> деятельности: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color w:val="1d1b11" w:themeColor="background2" w:themeShade="1A"/>
          <w:highlight w:val="white"/>
        </w:rPr>
        <w:tab/>
        <w:t xml:space="preserve">представительного органа муниципального образования, в том числе</w:t>
      </w:r>
      <w:r>
        <w:rPr>
          <w:rFonts w:ascii="Times New Roman" w:hAnsi="Times New Roman" w:eastAsia="Calibri"/>
          <w:highlight w:val="white"/>
        </w:rPr>
        <w:t xml:space="preserve"> денежное содержание заместителя председателя Думы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, а также аппарата Думы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 в сумме 12 445,7 тыс. рублей. Исполнено 5 000,4 тыс. рублей, или 40,2%. Реализация мероприятий будет продолжена в 3-4 квартале 2025 года;</w:t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ab/>
        <w:t xml:space="preserve">Контрольно-счетной палаты города </w:t>
      </w:r>
      <w:r>
        <w:rPr>
          <w:rFonts w:ascii="Times New Roman" w:hAnsi="Times New Roman" w:eastAsia="Calibri"/>
          <w:color w:val="000000"/>
          <w:highlight w:val="white"/>
        </w:rPr>
        <w:t xml:space="preserve">Мегиона</w:t>
      </w:r>
      <w:r>
        <w:rPr>
          <w:rFonts w:ascii="Times New Roman" w:hAnsi="Times New Roman" w:eastAsia="Calibri"/>
          <w:color w:val="000000"/>
          <w:highlight w:val="white"/>
        </w:rPr>
        <w:t xml:space="preserve">, в том числе на</w:t>
      </w:r>
      <w:r>
        <w:rPr>
          <w:rFonts w:ascii="Times New Roman" w:hAnsi="Times New Roman" w:eastAsia="Calibri"/>
          <w:highlight w:val="white"/>
        </w:rPr>
        <w:t xml:space="preserve"> денежное содержание председателя и аудитора Контрольно-счетной палаты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, обеспечение деятельности аппарата Контрольно-счетной палаты города </w:t>
      </w:r>
      <w:r>
        <w:rPr>
          <w:rFonts w:ascii="Times New Roman" w:hAnsi="Times New Roman" w:eastAsia="Calibri"/>
          <w:highlight w:val="white"/>
        </w:rPr>
        <w:t xml:space="preserve">Мегиона</w:t>
      </w:r>
      <w:r>
        <w:rPr>
          <w:rFonts w:ascii="Times New Roman" w:hAnsi="Times New Roman" w:eastAsia="Calibri"/>
          <w:highlight w:val="white"/>
        </w:rPr>
        <w:t xml:space="preserve"> в сумме 17 329,5 тыс. рублей. Исполнено 8 319,3 тыс. рублей, или 48,0%.</w:t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 xml:space="preserve">2. Формирование резервного фонда администрации города</w:t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Times New Roman"/>
          <w:color w:val="000000"/>
          <w:highlight w:val="white"/>
        </w:rPr>
      </w:pPr>
      <w:r>
        <w:rPr>
          <w:rFonts w:ascii="Times New Roman" w:hAnsi="Times New Roman" w:eastAsia="Times New Roman"/>
          <w:color w:val="000000"/>
          <w:highlight w:val="white"/>
        </w:rPr>
        <w:t xml:space="preserve">В составе непрограммных расходов предусмотрены бюджетные ассигнования в сумме 1 500,0 тыс. рублей на формирование резервного фонда администрации города </w:t>
      </w:r>
      <w:r>
        <w:rPr>
          <w:rFonts w:ascii="Times New Roman" w:hAnsi="Times New Roman" w:eastAsia="Times New Roman"/>
          <w:color w:val="000000"/>
          <w:highlight w:val="white"/>
        </w:rPr>
        <w:t xml:space="preserve">Мегиона</w:t>
      </w:r>
      <w:r>
        <w:rPr>
          <w:rFonts w:ascii="Times New Roman" w:hAnsi="Times New Roman" w:eastAsia="Times New Roman"/>
          <w:color w:val="000000"/>
          <w:highlight w:val="white"/>
        </w:rPr>
        <w:t xml:space="preserve"> для финансирования непредвиденных расходов, в том числе </w:t>
      </w:r>
      <w:r>
        <w:rPr>
          <w:rFonts w:ascii="Times New Roman" w:hAnsi="Times New Roman" w:eastAsia="Times New Roman"/>
          <w:highlight w:val="white"/>
        </w:rPr>
        <w:t xml:space="preserve">для финансирования мероприятий </w:t>
      </w:r>
      <w:r>
        <w:rPr>
          <w:rFonts w:ascii="Times New Roman" w:hAnsi="Times New Roman" w:eastAsia="Times New Roman"/>
          <w:color w:val="000000"/>
          <w:highlight w:val="white"/>
        </w:rPr>
        <w:t xml:space="preserve">по проведению аварийно-восстановительных работ по ликвидации последствий стихийных бедствий и других чрезвычайных ситуаций.</w:t>
      </w:r>
      <w:r>
        <w:rPr>
          <w:rFonts w:ascii="Times New Roman" w:hAnsi="Times New Roman" w:eastAsia="Times New Roman"/>
          <w:color w:val="000000"/>
          <w:highlight w:val="white"/>
        </w:rPr>
      </w:r>
    </w:p>
    <w:p>
      <w:pPr>
        <w:pStyle w:val="996"/>
        <w:ind w:left="787"/>
        <w:rPr>
          <w:rFonts w:ascii="Times New Roman" w:hAnsi="Times New Roman" w:eastAsia="Calibri"/>
          <w:iCs/>
          <w:highlight w:val="yellow"/>
        </w:rPr>
      </w:pPr>
      <w:r>
        <w:rPr>
          <w:rFonts w:ascii="Times New Roman" w:hAnsi="Times New Roman" w:eastAsia="Calibri"/>
          <w:iCs/>
          <w:highlight w:val="yellow"/>
        </w:rPr>
        <w:t xml:space="preserve">        </w:t>
      </w:r>
      <w:r>
        <w:rPr>
          <w:rFonts w:ascii="Times New Roman" w:hAnsi="Times New Roman" w:eastAsia="Calibri"/>
          <w:iCs/>
          <w:highlight w:val="yellow"/>
        </w:rPr>
      </w:r>
    </w:p>
    <w:p>
      <w:pPr>
        <w:pStyle w:val="996"/>
        <w:ind w:left="787"/>
        <w:jc w:val="center"/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iCs/>
          <w:highlight w:val="white"/>
        </w:rPr>
        <w:t xml:space="preserve">  3.Реализация иных полномочий органов местного самоуправления</w:t>
      </w:r>
      <w:r>
        <w:rPr>
          <w:rFonts w:ascii="Times New Roman" w:hAnsi="Times New Roman" w:eastAsia="Calibri"/>
          <w:highlight w:val="white"/>
        </w:rPr>
      </w:r>
    </w:p>
    <w:p>
      <w:pPr>
        <w:pStyle w:val="996"/>
        <w:ind w:left="787"/>
        <w:jc w:val="center"/>
        <w:rPr>
          <w:rFonts w:ascii="Times New Roman" w:hAnsi="Times New Roman" w:eastAsia="Calibri"/>
          <w:iCs/>
          <w:highlight w:val="white"/>
        </w:rPr>
      </w:pPr>
      <w:r>
        <w:rPr>
          <w:rFonts w:ascii="Times New Roman" w:hAnsi="Times New Roman" w:eastAsia="Calibri"/>
          <w:iCs/>
          <w:highlight w:val="white"/>
        </w:rPr>
      </w:r>
      <w:r>
        <w:rPr>
          <w:rFonts w:ascii="Times New Roman" w:hAnsi="Times New Roman" w:eastAsia="Calibri"/>
          <w:iCs/>
          <w:highlight w:val="white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  <w:bCs/>
          <w:color w:val="000000"/>
          <w:highlight w:val="white"/>
        </w:rPr>
      </w:pPr>
      <w:r>
        <w:rPr>
          <w:rFonts w:ascii="Times New Roman" w:hAnsi="Times New Roman"/>
          <w:bCs/>
          <w:highlight w:val="white"/>
        </w:rPr>
        <w:tab/>
        <w:t xml:space="preserve">Уточненный объем бюджетных ассигнований составляет 46 714,8 тыс. рублей, исполнено 33 466,1 тыс. рублей, или 71,6%, в том числе:</w:t>
      </w:r>
      <w:r>
        <w:rPr>
          <w:rFonts w:ascii="Times New Roman" w:hAnsi="Times New Roman" w:eastAsia="Times New Roman"/>
          <w:bCs/>
          <w:color w:val="000000"/>
          <w:highlight w:val="white"/>
        </w:rPr>
      </w:r>
    </w:p>
    <w:p>
      <w:pPr>
        <w:ind w:left="360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p>
      <w:pPr>
        <w:ind w:left="360"/>
        <w:jc w:val="righ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 (тыс. рублей)</w:t>
      </w:r>
      <w:r>
        <w:rPr>
          <w:rFonts w:ascii="Times New Roman" w:hAnsi="Times New Roman"/>
          <w:sz w:val="20"/>
          <w:szCs w:val="20"/>
          <w:highlight w:val="white"/>
        </w:rPr>
      </w:r>
    </w:p>
    <w:tbl>
      <w:tblPr>
        <w:tblW w:w="966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417"/>
        <w:gridCol w:w="1418"/>
        <w:gridCol w:w="1304"/>
      </w:tblGrid>
      <w:tr>
        <w:tblPrEx/>
        <w:trPr>
          <w:trHeight w:val="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Утверждено решением Думы города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от 09.12.2024 №427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%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испол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нения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  <w:t xml:space="preserve">Всего: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287,5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46 714,8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33 466,1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  <w:t xml:space="preserve">71,6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местный бюджет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287,5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46 174,8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32 926,1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71,3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540,0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left="360"/>
        <w:jc w:val="center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</w:r>
      <w:r>
        <w:rPr>
          <w:rFonts w:ascii="Times New Roman" w:hAnsi="Times New Roman"/>
          <w:sz w:val="20"/>
          <w:szCs w:val="20"/>
          <w:highlight w:val="yellow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В составе иных полномочий за счет средств местного бюджета предусмотрены бюджетные ассигнования на: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исполнение исполнительных документов в сумме 22 482,7 тыс. рублей. На 01.07.2025 исполнено 22 357,5 тыс. рублей, или 99,4%;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исполнение постановлений, предписаний надзорных органов в сумме 5 419,9 тыс. рублей. Исполнено 5 419,9 тыс. рублей, или 100,0%;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единовременные денежные вознаграждения к Почетной грамоте Думы города в сумме 287,5 тыс. рублей. Исполнено 102,0 тыс. рублей, или 35,5%. Расходы осуществляются по мере принятия решения о награждении;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единовременные дене</w:t>
      </w:r>
      <w:r>
        <w:rPr>
          <w:rFonts w:ascii="Times New Roman" w:hAnsi="Times New Roman" w:eastAsia="Calibri"/>
          <w:color w:val="000000"/>
          <w:highlight w:val="white"/>
        </w:rPr>
        <w:t xml:space="preserve">жные выплаты гражданам, заключившим контракт о прохождении военной службы в Вооруженных Силах Российской Федерации, направленных для выполнения задач в ходе специальной военной операции в сумме 8 850,0 тыс. рублей. Исполнено 4 050,0 тыс. рублей, или 45,8%;</w:t>
      </w:r>
      <w:r>
        <w:rPr>
          <w:rFonts w:ascii="Times New Roman" w:hAnsi="Times New Roman" w:eastAsia="Calibri"/>
          <w:color w:val="000000"/>
        </w:rPr>
      </w:r>
    </w:p>
    <w:p>
      <w:pPr>
        <w:ind w:firstLine="708"/>
        <w:jc w:val="both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Calibri"/>
          <w:color w:val="000000"/>
        </w:rPr>
        <w:t xml:space="preserve">проведение муниципальных выборов в сумме 8 138,0 тыс. рублей. Исполнение планируется в 3 квартале 2025 года;</w:t>
      </w:r>
      <w:r>
        <w:rPr>
          <w:rFonts w:ascii="Times New Roman" w:hAnsi="Times New Roman" w:eastAsia="Calibri"/>
          <w:color w:val="000000"/>
        </w:rPr>
      </w:r>
    </w:p>
    <w:p>
      <w:pPr>
        <w:jc w:val="both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Calibri"/>
          <w:color w:val="000000"/>
        </w:rPr>
        <w:t xml:space="preserve">           оплату строительно-товароведческой судебной экспертизы в сумме 148,0 тыс. рублей. Исполнение составило 100,0%;</w:t>
      </w:r>
      <w:r>
        <w:rPr>
          <w:rFonts w:ascii="Times New Roman" w:hAnsi="Times New Roman" w:eastAsia="Calibri"/>
          <w:color w:val="000000"/>
        </w:rPr>
      </w:r>
    </w:p>
    <w:p>
      <w:pPr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</w:rPr>
        <w:t xml:space="preserve">           единовременные денежные выплаты отдельным категориям граждан ко Дню Победы в Великой Отечественной войне в сумме 848,7 тыс. рублей. Исполнение составило 100,0%.</w:t>
      </w:r>
      <w:r>
        <w:rPr>
          <w:rFonts w:ascii="Times New Roman" w:hAnsi="Times New Roman" w:eastAsia="Calibri"/>
          <w:color w:val="000000"/>
        </w:rPr>
        <w:tab/>
      </w:r>
      <w:r>
        <w:rPr>
          <w:rFonts w:ascii="Times New Roman" w:hAnsi="Times New Roman" w:eastAsia="Calibri"/>
          <w:color w:val="000000"/>
          <w:highlight w:val="white"/>
        </w:rPr>
        <w:tab/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jc w:val="both"/>
        <w:rPr>
          <w:rFonts w:ascii="Times New Roman" w:hAnsi="Times New Roman" w:eastAsia="Calibri"/>
          <w:color w:val="000000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 xml:space="preserve">              За </w:t>
      </w:r>
      <w:r>
        <w:rPr>
          <w:rFonts w:ascii="Times New Roman" w:hAnsi="Times New Roman" w:eastAsia="Calibri"/>
          <w:color w:val="000000"/>
          <w:highlight w:val="white"/>
        </w:rPr>
        <w:t xml:space="preserve">счет бюджетных ассигнований резервного фонда Правительства Ханты-Мансийского автономного округа – Югры предусмотрены бюджетные ассигнования на единовременные денежные поощрительные выплаты в сумме 540,0 тыс. рублей, исполнено 540,0 тыс. рублей, или 100,0%.</w:t>
      </w:r>
      <w:r>
        <w:rPr>
          <w:rFonts w:ascii="Times New Roman" w:hAnsi="Times New Roman" w:eastAsia="Calibri"/>
          <w:color w:val="000000"/>
          <w:highlight w:val="yellow"/>
        </w:rPr>
        <w:t xml:space="preserve">    </w:t>
      </w:r>
      <w:r>
        <w:rPr>
          <w:rFonts w:ascii="Times New Roman" w:hAnsi="Times New Roman" w:eastAsia="Calibri"/>
          <w:iCs/>
          <w:highlight w:val="yellow"/>
        </w:rPr>
        <w:t xml:space="preserve">      </w:t>
      </w:r>
      <w:r>
        <w:rPr>
          <w:rFonts w:ascii="Times New Roman" w:hAnsi="Times New Roman" w:eastAsia="Calibri"/>
          <w:color w:val="000000"/>
          <w:highlight w:val="white"/>
        </w:rPr>
      </w:r>
    </w:p>
    <w:p>
      <w:pPr>
        <w:contextualSpacing/>
        <w:ind w:left="787"/>
        <w:jc w:val="center"/>
        <w:rPr>
          <w:rFonts w:ascii="Times New Roman" w:hAnsi="Times New Roman" w:eastAsia="Calibri"/>
          <w:highlight w:val="yellow"/>
          <w:u w:val="single"/>
        </w:rPr>
      </w:pPr>
      <w:r>
        <w:rPr>
          <w:rFonts w:ascii="Times New Roman" w:hAnsi="Times New Roman" w:eastAsia="Calibri"/>
          <w:highlight w:val="yellow"/>
          <w:u w:val="single"/>
        </w:rPr>
      </w:r>
      <w:r>
        <w:rPr>
          <w:rFonts w:ascii="Times New Roman" w:hAnsi="Times New Roman" w:eastAsia="Calibri"/>
          <w:highlight w:val="yellow"/>
          <w:u w:val="single"/>
        </w:rPr>
      </w:r>
    </w:p>
    <w:p>
      <w:pPr>
        <w:contextualSpacing/>
        <w:ind w:left="787"/>
        <w:jc w:val="center"/>
        <w:rPr>
          <w:rFonts w:ascii="Times New Roman" w:hAnsi="Times New Roman" w:eastAsia="Calibri"/>
          <w:iCs/>
          <w:highlight w:val="white"/>
        </w:rPr>
      </w:pPr>
      <w:r>
        <w:rPr>
          <w:rFonts w:ascii="Times New Roman" w:hAnsi="Times New Roman" w:eastAsia="Calibri"/>
          <w:iCs/>
          <w:highlight w:val="white"/>
        </w:rPr>
        <w:t xml:space="preserve">4.Осуществление переданных государственных полномочий</w:t>
      </w:r>
      <w:r>
        <w:rPr>
          <w:rFonts w:ascii="Times New Roman" w:hAnsi="Times New Roman" w:eastAsia="Calibri"/>
          <w:iCs/>
          <w:highlight w:val="white"/>
        </w:rPr>
      </w:r>
    </w:p>
    <w:p>
      <w:pPr>
        <w:ind w:firstLine="360"/>
        <w:jc w:val="both"/>
        <w:tabs>
          <w:tab w:val="left" w:pos="709" w:leader="none"/>
        </w:tabs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  <w:t xml:space="preserve">    </w:t>
      </w:r>
      <w:r>
        <w:rPr>
          <w:rFonts w:ascii="Times New Roman" w:hAnsi="Times New Roman" w:eastAsia="Calibri"/>
          <w:highlight w:val="yellow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 w:eastAsia="Calibri"/>
        </w:rPr>
        <w:tab/>
        <w:t xml:space="preserve">В составе непрограммных расходов отражен объем межбюджетных трансфертов из вышестоящих бюджетов в сумме 80,2</w:t>
      </w:r>
      <w:r>
        <w:rPr>
          <w:rFonts w:ascii="Times New Roman" w:hAnsi="Times New Roman"/>
        </w:rPr>
        <w:t xml:space="preserve"> тыс. рублей, </w:t>
      </w:r>
      <w:r>
        <w:rPr>
          <w:rFonts w:ascii="Times New Roman" w:hAnsi="Times New Roman"/>
          <w:bCs/>
        </w:rPr>
        <w:t xml:space="preserve">исполнение составило 6,9 тыс. рублей, или 8,6%, в том числе: </w:t>
      </w:r>
      <w:r>
        <w:rPr>
          <w:rFonts w:ascii="Times New Roman" w:hAnsi="Times New Roman" w:eastAsia="Times New Roman"/>
        </w:rPr>
      </w:r>
    </w:p>
    <w:p>
      <w:pPr>
        <w:ind w:left="36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(тыс. рублей)</w:t>
      </w:r>
      <w:r>
        <w:rPr>
          <w:rFonts w:ascii="Times New Roman" w:hAnsi="Times New Roman"/>
          <w:bCs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5"/>
        <w:gridCol w:w="1984"/>
        <w:gridCol w:w="1985"/>
        <w:gridCol w:w="1166"/>
      </w:tblGrid>
      <w:tr>
        <w:tblPrEx/>
        <w:trPr>
          <w:trHeight w:val="27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решением Думы        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Мегиона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09.12.2024 №427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Показатели сводной бюджетной росписи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Исполнено на 01.07.2025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% исполнения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80,2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80,2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8,6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</w:r>
    </w:p>
    <w:p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Calibri"/>
        </w:rPr>
        <w:t xml:space="preserve">За счет средств бюджета автономного округа бюджетные ассигнова</w:t>
      </w:r>
      <w:r>
        <w:rPr>
          <w:rFonts w:ascii="Times New Roman" w:hAnsi="Times New Roman" w:eastAsia="Calibri"/>
        </w:rPr>
        <w:t xml:space="preserve">ния направлены на осуществление полномочий по реализации государственной программы «Поддержка занятости населения». Объём бюджетных ассигнований составляет 73,3 тыс. рублей. Средства предусмотрены на организацию проведения оплачиваемых общественных работ. </w:t>
      </w:r>
      <w:r>
        <w:rPr>
          <w:rFonts w:ascii="Times New Roman" w:hAnsi="Times New Roman"/>
        </w:rPr>
        <w:t xml:space="preserve">Реализация мероприятий планируются в 3-4 кварталах 2025 года.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rPr>
          <w:rFonts w:ascii="Times New Roman" w:hAnsi="Times New Roman" w:eastAsia="Times New Roman"/>
          <w:bCs/>
          <w:color w:val="000000"/>
        </w:rPr>
      </w:pPr>
      <w:r>
        <w:rPr>
          <w:rFonts w:ascii="Times New Roman" w:hAnsi="Times New Roman" w:eastAsia="Times New Roman"/>
          <w:lang w:eastAsia="ru-RU"/>
        </w:rPr>
        <w:t xml:space="preserve">           За счет средств</w:t>
      </w:r>
      <w:r>
        <w:rPr>
          <w:rFonts w:ascii="Times New Roman" w:hAnsi="Times New Roman" w:eastAsia="Times New Roman"/>
          <w:bCs/>
          <w:color w:val="000000"/>
          <w:lang w:eastAsia="ru-RU"/>
        </w:rPr>
        <w:t xml:space="preserve"> федерального бюджета бюджетные ассигнования направлены </w:t>
      </w:r>
      <w:r>
        <w:rPr>
          <w:rFonts w:ascii="Times New Roman" w:hAnsi="Times New Roman" w:eastAsia="Times New Roman"/>
          <w:lang w:eastAsia="ru-RU"/>
        </w:rPr>
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Федерации. Объем бюджетных ассигнований составляет</w:t>
      </w:r>
      <w:r>
        <w:rPr>
          <w:rFonts w:ascii="Times New Roman" w:hAnsi="Times New Roman" w:eastAsia="Calibri"/>
        </w:rPr>
        <w:t xml:space="preserve"> 6,9</w:t>
      </w:r>
      <w:r>
        <w:rPr>
          <w:rFonts w:ascii="Times New Roman" w:hAnsi="Times New Roman"/>
        </w:rPr>
        <w:t xml:space="preserve"> тыс. рублей, исполнение составило 6,9 тыс. рублей, или 100,0%.</w:t>
      </w:r>
      <w:r>
        <w:rPr>
          <w:rFonts w:ascii="Times New Roman" w:hAnsi="Times New Roman" w:eastAsia="Times New Roman"/>
          <w:bCs/>
          <w:color w:val="000000"/>
        </w:rPr>
      </w:r>
    </w:p>
    <w:p>
      <w:pPr>
        <w:ind w:firstLine="709"/>
        <w:jc w:val="both"/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center"/>
        <w:widowControl w:val="off"/>
        <w:rPr>
          <w:rFonts w:ascii="Times New Roman" w:hAnsi="Times New Roman" w:eastAsia="Calibri"/>
          <w:color w:val="000000" w:themeColor="text1"/>
          <w:highlight w:val="white"/>
        </w:rPr>
      </w:pPr>
      <w:r>
        <w:rPr>
          <w:rFonts w:ascii="Times New Roman" w:hAnsi="Times New Roman" w:eastAsia="Calibri"/>
          <w:color w:val="000000" w:themeColor="text1"/>
          <w:highlight w:val="white"/>
        </w:rPr>
        <w:t xml:space="preserve">5.</w:t>
      </w:r>
      <w:r>
        <w:rPr>
          <w:rFonts w:ascii="Cambria" w:hAnsi="Cambria" w:eastAsia="Cambria"/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Calibri"/>
          <w:color w:val="000000" w:themeColor="text1"/>
          <w:highlight w:val="white"/>
        </w:rPr>
        <w:t xml:space="preserve">Реализация норм, установленных Бюджетным кодексом Российской Федерации</w:t>
      </w:r>
      <w:r>
        <w:rPr>
          <w:rFonts w:ascii="Times New Roman" w:hAnsi="Times New Roman" w:eastAsia="Calibri"/>
          <w:color w:val="000000" w:themeColor="text1"/>
          <w:highlight w:val="white"/>
        </w:rPr>
      </w:r>
    </w:p>
    <w:p>
      <w:pPr>
        <w:jc w:val="both"/>
        <w:widowControl w:val="off"/>
        <w:rPr>
          <w:rFonts w:ascii="Times New Roman" w:hAnsi="Times New Roman" w:eastAsia="Calibri"/>
          <w:color w:val="000000" w:themeColor="text1"/>
          <w:highlight w:val="white"/>
        </w:rPr>
      </w:pPr>
      <w:r>
        <w:rPr>
          <w:rFonts w:ascii="Times New Roman" w:hAnsi="Times New Roman" w:eastAsia="Calibri"/>
          <w:color w:val="000000" w:themeColor="text1"/>
          <w:highlight w:val="white"/>
        </w:rPr>
      </w:r>
      <w:r>
        <w:rPr>
          <w:rFonts w:ascii="Times New Roman" w:hAnsi="Times New Roman" w:eastAsia="Calibri"/>
          <w:color w:val="000000" w:themeColor="text1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color w:val="000000"/>
          <w:highlight w:val="white"/>
        </w:rPr>
        <w:tab/>
        <w:t xml:space="preserve">В составе непрограммных расходов зарезервированы бюджетные ассигнования</w:t>
      </w:r>
      <w:r>
        <w:rPr>
          <w:rFonts w:ascii="Times New Roman" w:hAnsi="Times New Roman" w:eastAsia="Cambria"/>
          <w:highlight w:val="white"/>
        </w:rPr>
        <w:t xml:space="preserve">:</w:t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ab/>
        <w:t xml:space="preserve">на реализацию инициативных проектов, в целях финансового обеспечения соответствующих расходных обязательств муниципального образования в сумме 2 989,5 тыс. рублей;</w:t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white"/>
        </w:rPr>
      </w:pPr>
      <w:r>
        <w:rPr>
          <w:rFonts w:ascii="Times New Roman" w:hAnsi="Times New Roman" w:eastAsia="Calibri"/>
          <w:highlight w:val="white"/>
        </w:rPr>
        <w:tab/>
        <w:t xml:space="preserve"> на выплату доп</w:t>
      </w:r>
      <w:r>
        <w:rPr>
          <w:rFonts w:ascii="Times New Roman" w:hAnsi="Times New Roman" w:eastAsia="Calibri"/>
          <w:highlight w:val="white"/>
        </w:rPr>
        <w:t xml:space="preserve">олнительной меры социальной поддержки граждан в городском округе, заключивших контракт о прохождении военной службы в Вооруженных Силах Российской Федерации, направленных для выполнения задач в ходе специальной военной операции в сумме 1 650,0 тыс. рублей.</w:t>
      </w:r>
      <w:r>
        <w:rPr>
          <w:rFonts w:ascii="Times New Roman" w:hAnsi="Times New Roman" w:eastAsia="Calibri"/>
          <w:highlight w:val="white"/>
        </w:rPr>
      </w:r>
    </w:p>
    <w:p>
      <w:pPr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/>
          <w:highlight w:val="yellow"/>
        </w:rPr>
      </w:pPr>
      <w:r>
        <w:rPr>
          <w:rFonts w:ascii="Times New Roman" w:hAnsi="Times New Roman" w:eastAsia="Calibri"/>
          <w:highlight w:val="yellow"/>
        </w:rPr>
      </w:r>
      <w:r>
        <w:rPr>
          <w:rFonts w:ascii="Times New Roman" w:hAnsi="Times New Roman" w:eastAsia="Calibri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  <w:lang w:eastAsia="ru-RU"/>
        </w:rPr>
        <w:t xml:space="preserve">ИСТОЧНИКИ ФИНАНСИРОВАНИЯ ДЕФИЦИТА БЮДЖЕТА</w:t>
      </w:r>
      <w:r>
        <w:rPr>
          <w:rFonts w:ascii="Times New Roman" w:hAnsi="Times New Roman" w:eastAsia="Times New Roman"/>
          <w:b/>
        </w:rPr>
      </w:r>
    </w:p>
    <w:p>
      <w:pPr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Между администрацией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 округа – Югры 26.04.2022 года заключен договор бюджетного кредита для погашения долговых обязательств от 26.04.2022 №8/02-22 в сумме 40 000 000,00 руб. под 0,1% годовых.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01.07.2025 задолженность по бюджетному кредиту от 26.04.2022 №8/02-22 погашена в полном объеме.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Также между администрацией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 округа – Югры 16.11.2022 года заключен договор бюджетного кредита для финансирования дефицита бюджета от 16.11.2022 №13/02-22 в сумме 170 000 000,00 руб. под 0,1% годовых.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01.07.2025 сумма задолженности по бюджетному кредиту                         от 16.11.2022 №13/02-22 составляет 24 285 710,00 руб.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Кроме того, между администрацией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 округа – Югры 14.12.2023 года заключен договор бюджетного кредита для финансирования дефицита бюджета от 14.12.2023 №11/02-23 в сумме 211 000 000,00 руб. под 0,1% годовых.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01.07.2025 сумма задолженности по бюджетному кредиту                         от 14.12.2023 №11/02-23 составляет 105 484 000,00 руб. 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Также между администрацией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и Департаментом финансов Ханты-Мансийского автономного округа – Югры 19.12.2024 года заключен договор бюджетного кредита для финансирования дефицита бюджета от 19.12.2024 №8/24-ДБ в сумме 220 000 000,00 руб. под 0,1% годовых.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01.07.2025 сумма задолженности по бюджетному кредиту                         от 16.11.2022 №13/02-22 составляет 183 333 328,00 руб.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 состоянию на 01.07.2025 общая сумма муниципального долга города </w:t>
      </w:r>
      <w:r>
        <w:rPr>
          <w:rFonts w:ascii="Times New Roman" w:hAnsi="Times New Roman"/>
          <w:highlight w:val="white"/>
        </w:rPr>
        <w:t xml:space="preserve">Мегиона</w:t>
      </w:r>
      <w:r>
        <w:rPr>
          <w:rFonts w:ascii="Times New Roman" w:hAnsi="Times New Roman"/>
          <w:highlight w:val="white"/>
        </w:rPr>
        <w:t xml:space="preserve"> составляет 313 103 038,00 руб.</w:t>
      </w:r>
      <w:r>
        <w:rPr>
          <w:rFonts w:ascii="Times New Roman" w:hAnsi="Times New Roman"/>
          <w:highlight w:val="white"/>
        </w:rPr>
      </w:r>
    </w:p>
    <w:p>
      <w:pPr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</w:r>
    </w:p>
    <w:p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Директор департамента финансов                                                                                                   </w:t>
      </w:r>
      <w:r>
        <w:rPr>
          <w:rFonts w:ascii="Times New Roman" w:hAnsi="Times New Roman" w:eastAsia="Calibri"/>
        </w:rPr>
        <w:t xml:space="preserve">В.А.Ситникова</w:t>
      </w:r>
      <w:r>
        <w:rPr>
          <w:rFonts w:ascii="Times New Roman" w:hAnsi="Times New Roman" w:eastAsia="Calibri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Ольга Владимировна Иванова</w:t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8(34643)96335*25120#</w:t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Ирина Владимировна Грига </w:t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8(34643)96335*25115#</w:t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Эльвира Мягзумовна Сяфукова</w:t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8(34643)96335*25125#</w:t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Наталья Алексеевна Демочкина</w:t>
      </w:r>
      <w:r>
        <w:rPr>
          <w:sz w:val="20"/>
          <w:szCs w:val="20"/>
        </w:rPr>
      </w:r>
    </w:p>
    <w:p>
      <w:pPr>
        <w:pStyle w:val="994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8(34643)96335*25101#</w:t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Times New Roman CYR">
    <w:panose1 w:val="02020603050405020304"/>
  </w:font>
  <w:font w:name="Batang">
    <w:panose1 w:val="02010600030101010101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ambria">
    <w:panose1 w:val="02040503050406030204"/>
  </w:font>
  <w:font w:name="Consolas">
    <w:panose1 w:val="020B0609020204030204"/>
  </w:font>
  <w:font w:name="Lucida Sans Unicode">
    <w:panose1 w:val="020B0602030504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29338078"/>
      <w:docPartObj>
        <w:docPartGallery w:val="Page Numbers (Top of Page)"/>
        <w:docPartUnique w:val="true"/>
      </w:docPartObj>
      <w:rPr/>
    </w:sdtPr>
    <w:sdtContent>
      <w:p>
        <w:pPr>
          <w:pStyle w:val="1019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 xml:space="preserve">52</w:t>
        </w:r>
        <w:r>
          <w:rPr>
            <w:sz w:val="16"/>
            <w:szCs w:val="16"/>
          </w:rPr>
          <w:fldChar w:fldCharType="end"/>
        </w:r>
        <w:r/>
      </w:p>
    </w:sdtContent>
  </w:sdt>
  <w:p>
    <w:pPr>
      <w:pStyle w:val="10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3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 w:eastAsia="Times New Roman" w:cstheme="minorBidi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)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3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2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0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36"/>
  </w:num>
  <w:num w:numId="3">
    <w:abstractNumId w:val="9"/>
  </w:num>
  <w:num w:numId="4">
    <w:abstractNumId w:val="11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5"/>
  </w:num>
  <w:num w:numId="9">
    <w:abstractNumId w:val="8"/>
  </w:num>
  <w:num w:numId="10">
    <w:abstractNumId w:val="26"/>
  </w:num>
  <w:num w:numId="11">
    <w:abstractNumId w:val="12"/>
  </w:num>
  <w:num w:numId="12">
    <w:abstractNumId w:val="32"/>
  </w:num>
  <w:num w:numId="13">
    <w:abstractNumId w:val="40"/>
  </w:num>
  <w:num w:numId="14">
    <w:abstractNumId w:val="2"/>
  </w:num>
  <w:num w:numId="15">
    <w:abstractNumId w:val="34"/>
  </w:num>
  <w:num w:numId="16">
    <w:abstractNumId w:val="18"/>
  </w:num>
  <w:num w:numId="17">
    <w:abstractNumId w:val="1"/>
  </w:num>
  <w:num w:numId="18">
    <w:abstractNumId w:val="15"/>
  </w:num>
  <w:num w:numId="19">
    <w:abstractNumId w:val="21"/>
  </w:num>
  <w:num w:numId="20">
    <w:abstractNumId w:val="20"/>
  </w:num>
  <w:num w:numId="21">
    <w:abstractNumId w:val="10"/>
  </w:num>
  <w:num w:numId="22">
    <w:abstractNumId w:val="43"/>
  </w:num>
  <w:num w:numId="23">
    <w:abstractNumId w:val="45"/>
  </w:num>
  <w:num w:numId="24">
    <w:abstractNumId w:val="5"/>
  </w:num>
  <w:num w:numId="25">
    <w:abstractNumId w:val="3"/>
  </w:num>
  <w:num w:numId="26">
    <w:abstractNumId w:val="23"/>
  </w:num>
  <w:num w:numId="27">
    <w:abstractNumId w:val="44"/>
  </w:num>
  <w:num w:numId="28">
    <w:abstractNumId w:val="13"/>
  </w:num>
  <w:num w:numId="29">
    <w:abstractNumId w:val="35"/>
  </w:num>
  <w:num w:numId="30">
    <w:abstractNumId w:val="31"/>
  </w:num>
  <w:num w:numId="31">
    <w:abstractNumId w:val="38"/>
  </w:num>
  <w:num w:numId="32">
    <w:abstractNumId w:val="17"/>
  </w:num>
  <w:num w:numId="33">
    <w:abstractNumId w:val="24"/>
  </w:num>
  <w:num w:numId="34">
    <w:abstractNumId w:val="22"/>
  </w:num>
  <w:num w:numId="35">
    <w:abstractNumId w:val="30"/>
  </w:num>
  <w:num w:numId="36">
    <w:abstractNumId w:val="14"/>
  </w:num>
  <w:num w:numId="37">
    <w:abstractNumId w:val="28"/>
  </w:num>
  <w:num w:numId="38">
    <w:abstractNumId w:val="16"/>
  </w:num>
  <w:num w:numId="39">
    <w:abstractNumId w:val="6"/>
  </w:num>
  <w:num w:numId="40">
    <w:abstractNumId w:val="39"/>
  </w:num>
  <w:num w:numId="41">
    <w:abstractNumId w:val="41"/>
  </w:num>
  <w:num w:numId="42">
    <w:abstractNumId w:val="29"/>
  </w:num>
  <w:num w:numId="43">
    <w:abstractNumId w:val="37"/>
  </w:num>
  <w:num w:numId="44">
    <w:abstractNumId w:val="7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9" w:default="1">
    <w:name w:val="Normal"/>
    <w:qFormat/>
    <w:rPr>
      <w:sz w:val="24"/>
      <w:szCs w:val="24"/>
    </w:rPr>
  </w:style>
  <w:style w:type="paragraph" w:styleId="820">
    <w:name w:val="Heading 1"/>
    <w:basedOn w:val="819"/>
    <w:next w:val="819"/>
    <w:link w:val="1013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21">
    <w:name w:val="Heading 2"/>
    <w:basedOn w:val="819"/>
    <w:next w:val="819"/>
    <w:link w:val="1033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22">
    <w:name w:val="Heading 3"/>
    <w:basedOn w:val="819"/>
    <w:next w:val="819"/>
    <w:link w:val="1007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3">
    <w:name w:val="Heading 4"/>
    <w:basedOn w:val="819"/>
    <w:next w:val="819"/>
    <w:link w:val="1034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824">
    <w:name w:val="Heading 5"/>
    <w:basedOn w:val="819"/>
    <w:next w:val="819"/>
    <w:link w:val="1035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825">
    <w:name w:val="Heading 6"/>
    <w:basedOn w:val="819"/>
    <w:next w:val="819"/>
    <w:link w:val="1036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26">
    <w:name w:val="Heading 7"/>
    <w:basedOn w:val="819"/>
    <w:next w:val="819"/>
    <w:link w:val="1037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27">
    <w:name w:val="Heading 8"/>
    <w:basedOn w:val="819"/>
    <w:next w:val="819"/>
    <w:link w:val="1038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828">
    <w:name w:val="Heading 9"/>
    <w:basedOn w:val="819"/>
    <w:next w:val="819"/>
    <w:link w:val="1039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character" w:styleId="832" w:customStyle="1">
    <w:name w:val="Caption Char"/>
    <w:uiPriority w:val="99"/>
  </w:style>
  <w:style w:type="character" w:styleId="833" w:customStyle="1">
    <w:name w:val="Footnote Text Char"/>
    <w:uiPriority w:val="99"/>
    <w:rPr>
      <w:sz w:val="18"/>
    </w:rPr>
  </w:style>
  <w:style w:type="character" w:styleId="834" w:customStyle="1">
    <w:name w:val="Heading 1 Char"/>
    <w:basedOn w:val="829"/>
    <w:uiPriority w:val="9"/>
    <w:rPr>
      <w:rFonts w:ascii="Arial" w:hAnsi="Arial" w:eastAsia="Arial" w:cs="Arial"/>
      <w:sz w:val="40"/>
      <w:szCs w:val="40"/>
    </w:rPr>
  </w:style>
  <w:style w:type="character" w:styleId="835" w:customStyle="1">
    <w:name w:val="Heading 2 Char"/>
    <w:basedOn w:val="829"/>
    <w:uiPriority w:val="9"/>
    <w:rPr>
      <w:rFonts w:ascii="Arial" w:hAnsi="Arial" w:eastAsia="Arial" w:cs="Arial"/>
      <w:sz w:val="34"/>
    </w:rPr>
  </w:style>
  <w:style w:type="character" w:styleId="836" w:customStyle="1">
    <w:name w:val="Heading 3 Char"/>
    <w:basedOn w:val="829"/>
    <w:uiPriority w:val="9"/>
    <w:rPr>
      <w:rFonts w:ascii="Arial" w:hAnsi="Arial" w:eastAsia="Arial" w:cs="Arial"/>
      <w:sz w:val="30"/>
      <w:szCs w:val="30"/>
    </w:rPr>
  </w:style>
  <w:style w:type="character" w:styleId="837" w:customStyle="1">
    <w:name w:val="Heading 4 Char"/>
    <w:basedOn w:val="829"/>
    <w:uiPriority w:val="9"/>
    <w:rPr>
      <w:rFonts w:ascii="Arial" w:hAnsi="Arial" w:eastAsia="Arial" w:cs="Arial"/>
      <w:b/>
      <w:bCs/>
      <w:sz w:val="26"/>
      <w:szCs w:val="26"/>
    </w:rPr>
  </w:style>
  <w:style w:type="character" w:styleId="838" w:customStyle="1">
    <w:name w:val="Heading 5 Char"/>
    <w:basedOn w:val="829"/>
    <w:uiPriority w:val="9"/>
    <w:rPr>
      <w:rFonts w:ascii="Arial" w:hAnsi="Arial" w:eastAsia="Arial" w:cs="Arial"/>
      <w:b/>
      <w:bCs/>
      <w:sz w:val="24"/>
      <w:szCs w:val="24"/>
    </w:rPr>
  </w:style>
  <w:style w:type="character" w:styleId="839" w:customStyle="1">
    <w:name w:val="Heading 6 Char"/>
    <w:basedOn w:val="829"/>
    <w:uiPriority w:val="9"/>
    <w:rPr>
      <w:rFonts w:ascii="Arial" w:hAnsi="Arial" w:eastAsia="Arial" w:cs="Arial"/>
      <w:b/>
      <w:bCs/>
      <w:sz w:val="22"/>
      <w:szCs w:val="22"/>
    </w:rPr>
  </w:style>
  <w:style w:type="character" w:styleId="840" w:customStyle="1">
    <w:name w:val="Heading 7 Char"/>
    <w:basedOn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 w:customStyle="1">
    <w:name w:val="Heading 8 Char"/>
    <w:basedOn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842" w:customStyle="1">
    <w:name w:val="Heading 9 Char"/>
    <w:basedOn w:val="829"/>
    <w:uiPriority w:val="9"/>
    <w:rPr>
      <w:rFonts w:ascii="Arial" w:hAnsi="Arial" w:eastAsia="Arial" w:cs="Arial"/>
      <w:i/>
      <w:iCs/>
      <w:sz w:val="21"/>
      <w:szCs w:val="21"/>
    </w:rPr>
  </w:style>
  <w:style w:type="character" w:styleId="843" w:customStyle="1">
    <w:name w:val="Title Char"/>
    <w:basedOn w:val="829"/>
    <w:uiPriority w:val="10"/>
    <w:rPr>
      <w:sz w:val="48"/>
      <w:szCs w:val="48"/>
    </w:rPr>
  </w:style>
  <w:style w:type="character" w:styleId="844" w:customStyle="1">
    <w:name w:val="Subtitle Char"/>
    <w:basedOn w:val="829"/>
    <w:uiPriority w:val="11"/>
    <w:rPr>
      <w:sz w:val="24"/>
      <w:szCs w:val="24"/>
    </w:rPr>
  </w:style>
  <w:style w:type="character" w:styleId="845" w:customStyle="1">
    <w:name w:val="Quote Char"/>
    <w:uiPriority w:val="29"/>
    <w:rPr>
      <w:i/>
    </w:rPr>
  </w:style>
  <w:style w:type="character" w:styleId="846" w:customStyle="1">
    <w:name w:val="Intense Quote Char"/>
    <w:uiPriority w:val="30"/>
    <w:rPr>
      <w:i/>
    </w:rPr>
  </w:style>
  <w:style w:type="character" w:styleId="847" w:customStyle="1">
    <w:name w:val="Header Char"/>
    <w:basedOn w:val="829"/>
    <w:uiPriority w:val="99"/>
  </w:style>
  <w:style w:type="character" w:styleId="848" w:customStyle="1">
    <w:name w:val="Footer Char"/>
    <w:basedOn w:val="829"/>
    <w:uiPriority w:val="99"/>
  </w:style>
  <w:style w:type="character" w:styleId="849" w:customStyle="1">
    <w:name w:val="Название объекта Знак"/>
    <w:link w:val="1040"/>
    <w:uiPriority w:val="99"/>
  </w:style>
  <w:style w:type="table" w:styleId="850" w:customStyle="1">
    <w:name w:val="Table Grid Light"/>
    <w:basedOn w:val="8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1">
    <w:name w:val="Plain Table 1"/>
    <w:basedOn w:val="8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2"/>
    <w:basedOn w:val="83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>
    <w:name w:val="Plain Table 3"/>
    <w:basedOn w:val="8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>
    <w:name w:val="Plain Table 4"/>
    <w:basedOn w:val="8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Plain Table 5"/>
    <w:basedOn w:val="8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>
    <w:name w:val="Grid Table 1 Light"/>
    <w:basedOn w:val="83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1"/>
    <w:basedOn w:val="83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2"/>
    <w:basedOn w:val="83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3"/>
    <w:basedOn w:val="83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4"/>
    <w:basedOn w:val="83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5"/>
    <w:basedOn w:val="83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6"/>
    <w:basedOn w:val="83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2"/>
    <w:basedOn w:val="8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basedOn w:val="83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basedOn w:val="83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basedOn w:val="83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basedOn w:val="83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basedOn w:val="83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basedOn w:val="83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"/>
    <w:basedOn w:val="8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basedOn w:val="83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basedOn w:val="83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basedOn w:val="83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basedOn w:val="83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basedOn w:val="83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basedOn w:val="83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4"/>
    <w:basedOn w:val="83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basedOn w:val="83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9" w:customStyle="1">
    <w:name w:val="Grid Table 4 - Accent 2"/>
    <w:basedOn w:val="83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Grid Table 4 - Accent 3"/>
    <w:basedOn w:val="83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1" w:customStyle="1">
    <w:name w:val="Grid Table 4 - Accent 4"/>
    <w:basedOn w:val="83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Grid Table 4 - Accent 5"/>
    <w:basedOn w:val="83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3" w:customStyle="1">
    <w:name w:val="Grid Table 4 - Accent 6"/>
    <w:basedOn w:val="83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4">
    <w:name w:val="Grid Table 5 Dark"/>
    <w:basedOn w:val="8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basedOn w:val="8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basedOn w:val="8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basedOn w:val="8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basedOn w:val="8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basedOn w:val="8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basedOn w:val="8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1">
    <w:name w:val="Grid Table 6 Colorful"/>
    <w:basedOn w:val="83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2" w:customStyle="1">
    <w:name w:val="Grid Table 6 Colorful - Accent 1"/>
    <w:basedOn w:val="83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3" w:customStyle="1">
    <w:name w:val="Grid Table 6 Colorful - Accent 2"/>
    <w:basedOn w:val="83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4" w:customStyle="1">
    <w:name w:val="Grid Table 6 Colorful - Accent 3"/>
    <w:basedOn w:val="83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5" w:customStyle="1">
    <w:name w:val="Grid Table 6 Colorful - Accent 4"/>
    <w:basedOn w:val="83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6" w:customStyle="1">
    <w:name w:val="Grid Table 6 Colorful - Accent 5"/>
    <w:basedOn w:val="83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 w:customStyle="1">
    <w:name w:val="Grid Table 6 Colorful - Accent 6"/>
    <w:basedOn w:val="83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8">
    <w:name w:val="Grid Table 7 Colorful"/>
    <w:basedOn w:val="83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basedOn w:val="83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basedOn w:val="83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basedOn w:val="83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basedOn w:val="83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basedOn w:val="83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basedOn w:val="83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"/>
    <w:basedOn w:val="83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basedOn w:val="83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basedOn w:val="83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basedOn w:val="830"/>
    <w:link w:val="10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basedOn w:val="83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basedOn w:val="83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basedOn w:val="83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2"/>
    <w:basedOn w:val="83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basedOn w:val="83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basedOn w:val="83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basedOn w:val="83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basedOn w:val="83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basedOn w:val="83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basedOn w:val="83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9">
    <w:name w:val="List Table 3"/>
    <w:basedOn w:val="8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1"/>
    <w:basedOn w:val="83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2"/>
    <w:basedOn w:val="83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3"/>
    <w:basedOn w:val="83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4"/>
    <w:basedOn w:val="83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5"/>
    <w:basedOn w:val="83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6"/>
    <w:basedOn w:val="83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"/>
    <w:basedOn w:val="8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1"/>
    <w:basedOn w:val="83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2"/>
    <w:basedOn w:val="83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3"/>
    <w:basedOn w:val="83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4"/>
    <w:basedOn w:val="83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5"/>
    <w:basedOn w:val="83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6"/>
    <w:basedOn w:val="83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5 Dark"/>
    <w:basedOn w:val="83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1"/>
    <w:basedOn w:val="83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2"/>
    <w:basedOn w:val="83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3"/>
    <w:basedOn w:val="83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4"/>
    <w:basedOn w:val="83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5"/>
    <w:basedOn w:val="83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6"/>
    <w:basedOn w:val="83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>
    <w:name w:val="List Table 6 Colorful"/>
    <w:basedOn w:val="83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1" w:customStyle="1">
    <w:name w:val="List Table 6 Colorful - Accent 1"/>
    <w:basedOn w:val="83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2" w:customStyle="1">
    <w:name w:val="List Table 6 Colorful - Accent 2"/>
    <w:basedOn w:val="83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3" w:customStyle="1">
    <w:name w:val="List Table 6 Colorful - Accent 3"/>
    <w:basedOn w:val="83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4" w:customStyle="1">
    <w:name w:val="List Table 6 Colorful - Accent 4"/>
    <w:basedOn w:val="83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5" w:customStyle="1">
    <w:name w:val="List Table 6 Colorful - Accent 5"/>
    <w:basedOn w:val="83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6" w:customStyle="1">
    <w:name w:val="List Table 6 Colorful - Accent 6"/>
    <w:basedOn w:val="83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7">
    <w:name w:val="List Table 7 Colorful"/>
    <w:basedOn w:val="83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basedOn w:val="83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basedOn w:val="83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basedOn w:val="83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basedOn w:val="83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basedOn w:val="83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basedOn w:val="83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Lined - Accent 1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6" w:customStyle="1">
    <w:name w:val="Lined - Accent 2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7" w:customStyle="1">
    <w:name w:val="Lined - Accent 3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8" w:customStyle="1">
    <w:name w:val="Lined - Accent 4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9" w:customStyle="1">
    <w:name w:val="Lined - Accent 5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0" w:customStyle="1">
    <w:name w:val="Lined - Accent 6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1" w:customStyle="1">
    <w:name w:val="Bordered &amp; Lined - Accent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2" w:customStyle="1">
    <w:name w:val="Bordered &amp; Lined - Accent 1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3" w:customStyle="1">
    <w:name w:val="Bordered &amp; Lined - Accent 2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4" w:customStyle="1">
    <w:name w:val="Bordered &amp; Lined - Accent 3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5" w:customStyle="1">
    <w:name w:val="Bordered &amp; Lined - Accent 4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6" w:customStyle="1">
    <w:name w:val="Bordered &amp; Lined - Accent 5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7" w:customStyle="1">
    <w:name w:val="Bordered &amp; Lined - Accent 6"/>
    <w:basedOn w:val="83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8" w:customStyle="1">
    <w:name w:val="Bordered"/>
    <w:basedOn w:val="83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9" w:customStyle="1">
    <w:name w:val="Bordered - Accent 1"/>
    <w:basedOn w:val="83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0" w:customStyle="1">
    <w:name w:val="Bordered - Accent 2"/>
    <w:basedOn w:val="83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1" w:customStyle="1">
    <w:name w:val="Bordered - Accent 3"/>
    <w:basedOn w:val="83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2" w:customStyle="1">
    <w:name w:val="Bordered - Accent 4"/>
    <w:basedOn w:val="83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3" w:customStyle="1">
    <w:name w:val="Bordered - Accent 5"/>
    <w:basedOn w:val="83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4" w:customStyle="1">
    <w:name w:val="Bordered - Accent 6"/>
    <w:basedOn w:val="83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75">
    <w:name w:val="footnote text"/>
    <w:basedOn w:val="819"/>
    <w:link w:val="976"/>
    <w:uiPriority w:val="99"/>
    <w:semiHidden/>
    <w:unhideWhenUsed/>
    <w:pPr>
      <w:spacing w:after="40"/>
    </w:pPr>
    <w:rPr>
      <w:sz w:val="18"/>
    </w:rPr>
  </w:style>
  <w:style w:type="character" w:styleId="976" w:customStyle="1">
    <w:name w:val="Текст сноски Знак"/>
    <w:link w:val="975"/>
    <w:uiPriority w:val="99"/>
    <w:rPr>
      <w:sz w:val="18"/>
    </w:rPr>
  </w:style>
  <w:style w:type="character" w:styleId="977">
    <w:name w:val="footnote reference"/>
    <w:basedOn w:val="829"/>
    <w:uiPriority w:val="99"/>
    <w:unhideWhenUsed/>
    <w:rPr>
      <w:vertAlign w:val="superscript"/>
    </w:rPr>
  </w:style>
  <w:style w:type="character" w:styleId="978" w:customStyle="1">
    <w:name w:val="Endnote Text Char"/>
    <w:uiPriority w:val="99"/>
    <w:rPr>
      <w:sz w:val="20"/>
    </w:rPr>
  </w:style>
  <w:style w:type="paragraph" w:styleId="979">
    <w:name w:val="toc 1"/>
    <w:basedOn w:val="819"/>
    <w:next w:val="819"/>
    <w:uiPriority w:val="39"/>
    <w:unhideWhenUsed/>
    <w:pPr>
      <w:spacing w:after="57"/>
    </w:pPr>
  </w:style>
  <w:style w:type="paragraph" w:styleId="980">
    <w:name w:val="toc 2"/>
    <w:basedOn w:val="819"/>
    <w:next w:val="819"/>
    <w:uiPriority w:val="39"/>
    <w:unhideWhenUsed/>
    <w:pPr>
      <w:ind w:left="283"/>
      <w:spacing w:after="57"/>
    </w:pPr>
  </w:style>
  <w:style w:type="paragraph" w:styleId="981">
    <w:name w:val="toc 3"/>
    <w:basedOn w:val="819"/>
    <w:next w:val="819"/>
    <w:uiPriority w:val="39"/>
    <w:unhideWhenUsed/>
    <w:pPr>
      <w:ind w:left="567"/>
      <w:spacing w:after="57"/>
    </w:pPr>
  </w:style>
  <w:style w:type="paragraph" w:styleId="982">
    <w:name w:val="toc 4"/>
    <w:basedOn w:val="819"/>
    <w:next w:val="819"/>
    <w:uiPriority w:val="39"/>
    <w:unhideWhenUsed/>
    <w:pPr>
      <w:ind w:left="850"/>
      <w:spacing w:after="57"/>
    </w:pPr>
  </w:style>
  <w:style w:type="paragraph" w:styleId="983">
    <w:name w:val="toc 5"/>
    <w:basedOn w:val="819"/>
    <w:next w:val="819"/>
    <w:uiPriority w:val="39"/>
    <w:unhideWhenUsed/>
    <w:pPr>
      <w:ind w:left="1134"/>
      <w:spacing w:after="57"/>
    </w:pPr>
  </w:style>
  <w:style w:type="paragraph" w:styleId="984">
    <w:name w:val="toc 6"/>
    <w:basedOn w:val="819"/>
    <w:next w:val="819"/>
    <w:uiPriority w:val="39"/>
    <w:unhideWhenUsed/>
    <w:pPr>
      <w:ind w:left="1417"/>
      <w:spacing w:after="57"/>
    </w:pPr>
  </w:style>
  <w:style w:type="paragraph" w:styleId="985">
    <w:name w:val="toc 7"/>
    <w:basedOn w:val="819"/>
    <w:next w:val="819"/>
    <w:uiPriority w:val="39"/>
    <w:unhideWhenUsed/>
    <w:pPr>
      <w:ind w:left="1701"/>
      <w:spacing w:after="57"/>
    </w:pPr>
  </w:style>
  <w:style w:type="paragraph" w:styleId="986">
    <w:name w:val="toc 8"/>
    <w:basedOn w:val="819"/>
    <w:next w:val="819"/>
    <w:uiPriority w:val="39"/>
    <w:unhideWhenUsed/>
    <w:pPr>
      <w:ind w:left="1984"/>
      <w:spacing w:after="57"/>
    </w:pPr>
  </w:style>
  <w:style w:type="paragraph" w:styleId="987">
    <w:name w:val="toc 9"/>
    <w:basedOn w:val="819"/>
    <w:next w:val="819"/>
    <w:uiPriority w:val="39"/>
    <w:unhideWhenUsed/>
    <w:pPr>
      <w:ind w:left="2268"/>
      <w:spacing w:after="57"/>
    </w:pPr>
  </w:style>
  <w:style w:type="paragraph" w:styleId="988">
    <w:name w:val="table of figures"/>
    <w:basedOn w:val="819"/>
    <w:next w:val="819"/>
    <w:uiPriority w:val="99"/>
    <w:unhideWhenUsed/>
  </w:style>
  <w:style w:type="character" w:styleId="989" w:customStyle="1">
    <w:name w:val="Гипертекстовая ссылка"/>
    <w:uiPriority w:val="99"/>
    <w:rPr>
      <w:rFonts w:cs="Times New Roman"/>
      <w:b w:val="0"/>
      <w:bCs w:val="0"/>
      <w:color w:val="008000"/>
    </w:rPr>
  </w:style>
  <w:style w:type="paragraph" w:styleId="990">
    <w:name w:val="Body Text"/>
    <w:basedOn w:val="819"/>
    <w:link w:val="991"/>
    <w:uiPriority w:val="99"/>
    <w:pPr>
      <w:jc w:val="center"/>
    </w:pPr>
    <w:rPr>
      <w:rFonts w:ascii="Times New Roman" w:hAnsi="Times New Roman" w:eastAsia="Times New Roman"/>
      <w:sz w:val="52"/>
      <w:szCs w:val="20"/>
      <w:lang w:eastAsia="ru-RU"/>
    </w:rPr>
  </w:style>
  <w:style w:type="character" w:styleId="991" w:customStyle="1">
    <w:name w:val="Основной текст Знак"/>
    <w:basedOn w:val="829"/>
    <w:link w:val="990"/>
    <w:uiPriority w:val="99"/>
    <w:rPr>
      <w:rFonts w:ascii="Times New Roman" w:hAnsi="Times New Roman" w:eastAsia="Times New Roman" w:cs="Times New Roman"/>
      <w:sz w:val="52"/>
      <w:szCs w:val="20"/>
      <w:lang w:eastAsia="ru-RU"/>
    </w:rPr>
  </w:style>
  <w:style w:type="paragraph" w:styleId="992" w:customStyle="1">
    <w:name w:val="Прижатый влево"/>
    <w:basedOn w:val="819"/>
    <w:next w:val="819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table" w:styleId="993">
    <w:name w:val="Table Grid"/>
    <w:basedOn w:val="83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4">
    <w:name w:val="Normal (Web)"/>
    <w:basedOn w:val="819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995" w:customStyle="1">
    <w:name w:val="ConsPlusCell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96">
    <w:name w:val="List Paragraph"/>
    <w:basedOn w:val="819"/>
    <w:uiPriority w:val="34"/>
    <w:qFormat/>
    <w:pPr>
      <w:contextualSpacing/>
      <w:ind w:left="720"/>
    </w:pPr>
  </w:style>
  <w:style w:type="paragraph" w:styleId="997" w:customStyle="1">
    <w:name w:val="ConsPlusNonformat"/>
    <w:pPr>
      <w:jc w:val="center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998" w:customStyle="1">
    <w:name w:val="Сетка таблицы1"/>
    <w:basedOn w:val="830"/>
    <w:next w:val="993"/>
    <w:uiPriority w:val="59"/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9">
    <w:name w:val="Hyperlink"/>
    <w:basedOn w:val="829"/>
    <w:uiPriority w:val="99"/>
    <w:unhideWhenUsed/>
    <w:rPr>
      <w:color w:val="0000ff"/>
      <w:u w:val="single"/>
    </w:rPr>
  </w:style>
  <w:style w:type="character" w:styleId="1000">
    <w:name w:val="FollowedHyperlink"/>
    <w:basedOn w:val="829"/>
    <w:uiPriority w:val="99"/>
    <w:semiHidden/>
    <w:unhideWhenUsed/>
    <w:rPr>
      <w:color w:val="800080" w:themeColor="followedHyperlink"/>
      <w:u w:val="single"/>
    </w:rPr>
  </w:style>
  <w:style w:type="paragraph" w:styleId="1001" w:customStyle="1">
    <w:name w:val="Standard"/>
    <w:pPr>
      <w:widowControl w:val="off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1002">
    <w:name w:val="Body Text Indent"/>
    <w:basedOn w:val="819"/>
    <w:link w:val="1003"/>
    <w:unhideWhenUsed/>
    <w:pPr>
      <w:ind w:left="283"/>
      <w:spacing w:after="120"/>
    </w:pPr>
  </w:style>
  <w:style w:type="character" w:styleId="1003" w:customStyle="1">
    <w:name w:val="Основной текст с отступом Знак"/>
    <w:basedOn w:val="829"/>
    <w:link w:val="1002"/>
    <w:uiPriority w:val="99"/>
    <w:semiHidden/>
  </w:style>
  <w:style w:type="paragraph" w:styleId="1004">
    <w:name w:val="Body Text Indent 2"/>
    <w:basedOn w:val="819"/>
    <w:link w:val="1005"/>
    <w:unhideWhenUsed/>
    <w:pPr>
      <w:ind w:left="283"/>
      <w:spacing w:after="120" w:line="480" w:lineRule="auto"/>
    </w:pPr>
  </w:style>
  <w:style w:type="character" w:styleId="1005" w:customStyle="1">
    <w:name w:val="Основной текст с отступом 2 Знак"/>
    <w:basedOn w:val="829"/>
    <w:link w:val="1004"/>
    <w:uiPriority w:val="99"/>
    <w:semiHidden/>
  </w:style>
  <w:style w:type="paragraph" w:styleId="1006">
    <w:name w:val="No Spacing"/>
    <w:basedOn w:val="819"/>
    <w:uiPriority w:val="1"/>
    <w:qFormat/>
    <w:rPr>
      <w:szCs w:val="32"/>
    </w:rPr>
  </w:style>
  <w:style w:type="character" w:styleId="1007" w:customStyle="1">
    <w:name w:val="Заголовок 3 Знак"/>
    <w:basedOn w:val="829"/>
    <w:link w:val="82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1008" w:customStyle="1">
    <w:name w:val="Основной текст_"/>
    <w:basedOn w:val="829"/>
    <w:link w:val="1009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1009" w:customStyle="1">
    <w:name w:val="Основной текст1"/>
    <w:basedOn w:val="819"/>
    <w:link w:val="1008"/>
    <w:pPr>
      <w:spacing w:line="0" w:lineRule="atLeast"/>
      <w:shd w:val="clear" w:color="auto" w:fill="ffffff"/>
    </w:pPr>
    <w:rPr>
      <w:rFonts w:ascii="Times New Roman" w:hAnsi="Times New Roman" w:eastAsia="Times New Roman"/>
      <w:sz w:val="23"/>
      <w:szCs w:val="23"/>
    </w:rPr>
  </w:style>
  <w:style w:type="character" w:styleId="1010" w:customStyle="1">
    <w:name w:val="Основной текст + Не курсив"/>
    <w:basedOn w:val="100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styleId="1011" w:customStyle="1">
    <w:name w:val="Основной текст (2)_"/>
    <w:basedOn w:val="829"/>
    <w:link w:val="1012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1012" w:customStyle="1">
    <w:name w:val="Основной текст (2)"/>
    <w:basedOn w:val="819"/>
    <w:link w:val="1011"/>
    <w:pPr>
      <w:spacing w:line="278" w:lineRule="exact"/>
      <w:shd w:val="clear" w:color="auto" w:fill="ffffff"/>
    </w:pPr>
    <w:rPr>
      <w:rFonts w:ascii="Times New Roman" w:hAnsi="Times New Roman" w:eastAsia="Times New Roman"/>
      <w:sz w:val="23"/>
      <w:szCs w:val="23"/>
    </w:rPr>
  </w:style>
  <w:style w:type="character" w:styleId="1013" w:customStyle="1">
    <w:name w:val="Заголовок 1 Знак"/>
    <w:basedOn w:val="829"/>
    <w:link w:val="82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14">
    <w:name w:val="Title"/>
    <w:basedOn w:val="819"/>
    <w:next w:val="819"/>
    <w:link w:val="1015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15" w:customStyle="1">
    <w:name w:val="Заголовок Знак"/>
    <w:basedOn w:val="829"/>
    <w:link w:val="101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16">
    <w:name w:val="Footer"/>
    <w:basedOn w:val="819"/>
    <w:link w:val="1017"/>
    <w:pPr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17" w:customStyle="1">
    <w:name w:val="Нижний колонтитул Знак"/>
    <w:basedOn w:val="829"/>
    <w:link w:val="101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>
    <w:name w:val="page number"/>
    <w:basedOn w:val="829"/>
  </w:style>
  <w:style w:type="paragraph" w:styleId="1019">
    <w:name w:val="Header"/>
    <w:basedOn w:val="819"/>
    <w:link w:val="1020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20" w:customStyle="1">
    <w:name w:val="Верхний колонтитул Знак"/>
    <w:basedOn w:val="829"/>
    <w:link w:val="101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1" w:customStyle="1">
    <w:name w:val="ConsPlusNormal"/>
    <w:link w:val="1029"/>
    <w:pPr>
      <w:ind w:firstLine="720"/>
    </w:pPr>
    <w:rPr>
      <w:rFonts w:ascii="Arial" w:hAnsi="Arial" w:eastAsia="Times New Roman"/>
      <w:sz w:val="20"/>
      <w:szCs w:val="20"/>
      <w:lang w:eastAsia="ru-RU"/>
    </w:rPr>
  </w:style>
  <w:style w:type="paragraph" w:styleId="1022" w:customStyle="1">
    <w:name w:val="ConsPlusTitle"/>
    <w:rPr>
      <w:rFonts w:ascii="Arial" w:hAnsi="Arial" w:eastAsia="Times New Roman"/>
      <w:b/>
      <w:sz w:val="20"/>
      <w:szCs w:val="20"/>
      <w:lang w:eastAsia="ru-RU"/>
    </w:rPr>
  </w:style>
  <w:style w:type="paragraph" w:styleId="1023" w:customStyle="1">
    <w:name w:val="ConsTitle"/>
    <w:pPr>
      <w:widowControl w:val="off"/>
    </w:pPr>
    <w:rPr>
      <w:rFonts w:ascii="Arial" w:hAnsi="Arial" w:eastAsia="Times New Roman"/>
      <w:b/>
      <w:sz w:val="16"/>
      <w:szCs w:val="20"/>
      <w:lang w:eastAsia="ru-RU"/>
    </w:rPr>
  </w:style>
  <w:style w:type="paragraph" w:styleId="1024">
    <w:name w:val="Balloon Text"/>
    <w:basedOn w:val="819"/>
    <w:link w:val="1025"/>
    <w:uiPriority w:val="99"/>
    <w:semiHidden/>
    <w:unhideWhenUsed/>
    <w:rPr>
      <w:rFonts w:ascii="Tahoma" w:hAnsi="Tahoma" w:cs="Tahoma"/>
      <w:sz w:val="16"/>
      <w:szCs w:val="16"/>
    </w:rPr>
  </w:style>
  <w:style w:type="character" w:styleId="1025" w:customStyle="1">
    <w:name w:val="Текст выноски Знак"/>
    <w:basedOn w:val="829"/>
    <w:link w:val="1024"/>
    <w:uiPriority w:val="99"/>
    <w:semiHidden/>
    <w:rPr>
      <w:rFonts w:ascii="Tahoma" w:hAnsi="Tahoma" w:cs="Tahoma"/>
      <w:sz w:val="16"/>
      <w:szCs w:val="16"/>
    </w:rPr>
  </w:style>
  <w:style w:type="table" w:styleId="1026" w:customStyle="1">
    <w:name w:val="Сетка таблицы2"/>
    <w:basedOn w:val="830"/>
    <w:next w:val="993"/>
    <w:uiPriority w:val="59"/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7" w:customStyle="1">
    <w:name w:val="Default"/>
    <w:rPr>
      <w:rFonts w:ascii="Times New Roman" w:hAnsi="Times New Roman" w:eastAsia="Times New Roman"/>
      <w:color w:val="000000"/>
      <w:sz w:val="24"/>
      <w:szCs w:val="24"/>
      <w:lang w:eastAsia="ru-RU"/>
    </w:rPr>
  </w:style>
  <w:style w:type="character" w:styleId="1028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029" w:customStyle="1">
    <w:name w:val="ConsPlusNormal Знак"/>
    <w:link w:val="1021"/>
    <w:rPr>
      <w:rFonts w:ascii="Arial" w:hAnsi="Arial" w:eastAsia="Times New Roman" w:cs="Times New Roman"/>
      <w:sz w:val="20"/>
      <w:szCs w:val="20"/>
      <w:lang w:eastAsia="ru-RU"/>
    </w:rPr>
  </w:style>
  <w:style w:type="table" w:styleId="1030" w:customStyle="1">
    <w:name w:val="Сетка таблицы21"/>
    <w:basedOn w:val="830"/>
    <w:next w:val="99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1" w:customStyle="1">
    <w:name w:val="Цветовое выделение"/>
    <w:uiPriority w:val="99"/>
    <w:rPr>
      <w:b/>
      <w:bCs/>
      <w:color w:val="26282f"/>
    </w:rPr>
  </w:style>
  <w:style w:type="paragraph" w:styleId="1032" w:customStyle="1">
    <w:name w:val="Заголовок статьи"/>
    <w:basedOn w:val="819"/>
    <w:next w:val="819"/>
    <w:uiPriority w:val="99"/>
    <w:pPr>
      <w:ind w:left="1612" w:hanging="892"/>
      <w:jc w:val="both"/>
    </w:pPr>
    <w:rPr>
      <w:rFonts w:ascii="Arial" w:hAnsi="Arial" w:cs="Arial"/>
    </w:rPr>
  </w:style>
  <w:style w:type="character" w:styleId="1033" w:customStyle="1">
    <w:name w:val="Заголовок 2 Знак"/>
    <w:basedOn w:val="829"/>
    <w:link w:val="82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1034" w:customStyle="1">
    <w:name w:val="Заголовок 4 Знак"/>
    <w:basedOn w:val="829"/>
    <w:link w:val="823"/>
    <w:uiPriority w:val="9"/>
    <w:semiHidden/>
    <w:rPr>
      <w:rFonts w:cstheme="majorBidi"/>
      <w:b/>
      <w:bCs/>
      <w:sz w:val="28"/>
      <w:szCs w:val="28"/>
    </w:rPr>
  </w:style>
  <w:style w:type="character" w:styleId="1035" w:customStyle="1">
    <w:name w:val="Заголовок 5 Знак"/>
    <w:basedOn w:val="829"/>
    <w:link w:val="824"/>
    <w:uiPriority w:val="9"/>
    <w:semiHidden/>
    <w:rPr>
      <w:rFonts w:cstheme="majorBidi"/>
      <w:b/>
      <w:bCs/>
      <w:i/>
      <w:iCs/>
      <w:sz w:val="26"/>
      <w:szCs w:val="26"/>
    </w:rPr>
  </w:style>
  <w:style w:type="character" w:styleId="1036" w:customStyle="1">
    <w:name w:val="Заголовок 6 Знак"/>
    <w:basedOn w:val="829"/>
    <w:link w:val="825"/>
    <w:uiPriority w:val="9"/>
    <w:semiHidden/>
    <w:rPr>
      <w:rFonts w:cstheme="majorBidi"/>
      <w:b/>
      <w:bCs/>
    </w:rPr>
  </w:style>
  <w:style w:type="character" w:styleId="1037" w:customStyle="1">
    <w:name w:val="Заголовок 7 Знак"/>
    <w:basedOn w:val="829"/>
    <w:link w:val="826"/>
    <w:uiPriority w:val="9"/>
    <w:semiHidden/>
    <w:rPr>
      <w:rFonts w:cstheme="majorBidi"/>
      <w:sz w:val="24"/>
      <w:szCs w:val="24"/>
    </w:rPr>
  </w:style>
  <w:style w:type="character" w:styleId="1038" w:customStyle="1">
    <w:name w:val="Заголовок 8 Знак"/>
    <w:basedOn w:val="829"/>
    <w:link w:val="827"/>
    <w:uiPriority w:val="9"/>
    <w:semiHidden/>
    <w:rPr>
      <w:rFonts w:cstheme="majorBidi"/>
      <w:i/>
      <w:iCs/>
      <w:sz w:val="24"/>
      <w:szCs w:val="24"/>
    </w:rPr>
  </w:style>
  <w:style w:type="character" w:styleId="1039" w:customStyle="1">
    <w:name w:val="Заголовок 9 Знак"/>
    <w:basedOn w:val="829"/>
    <w:link w:val="828"/>
    <w:uiPriority w:val="9"/>
    <w:semiHidden/>
    <w:rPr>
      <w:rFonts w:asciiTheme="majorHAnsi" w:hAnsiTheme="majorHAnsi" w:eastAsiaTheme="majorEastAsia" w:cstheme="majorBidi"/>
    </w:rPr>
  </w:style>
  <w:style w:type="paragraph" w:styleId="1040">
    <w:name w:val="Caption"/>
    <w:basedOn w:val="819"/>
    <w:next w:val="819"/>
    <w:link w:val="849"/>
    <w:uiPriority w:val="35"/>
    <w:semiHidden/>
    <w:unhideWhenUsed/>
    <w:pPr>
      <w:spacing w:after="200"/>
    </w:pPr>
    <w:rPr>
      <w:i/>
      <w:iCs/>
      <w:color w:val="1f497d" w:themeColor="text2"/>
      <w:sz w:val="18"/>
      <w:szCs w:val="18"/>
    </w:rPr>
  </w:style>
  <w:style w:type="paragraph" w:styleId="1041">
    <w:name w:val="Subtitle"/>
    <w:basedOn w:val="819"/>
    <w:next w:val="819"/>
    <w:link w:val="1042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1042" w:customStyle="1">
    <w:name w:val="Подзаголовок Знак"/>
    <w:basedOn w:val="829"/>
    <w:link w:val="1041"/>
    <w:uiPriority w:val="11"/>
    <w:rPr>
      <w:rFonts w:asciiTheme="majorHAnsi" w:hAnsiTheme="majorHAnsi" w:eastAsiaTheme="majorEastAsia"/>
      <w:sz w:val="24"/>
      <w:szCs w:val="24"/>
    </w:rPr>
  </w:style>
  <w:style w:type="character" w:styleId="1043">
    <w:name w:val="Strong"/>
    <w:basedOn w:val="829"/>
    <w:uiPriority w:val="22"/>
    <w:qFormat/>
    <w:rPr>
      <w:b/>
      <w:bCs/>
    </w:rPr>
  </w:style>
  <w:style w:type="character" w:styleId="1044">
    <w:name w:val="Emphasis"/>
    <w:basedOn w:val="829"/>
    <w:uiPriority w:val="20"/>
    <w:qFormat/>
    <w:rPr>
      <w:rFonts w:asciiTheme="minorHAnsi" w:hAnsiTheme="minorHAnsi"/>
      <w:b/>
      <w:i/>
      <w:iCs/>
    </w:rPr>
  </w:style>
  <w:style w:type="paragraph" w:styleId="1045">
    <w:name w:val="Quote"/>
    <w:basedOn w:val="819"/>
    <w:next w:val="819"/>
    <w:link w:val="1046"/>
    <w:uiPriority w:val="29"/>
    <w:qFormat/>
    <w:rPr>
      <w:i/>
    </w:rPr>
  </w:style>
  <w:style w:type="character" w:styleId="1046" w:customStyle="1">
    <w:name w:val="Цитата 2 Знак"/>
    <w:basedOn w:val="829"/>
    <w:link w:val="1045"/>
    <w:uiPriority w:val="29"/>
    <w:rPr>
      <w:i/>
      <w:sz w:val="24"/>
      <w:szCs w:val="24"/>
    </w:rPr>
  </w:style>
  <w:style w:type="paragraph" w:styleId="1047">
    <w:name w:val="Intense Quote"/>
    <w:basedOn w:val="819"/>
    <w:next w:val="819"/>
    <w:link w:val="1048"/>
    <w:uiPriority w:val="30"/>
    <w:qFormat/>
    <w:pPr>
      <w:ind w:left="720" w:right="720"/>
    </w:pPr>
    <w:rPr>
      <w:b/>
      <w:i/>
      <w:szCs w:val="22"/>
    </w:rPr>
  </w:style>
  <w:style w:type="character" w:styleId="1048" w:customStyle="1">
    <w:name w:val="Выделенная цитата Знак"/>
    <w:basedOn w:val="829"/>
    <w:link w:val="1047"/>
    <w:uiPriority w:val="30"/>
    <w:rPr>
      <w:b/>
      <w:i/>
      <w:sz w:val="24"/>
    </w:rPr>
  </w:style>
  <w:style w:type="character" w:styleId="1049">
    <w:name w:val="Subtle Emphasis"/>
    <w:uiPriority w:val="19"/>
    <w:qFormat/>
    <w:rPr>
      <w:i/>
      <w:color w:val="5a5a5a" w:themeColor="text1" w:themeTint="A5"/>
    </w:rPr>
  </w:style>
  <w:style w:type="character" w:styleId="1050">
    <w:name w:val="Intense Emphasis"/>
    <w:basedOn w:val="829"/>
    <w:uiPriority w:val="21"/>
    <w:qFormat/>
    <w:rPr>
      <w:b/>
      <w:i/>
      <w:sz w:val="24"/>
      <w:szCs w:val="24"/>
      <w:u w:val="single"/>
    </w:rPr>
  </w:style>
  <w:style w:type="character" w:styleId="1051">
    <w:name w:val="Subtle Reference"/>
    <w:basedOn w:val="829"/>
    <w:uiPriority w:val="31"/>
    <w:qFormat/>
    <w:rPr>
      <w:sz w:val="24"/>
      <w:szCs w:val="24"/>
      <w:u w:val="single"/>
    </w:rPr>
  </w:style>
  <w:style w:type="character" w:styleId="1052">
    <w:name w:val="Intense Reference"/>
    <w:basedOn w:val="829"/>
    <w:uiPriority w:val="32"/>
    <w:qFormat/>
    <w:rPr>
      <w:b/>
      <w:sz w:val="24"/>
      <w:u w:val="single"/>
    </w:rPr>
  </w:style>
  <w:style w:type="character" w:styleId="1053">
    <w:name w:val="Book Title"/>
    <w:basedOn w:val="829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1054">
    <w:name w:val="TOC Heading"/>
    <w:basedOn w:val="820"/>
    <w:next w:val="819"/>
    <w:uiPriority w:val="39"/>
    <w:semiHidden/>
    <w:unhideWhenUsed/>
    <w:qFormat/>
    <w:pPr>
      <w:outlineLvl w:val="9"/>
    </w:pPr>
  </w:style>
  <w:style w:type="paragraph" w:styleId="1055">
    <w:name w:val="endnote text"/>
    <w:basedOn w:val="819"/>
    <w:link w:val="1056"/>
    <w:uiPriority w:val="99"/>
    <w:semiHidden/>
    <w:unhideWhenUsed/>
    <w:rPr>
      <w:sz w:val="20"/>
      <w:szCs w:val="20"/>
    </w:rPr>
  </w:style>
  <w:style w:type="character" w:styleId="1056" w:customStyle="1">
    <w:name w:val="Текст концевой сноски Знак"/>
    <w:basedOn w:val="829"/>
    <w:link w:val="1055"/>
    <w:uiPriority w:val="99"/>
    <w:semiHidden/>
    <w:rPr>
      <w:sz w:val="20"/>
      <w:szCs w:val="20"/>
    </w:rPr>
  </w:style>
  <w:style w:type="character" w:styleId="1057">
    <w:name w:val="endnote reference"/>
    <w:basedOn w:val="829"/>
    <w:uiPriority w:val="99"/>
    <w:semiHidden/>
    <w:unhideWhenUsed/>
    <w:rPr>
      <w:vertAlign w:val="superscript"/>
    </w:rPr>
  </w:style>
  <w:style w:type="table" w:styleId="1058" w:customStyle="1">
    <w:name w:val="Сетка таблицы3"/>
    <w:basedOn w:val="830"/>
    <w:next w:val="99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9" w:customStyle="1">
    <w:name w:val="Plain Text Char1"/>
    <w:basedOn w:val="829"/>
    <w:uiPriority w:val="99"/>
    <w:semiHidden/>
    <w:rPr>
      <w:rFonts w:ascii="Courier New" w:hAnsi="Courier New" w:cs="Courier New"/>
      <w:sz w:val="20"/>
      <w:szCs w:val="20"/>
    </w:rPr>
  </w:style>
  <w:style w:type="character" w:styleId="1060" w:customStyle="1">
    <w:name w:val="Текст Знак"/>
    <w:link w:val="1061"/>
    <w:uiPriority w:val="99"/>
    <w:rPr>
      <w:rFonts w:ascii="Courier New" w:hAnsi="Courier New"/>
      <w:lang w:eastAsia="ru-RU"/>
    </w:rPr>
  </w:style>
  <w:style w:type="paragraph" w:styleId="1061">
    <w:name w:val="Plain Text"/>
    <w:basedOn w:val="819"/>
    <w:link w:val="1060"/>
    <w:uiPriority w:val="99"/>
    <w:rPr>
      <w:rFonts w:ascii="Courier New" w:hAnsi="Courier New"/>
      <w:sz w:val="22"/>
      <w:szCs w:val="22"/>
      <w:lang w:eastAsia="ru-RU"/>
    </w:rPr>
  </w:style>
  <w:style w:type="character" w:styleId="1062" w:customStyle="1">
    <w:name w:val="Текст Знак1"/>
    <w:basedOn w:val="829"/>
    <w:uiPriority w:val="99"/>
    <w:semiHidden/>
    <w:rPr>
      <w:rFonts w:ascii="Consolas" w:hAnsi="Consolas"/>
      <w:sz w:val="21"/>
      <w:szCs w:val="21"/>
    </w:rPr>
  </w:style>
  <w:style w:type="table" w:styleId="1063" w:customStyle="1">
    <w:name w:val="Сетка таблицы4"/>
    <w:basedOn w:val="830"/>
    <w:next w:val="993"/>
    <w:uiPriority w:val="59"/>
    <w:rPr>
      <w:rFonts w:ascii="Cambria" w:hAnsi="Cambria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4" w:customStyle="1">
    <w:name w:val="Сетка таблицы211"/>
    <w:basedOn w:val="830"/>
    <w:uiPriority w:val="59"/>
    <w:rPr>
      <w:rFonts w:ascii="Cambria" w:hAnsi="Cambria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5" w:customStyle="1">
    <w:name w:val="NormalANX"/>
    <w:qFormat/>
    <w:pPr>
      <w:ind w:firstLine="720"/>
      <w:jc w:val="both"/>
      <w:spacing w:before="240" w:after="24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066" w:customStyle="1">
    <w:name w:val="Обычный (веб);Обычный (веб) Знак;Обычный (веб) Знак1 Знак;Обычный (веб) Знак2 Знак Знак;Обычный (веб) Знак Знак1 Знак Знак;Обычный (веб) Знак1 Знак Знак1 Знак;Обычный (веб) Знак Знак Знак Знак Знак;Обычный (веб) Знак2 Знак Знак Знак1 Знак Знак"/>
    <w:link w:val="908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admmegion.ru/programs/municipal/programmy-2024/gzn/" TargetMode="External"/><Relationship Id="rId17" Type="http://schemas.openxmlformats.org/officeDocument/2006/relationships/hyperlink" Target="https://admmegion.ru/programs/municipal/programmy-2024/okhrany-truda/" TargetMode="External"/><Relationship Id="rId18" Type="http://schemas.openxmlformats.org/officeDocument/2006/relationships/hyperlink" Target="https://admmegion.ru/programs/municipal/programmy-2024/msp/" TargetMode="External"/><Relationship Id="rId19" Type="http://schemas.openxmlformats.org/officeDocument/2006/relationships/hyperlink" Target="https://admmegion.ru/programs/municipal/programmy-2024/grazhdan-obshchestvo/" TargetMode="External"/><Relationship Id="rId20" Type="http://schemas.openxmlformats.org/officeDocument/2006/relationships/hyperlink" Target="https://admmegion.ru/programs/municipal/programmy-2024/upravFinance/" TargetMode="External"/><Relationship Id="rId21" Type="http://schemas.openxmlformats.org/officeDocument/2006/relationships/hyperlink" Target="https://admmegion.ru/programs/municipal/programmy-2024/kulturnoe-prostranstvo/" TargetMode="External"/><Relationship Id="rId22" Type="http://schemas.openxmlformats.org/officeDocument/2006/relationships/hyperlink" Target="https://admmegion.ru/programs/municipal/programmy-2024/munsluzhba/" TargetMode="External"/><Relationship Id="rId23" Type="http://schemas.openxmlformats.org/officeDocument/2006/relationships/hyperlink" Target="https://admmegion.ru/programs/municipal/programmy-2024/inform-obespechenie/" TargetMode="External"/><Relationship Id="rId24" Type="http://schemas.openxmlformats.org/officeDocument/2006/relationships/hyperlink" Target="https://admmegion.ru/programs/municipal/programmy-2024/fizkultura-i-sport/" TargetMode="External"/><Relationship Id="rId25" Type="http://schemas.openxmlformats.org/officeDocument/2006/relationships/hyperlink" Target="https://admmegion.ru/programs/municipal/programmy-2024/mun-imushchestvo/" TargetMode="External"/><Relationship Id="rId26" Type="http://schemas.openxmlformats.org/officeDocument/2006/relationships/hyperlink" Target="https://admmegion.ru/programs/municipal/programmy-2024/zhil-sfera/" TargetMode="External"/><Relationship Id="rId27" Type="http://schemas.openxmlformats.org/officeDocument/2006/relationships/hyperlink" Target="https://admmegion.ru/programs/municipal/programmy-2024/informatsionnoe-obshchestvo/" TargetMode="External"/><Relationship Id="rId28" Type="http://schemas.openxmlformats.org/officeDocument/2006/relationships/hyperlink" Target="https://admmegion.ru/programs/municipal/programmy-2024/transport/." TargetMode="External"/><Relationship Id="rId29" Type="http://schemas.openxmlformats.org/officeDocument/2006/relationships/hyperlink" Target="https://admmegion.ru/programs/municipal/programmy-2024/zhkk/." TargetMode="External"/><Relationship Id="rId30" Type="http://schemas.openxmlformats.org/officeDocument/2006/relationships/hyperlink" Target="https://admmegion.ru/programs/municipal/programmy-2024/gradstroy/" TargetMode="External"/><Relationship Id="rId31" Type="http://schemas.openxmlformats.org/officeDocument/2006/relationships/hyperlink" Target="https://admmegion.ru/programs/municipal/programmy-2024/dostupnaya-sreda/" TargetMode="External"/><Relationship Id="rId32" Type="http://schemas.openxmlformats.org/officeDocument/2006/relationships/hyperlink" Target="https://admmegion.ru/programs/municipal/programmy-2024/profilaktika-pravonarusheniy/" TargetMode="External"/><Relationship Id="rId33" Type="http://schemas.openxmlformats.org/officeDocument/2006/relationships/hyperlink" Target="https://admmegion.ru/programs/municipal/programmy-2024/profilaktika-ekstremizma/" TargetMode="External"/><Relationship Id="rId34" Type="http://schemas.openxmlformats.org/officeDocument/2006/relationships/hyperlink" Target="https://admmegion.ru/programs/municipal/programmy-2024/ekologicheskaya-bezopasnost/" TargetMode="External"/><Relationship Id="rId35" Type="http://schemas.openxmlformats.org/officeDocument/2006/relationships/hyperlink" Target="https://admmegion.ru/programs/municipal/programmy-2024/razvitie-munuprav/" TargetMode="External"/><Relationship Id="rId36" Type="http://schemas.openxmlformats.org/officeDocument/2006/relationships/hyperlink" Target="https://admmegion.ru/programs/municipal/programmy-2024/formirovanie-gorsredy/" TargetMode="External"/><Relationship Id="rId37" Type="http://schemas.openxmlformats.org/officeDocument/2006/relationships/hyperlink" Target="https://admmegion.ru/programs/municipal/programmy-2024/molodezhnaya-politika/" TargetMode="External"/><Relationship Id="rId38" Type="http://schemas.openxmlformats.org/officeDocument/2006/relationships/hyperlink" Target="https://admmegion.ru/programs/municipal/programmy-2024/razvitie-obrazovani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2CCE-9416-4526-A6BD-C7ECD7E0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Бучнева Ольга Яковлевна</dc:creator>
  <cp:keywords/>
  <dc:description/>
  <cp:lastModifiedBy>NezhinskayaIE</cp:lastModifiedBy>
  <cp:revision>935</cp:revision>
  <dcterms:created xsi:type="dcterms:W3CDTF">2023-04-11T10:55:00Z</dcterms:created>
  <dcterms:modified xsi:type="dcterms:W3CDTF">2025-09-17T11:56:31Z</dcterms:modified>
</cp:coreProperties>
</file>