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B" w:rsidRDefault="00BE4FBC" w:rsidP="00ED3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Паспорт </w:t>
      </w:r>
    </w:p>
    <w:p w:rsidR="00BE4FBC" w:rsidRPr="00FF3899" w:rsidRDefault="00BE4FBC" w:rsidP="00ED3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муниципальной программы</w:t>
      </w:r>
    </w:p>
    <w:p w:rsidR="00BE4FBC" w:rsidRPr="00FF3899" w:rsidRDefault="00BE4FBC" w:rsidP="00BE4F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культуры и туризма в городском округе город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</w:t>
      </w:r>
      <w:r w:rsidRPr="00D76F77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25 годы</w:t>
      </w:r>
      <w:r w:rsidRPr="00FF3899">
        <w:rPr>
          <w:rFonts w:ascii="Times New Roman" w:hAnsi="Times New Roman"/>
          <w:sz w:val="24"/>
          <w:szCs w:val="24"/>
        </w:rPr>
        <w:t>»</w:t>
      </w:r>
    </w:p>
    <w:p w:rsidR="00BE4FBC" w:rsidRPr="00FF3899" w:rsidRDefault="00BE4FBC" w:rsidP="00BE4F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7618"/>
      </w:tblGrid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18" w:type="dxa"/>
          </w:tcPr>
          <w:p w:rsidR="00BE4FBC" w:rsidRPr="005C1FE8" w:rsidRDefault="00BE4FBC" w:rsidP="005C73AE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культуры и туризма в городском округе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2019 – 2025 годы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618" w:type="dxa"/>
          </w:tcPr>
          <w:p w:rsidR="00BE4FBC" w:rsidRPr="002522AF" w:rsidRDefault="00F30A2F" w:rsidP="005C73AE">
            <w:pPr>
              <w:tabs>
                <w:tab w:val="left" w:pos="43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от «___»_____2018 №_____ «Об утверждении муниципальной программы городского округа город </w:t>
            </w:r>
            <w:proofErr w:type="spellStart"/>
            <w:r w:rsidRPr="00573875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5B4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392" w:rsidRPr="005B4392">
              <w:rPr>
                <w:rFonts w:ascii="Times New Roman" w:hAnsi="Times New Roman"/>
                <w:sz w:val="24"/>
                <w:szCs w:val="24"/>
              </w:rPr>
              <w:t xml:space="preserve">«Развитие культуры и туризма в городском округе город </w:t>
            </w:r>
            <w:proofErr w:type="spellStart"/>
            <w:r w:rsidR="005B4392" w:rsidRPr="005B4392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 w:rsidR="005B4392" w:rsidRPr="005B4392">
              <w:rPr>
                <w:rFonts w:ascii="Times New Roman" w:hAnsi="Times New Roman"/>
                <w:sz w:val="24"/>
                <w:szCs w:val="24"/>
              </w:rPr>
              <w:t xml:space="preserve"> на 2019 – 2025 годы»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Координатор программы</w:t>
            </w:r>
          </w:p>
        </w:tc>
        <w:tc>
          <w:tcPr>
            <w:tcW w:w="7618" w:type="dxa"/>
          </w:tcPr>
          <w:p w:rsidR="00BE4FBC" w:rsidRPr="00C57903" w:rsidRDefault="00BE4FBC" w:rsidP="005C73AE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Исполнители программы</w:t>
            </w:r>
          </w:p>
        </w:tc>
        <w:tc>
          <w:tcPr>
            <w:tcW w:w="7618" w:type="dxa"/>
          </w:tcPr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5C1FE8">
              <w:rPr>
                <w:rFonts w:ascii="Times New Roman" w:hAnsi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</w:rPr>
              <w:t>ние дополнительного образования</w:t>
            </w:r>
            <w:r w:rsidRPr="005C1FE8">
              <w:rPr>
                <w:rFonts w:ascii="Times New Roman" w:hAnsi="Times New Roman"/>
                <w:sz w:val="24"/>
                <w:szCs w:val="24"/>
              </w:rPr>
              <w:t xml:space="preserve"> «Детская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 искусств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А.М.Кузьмина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</w:t>
            </w:r>
            <w:r>
              <w:rPr>
                <w:rFonts w:ascii="Times New Roman" w:hAnsi="Times New Roman"/>
                <w:sz w:val="24"/>
                <w:szCs w:val="24"/>
              </w:rPr>
              <w:t>ие дополнительного образования «Де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тская школа искусств №2»,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5C1FE8">
              <w:rPr>
                <w:rFonts w:ascii="Times New Roman" w:hAnsi="Times New Roman"/>
                <w:sz w:val="24"/>
                <w:szCs w:val="24"/>
              </w:rPr>
              <w:t>образовательное учреждение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лнительного образования «Детская художественная школа»,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муниципальное бюджетное учреждение «Централизованная библиотечная система»,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муниципальное автономное учреждение «Дворец искусств»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</w:t>
            </w:r>
          </w:p>
          <w:p w:rsidR="00BE4FBC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муниципальное автономное учреждение «Театр музыки»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</w:t>
            </w:r>
          </w:p>
          <w:p w:rsidR="00BE4FBC" w:rsidRPr="005C1FE8" w:rsidRDefault="00BE4FBC" w:rsidP="005C73A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«Капитальное строительство».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618" w:type="dxa"/>
          </w:tcPr>
          <w:p w:rsidR="00BE4FBC" w:rsidRPr="00B83ACD" w:rsidRDefault="00BE4FBC" w:rsidP="005C73AE">
            <w:pPr>
              <w:pStyle w:val="ConsPlusNonformat"/>
              <w:ind w:firstLine="699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8A0565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Укрепление единого культурного пространства 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, </w:t>
            </w:r>
            <w:r w:rsidRPr="008A0565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городского округа город </w:t>
            </w:r>
            <w:proofErr w:type="spellStart"/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.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18" w:type="dxa"/>
          </w:tcPr>
          <w:p w:rsidR="00BE4FBC" w:rsidRPr="000034E5" w:rsidRDefault="00BE4FBC" w:rsidP="005C73AE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0034E5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BE4FBC" w:rsidRPr="000034E5" w:rsidRDefault="00BE4FBC" w:rsidP="005C73AE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0034E5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Задача 2. 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BE4FBC" w:rsidRPr="005C1FE8" w:rsidRDefault="00BE4FBC" w:rsidP="005C73AE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0034E5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Задача 3. Совершенствование системы управления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сферы культуры </w:t>
            </w:r>
            <w:r w:rsidRPr="000034E5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и историко-культурного наследия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Перечень подпр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ограмм муниципальной программы и </w:t>
            </w: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основных мероприятий</w:t>
            </w:r>
          </w:p>
        </w:tc>
        <w:tc>
          <w:tcPr>
            <w:tcW w:w="7618" w:type="dxa"/>
          </w:tcPr>
          <w:p w:rsidR="00BE4FBC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776E33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Подпрограмма I.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Модернизация и развитие учреждений и организаций культуры.</w:t>
            </w:r>
          </w:p>
          <w:p w:rsidR="00BE4FBC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630E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 Развитие библиотечного дела;</w:t>
            </w:r>
          </w:p>
          <w:p w:rsidR="00BE4FBC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Развитие музейного дела;</w:t>
            </w:r>
          </w:p>
          <w:p w:rsidR="00BE4FBC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5630E5">
              <w:rPr>
                <w:rFonts w:ascii="Times New Roman" w:hAnsi="Times New Roman"/>
                <w:sz w:val="24"/>
                <w:szCs w:val="24"/>
              </w:rPr>
              <w:t>. Укрепление материально-технич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еской базы учреждений культуры;</w:t>
            </w:r>
          </w:p>
          <w:p w:rsidR="00BE4FBC" w:rsidRPr="00700721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D58E0">
              <w:rPr>
                <w:rFonts w:ascii="Times New Roman" w:hAnsi="Times New Roman"/>
                <w:sz w:val="24"/>
                <w:szCs w:val="24"/>
              </w:rPr>
              <w:t>1.4.  Реализация мероприятий</w:t>
            </w:r>
            <w:r w:rsidR="005D58E0" w:rsidRPr="005D58E0">
              <w:rPr>
                <w:rFonts w:ascii="Times New Roman" w:hAnsi="Times New Roman"/>
                <w:sz w:val="24"/>
                <w:szCs w:val="24"/>
              </w:rPr>
              <w:t xml:space="preserve"> в рамках</w:t>
            </w:r>
            <w:r w:rsidRPr="005D58E0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«Культура».</w:t>
            </w:r>
          </w:p>
          <w:p w:rsidR="00BE4FBC" w:rsidRDefault="00BE4FBC" w:rsidP="005C73A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 xml:space="preserve">               </w:t>
            </w:r>
            <w:r w:rsidRPr="00D4303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Подпрограмма II.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Поддержка творческих инициатив, способствующих самореализации населения</w:t>
            </w:r>
            <w:r w:rsidRPr="00D4303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.</w:t>
            </w:r>
          </w:p>
          <w:p w:rsidR="00BE4FBC" w:rsidRDefault="00BE4FBC" w:rsidP="005C73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5">
              <w:rPr>
                <w:rFonts w:ascii="Times New Roman" w:hAnsi="Times New Roman"/>
                <w:sz w:val="24"/>
                <w:szCs w:val="24"/>
              </w:rPr>
              <w:t>2.1. Поддержка одаренных детей и молодежи, развит</w:t>
            </w:r>
            <w:r>
              <w:rPr>
                <w:rFonts w:ascii="Times New Roman" w:hAnsi="Times New Roman"/>
                <w:sz w:val="24"/>
                <w:szCs w:val="24"/>
              </w:rPr>
              <w:t>ие художественного образования;</w:t>
            </w:r>
          </w:p>
          <w:p w:rsidR="00BE4FBC" w:rsidRDefault="00BE4FBC" w:rsidP="005C73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5">
              <w:rPr>
                <w:rFonts w:ascii="Times New Roman" w:hAnsi="Times New Roman"/>
                <w:sz w:val="24"/>
                <w:szCs w:val="24"/>
              </w:rPr>
              <w:t>2.2. Развит</w:t>
            </w:r>
            <w:r>
              <w:rPr>
                <w:rFonts w:ascii="Times New Roman" w:hAnsi="Times New Roman"/>
                <w:sz w:val="24"/>
                <w:szCs w:val="24"/>
              </w:rPr>
              <w:t>ие профессионального искусства;</w:t>
            </w:r>
          </w:p>
          <w:p w:rsidR="000421CA" w:rsidRDefault="000421CA" w:rsidP="000421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30E5"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  <w:proofErr w:type="gramEnd"/>
            <w:r w:rsidRPr="005630E5">
              <w:rPr>
                <w:rFonts w:ascii="Times New Roman" w:hAnsi="Times New Roman"/>
                <w:sz w:val="24"/>
                <w:szCs w:val="24"/>
              </w:rPr>
              <w:t xml:space="preserve"> культурного ра</w:t>
            </w:r>
            <w:r>
              <w:rPr>
                <w:rFonts w:ascii="Times New Roman" w:hAnsi="Times New Roman"/>
                <w:sz w:val="24"/>
                <w:szCs w:val="24"/>
              </w:rPr>
              <w:t>знообразия в муниципальном образовании;</w:t>
            </w:r>
          </w:p>
          <w:p w:rsidR="00BE4FBC" w:rsidRDefault="00BE4FBC" w:rsidP="005C73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5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0421CA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</w:t>
            </w:r>
            <w:r w:rsidR="00365265">
              <w:rPr>
                <w:rFonts w:ascii="Times New Roman" w:hAnsi="Times New Roman"/>
                <w:sz w:val="24"/>
                <w:szCs w:val="24"/>
              </w:rPr>
              <w:t>х (муниципальных) учреждений).</w:t>
            </w:r>
          </w:p>
          <w:p w:rsidR="00BE4FBC" w:rsidRPr="00AC361A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AC361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C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Организационные, экономические механизмы развития культуры и историко-культурного наследия.</w:t>
            </w:r>
          </w:p>
          <w:p w:rsidR="00BE4FBC" w:rsidRPr="00700721" w:rsidRDefault="00BE4FBC" w:rsidP="005C73AE">
            <w:pPr>
              <w:spacing w:after="0" w:line="240" w:lineRule="auto"/>
              <w:ind w:left="-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61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единой государственной политики в сфере культуры.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 xml:space="preserve">Наименование портфеля проектов, проекта, направленных в том числе на реализацию национальных проектов (программ) Российской федерации </w:t>
            </w:r>
          </w:p>
        </w:tc>
        <w:tc>
          <w:tcPr>
            <w:tcW w:w="7618" w:type="dxa"/>
          </w:tcPr>
          <w:p w:rsidR="00BE4FBC" w:rsidRPr="005C1FE8" w:rsidRDefault="00BE4FBC" w:rsidP="005C73AE">
            <w:pPr>
              <w:tabs>
                <w:tab w:val="left" w:pos="43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Портфель проектов «Культура»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618" w:type="dxa"/>
          </w:tcPr>
          <w:p w:rsidR="00BE4FBC" w:rsidRPr="004A5E91" w:rsidRDefault="00BE4FBC" w:rsidP="005C73AE">
            <w:pPr>
              <w:pStyle w:val="a3"/>
              <w:ind w:firstLine="706"/>
              <w:jc w:val="both"/>
            </w:pPr>
            <w:r w:rsidRPr="004A5E91">
              <w:t>1.Увеличение числа граждан, принимающих участие в культурной деятельности до 15,0%;</w:t>
            </w:r>
          </w:p>
          <w:p w:rsidR="00BE4FBC" w:rsidRPr="004A5E91" w:rsidRDefault="00BE4FBC" w:rsidP="005C73AE">
            <w:pPr>
              <w:pStyle w:val="a3"/>
              <w:ind w:firstLine="706"/>
              <w:jc w:val="both"/>
            </w:pPr>
            <w:r w:rsidRPr="008A36B9">
              <w:t>2.Увеличение числа обращений к цифровым ресурсам в сфере культуры на 20% к базовому значению;</w:t>
            </w:r>
          </w:p>
          <w:p w:rsidR="00BE4FBC" w:rsidRPr="004A5E91" w:rsidRDefault="00BE4FBC" w:rsidP="005C73AE">
            <w:pPr>
              <w:pStyle w:val="a3"/>
              <w:ind w:firstLine="706"/>
              <w:jc w:val="both"/>
            </w:pPr>
            <w:r w:rsidRPr="004A5E91">
              <w:t>3.Увеличение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</w:t>
            </w:r>
            <w:r>
              <w:t xml:space="preserve"> сфере культуры, на уровне до 20</w:t>
            </w:r>
            <w:r w:rsidRPr="004A5E91">
              <w:t>%;</w:t>
            </w:r>
          </w:p>
          <w:p w:rsidR="00BE4FBC" w:rsidRPr="004F79E1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B550A">
              <w:rPr>
                <w:rFonts w:ascii="Times New Roman" w:hAnsi="Times New Roman"/>
                <w:sz w:val="24"/>
              </w:rPr>
              <w:t>4.Увеличение доли граждан, получивших услуги в негосударственных, в том числе некоммерческих, организациях, в общем числе граждан, получивших услуги в сфере культуры, до 6%;</w:t>
            </w:r>
          </w:p>
          <w:p w:rsidR="00BE4FBC" w:rsidRPr="004F79E1" w:rsidRDefault="00BE4FBC" w:rsidP="005C73AE">
            <w:pPr>
              <w:spacing w:after="0" w:line="240" w:lineRule="auto"/>
              <w:ind w:left="-3" w:firstLine="699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7B550A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Увеличение доли</w:t>
            </w:r>
            <w:r w:rsidRPr="007B550A">
              <w:rPr>
                <w:rFonts w:ascii="Times New Roman" w:hAnsi="Times New Roman"/>
                <w:sz w:val="24"/>
              </w:rPr>
              <w:t xml:space="preserve"> средств бюджета муниципального образования, выделяемых негосударственным (немуниципальным) организациям, в </w:t>
            </w:r>
            <w:proofErr w:type="spellStart"/>
            <w:r w:rsidRPr="007B550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7B550A">
              <w:rPr>
                <w:rFonts w:ascii="Times New Roman" w:hAnsi="Times New Roman"/>
                <w:sz w:val="24"/>
              </w:rPr>
              <w:t>. СОНКО, в общем объеме средств бюджета муниципального образования, выделяемых на предоставление услуг (выполнение работ) в социальной сфере, потенциально возможных к передаче на исполнение негосударственным (немуниципальным) поставщикам</w:t>
            </w:r>
            <w:r>
              <w:rPr>
                <w:rFonts w:ascii="Times New Roman" w:hAnsi="Times New Roman"/>
                <w:sz w:val="24"/>
              </w:rPr>
              <w:t xml:space="preserve"> до 6%;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и этапы </w:t>
            </w: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реализации программы</w:t>
            </w:r>
          </w:p>
        </w:tc>
        <w:tc>
          <w:tcPr>
            <w:tcW w:w="7618" w:type="dxa"/>
          </w:tcPr>
          <w:p w:rsidR="00BE4FBC" w:rsidRPr="0064662E" w:rsidRDefault="00BE4FBC" w:rsidP="005C73AE">
            <w:pPr>
              <w:spacing w:after="0" w:line="240" w:lineRule="auto"/>
              <w:ind w:firstLine="7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F8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 w:rsidRPr="00875AD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5годы</w:t>
            </w:r>
          </w:p>
        </w:tc>
      </w:tr>
      <w:tr w:rsidR="00BE4FBC" w:rsidRPr="005C1FE8" w:rsidTr="005C73AE">
        <w:tc>
          <w:tcPr>
            <w:tcW w:w="2271" w:type="dxa"/>
          </w:tcPr>
          <w:p w:rsidR="00BE4FBC" w:rsidRPr="005C1FE8" w:rsidRDefault="00BE4FBC" w:rsidP="005C73A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Параметры финансового обеспечения</w:t>
            </w:r>
            <w:r w:rsidRPr="005C1FE8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618" w:type="dxa"/>
          </w:tcPr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24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на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81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7DC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годы составляет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2 867 613,7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415 648,0</w:t>
            </w:r>
            <w:r w:rsidRPr="001D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–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407 893,7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2021 год – 408 814,4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2022 год – 408 814,4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4FBC" w:rsidRPr="008C4241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408 814,4 тыс.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BE4FBC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408 814,4 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4FBC" w:rsidRPr="0064662E" w:rsidRDefault="00BE4FBC" w:rsidP="005C73AE">
            <w:pPr>
              <w:shd w:val="clear" w:color="auto" w:fill="FFFFFF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</w:t>
            </w:r>
            <w:r w:rsidRPr="008C424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408 814,4  тыс. рублей</w:t>
            </w:r>
          </w:p>
        </w:tc>
      </w:tr>
    </w:tbl>
    <w:p w:rsidR="00ED339A" w:rsidRDefault="00ED339A"/>
    <w:sectPr w:rsidR="00ED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01"/>
    <w:rsid w:val="000421CA"/>
    <w:rsid w:val="002A4B01"/>
    <w:rsid w:val="00365265"/>
    <w:rsid w:val="005A5D9B"/>
    <w:rsid w:val="005B4392"/>
    <w:rsid w:val="005D58E0"/>
    <w:rsid w:val="00AC1B95"/>
    <w:rsid w:val="00BE4FBC"/>
    <w:rsid w:val="00C76B14"/>
    <w:rsid w:val="00ED339A"/>
    <w:rsid w:val="00F30A2F"/>
    <w:rsid w:val="00F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DFE6-0FEB-4667-86AA-0675DED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F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E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A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Александра Евгеньевна</dc:creator>
  <cp:keywords/>
  <dc:description/>
  <cp:lastModifiedBy>Сяфукова Эльвира Мягзумовна</cp:lastModifiedBy>
  <cp:revision>9</cp:revision>
  <cp:lastPrinted>2018-11-12T07:24:00Z</cp:lastPrinted>
  <dcterms:created xsi:type="dcterms:W3CDTF">2018-11-10T04:59:00Z</dcterms:created>
  <dcterms:modified xsi:type="dcterms:W3CDTF">2018-11-12T07:25:00Z</dcterms:modified>
</cp:coreProperties>
</file>