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9568418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2900" cy="466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ff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«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12</w:t>
      </w:r>
      <w:r>
        <w:rPr>
          <w:rFonts w:ascii="Times New Roman" w:hAnsi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декабря</w:t>
      </w:r>
      <w:r>
        <w:rPr>
          <w:rFonts w:ascii="Times New Roman" w:hAnsi="Times New Roman"/>
          <w:color w:val="0000ff"/>
          <w:sz w:val="24"/>
          <w:szCs w:val="24"/>
        </w:rPr>
        <w:t xml:space="preserve"> 202</w:t>
      </w:r>
      <w:r>
        <w:rPr>
          <w:rFonts w:ascii="Times New Roman" w:hAnsi="Times New Roman"/>
          <w:color w:val="0000ff"/>
          <w:sz w:val="24"/>
          <w:szCs w:val="24"/>
        </w:rPr>
        <w:t xml:space="preserve">5</w:t>
      </w:r>
      <w:r>
        <w:rPr>
          <w:rFonts w:ascii="Times New Roman" w:hAnsi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color w:val="0000ff"/>
          <w:sz w:val="24"/>
          <w:szCs w:val="24"/>
        </w:rPr>
        <w:t xml:space="preserve">                   </w:t>
      </w:r>
      <w:r>
        <w:rPr>
          <w:rFonts w:ascii="Times New Roman" w:hAnsi="Times New Roman"/>
          <w:color w:val="0000ff"/>
          <w:sz w:val="24"/>
          <w:szCs w:val="24"/>
        </w:rPr>
        <w:t xml:space="preserve"> №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42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/>
        <w:jc w:val="right"/>
        <w:keepNext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ind w:left="0" w:right="5952"/>
        <w:jc w:val="both"/>
        <w:keepNext/>
        <w:rPr>
          <w:rFonts w:ascii="Times New Roman" w:hAnsi="Times New Roman" w:eastAsia="Times New Roman"/>
          <w:iCs/>
          <w:sz w:val="24"/>
          <w:szCs w:val="24"/>
          <w:highlight w:val="none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О бюджете городского округа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Ханты-Мансийского автономного округа – Югры на 2026 год и плановый период 2027 и 2028 годов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iCs/>
          <w:sz w:val="24"/>
          <w:szCs w:val="24"/>
          <w:highlight w:val="none"/>
          <w:lang w:eastAsia="ru-RU"/>
        </w:rPr>
      </w:r>
    </w:p>
    <w:p>
      <w:pPr>
        <w:ind w:left="0" w:right="5952"/>
        <w:jc w:val="both"/>
        <w:keepNext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Рассмотрев проект решения Думы города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«О бюджете городского округа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Ханты-Мансийского автономного округа – Югры на 2026 год и плановый период 2027 и 2028 годов», в соответствии с Бюджетным кодексом Российской Федерации, руководствуясь статьям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и 19, 49, 52 устава города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, Дума города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left="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 Утвердить основные характеристики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Ханты-Мансийского автономного округа – Югры </w:t>
      </w:r>
      <w:r>
        <w:rPr>
          <w:rFonts w:ascii="Times New Roman" w:hAnsi="Times New Roman" w:eastAsia="Calibri" w:cs="Times New Roman"/>
          <w:sz w:val="24"/>
          <w:szCs w:val="24"/>
        </w:rPr>
        <w:t xml:space="preserve">(далее также – городской округ) на 2026 год: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прогнозируемый общий объем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доходов бюджета городского округа в сумме 7 193 972,5 тыс. рублей согласно приложению 1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2) общий объем расходов бюджета городского округа в сумме 7 439 626,1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3) дефицит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сумме 245 653,6 тыс.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4) верхний предел муниципального внутреннего долга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 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1 января 2027 года в сумме 854 679,5 тыс. рублей, в том числе, верхний предел долга по муниципальным гарантиям городского округа в сумме 0,00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5) объем расходов 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обслуживание муниципального внутреннего долга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сумме 500,0 тыс. рублей.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 Утвердить основные характеристики бюджета городского округа на плановый период 2027 и 2028 годов: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прогнозируемый общий объем доходов бюджета городского округ</w:t>
      </w:r>
      <w:r>
        <w:rPr>
          <w:rFonts w:ascii="Times New Roman" w:hAnsi="Times New Roman" w:eastAsia="Calibri" w:cs="Times New Roman"/>
          <w:sz w:val="24"/>
          <w:szCs w:val="24"/>
        </w:rPr>
        <w:t xml:space="preserve">а на 2027 год в сумме 6 741 936,8 тыс. рублей и на 2028 год в сумме 6 850 012,1 тыс. рублей согласно приложению 2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2) общий объем расходов бюджета городского округа на 2027 год в сумме 7 005 762,3 тыс. рублей и на 2028 год в сумме 7 13</w:t>
      </w:r>
      <w:r>
        <w:rPr>
          <w:rFonts w:ascii="Times New Roman" w:hAnsi="Times New Roman" w:eastAsia="Calibri" w:cs="Times New Roman"/>
          <w:sz w:val="24"/>
          <w:szCs w:val="24"/>
        </w:rPr>
        <w:t xml:space="preserve">1 612,2 тыс. рублей, в том числе, условно утвержденные расходы на 2027 год в сумме 88 826,0 тыс. рублей и на 2028 год в сумме 188 080,0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3) дефицит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2027 год в сумме 263 825,5 тыс. рублей и на 2028 год в сумме 281 60</w:t>
      </w:r>
      <w:r>
        <w:rPr>
          <w:rFonts w:ascii="Times New Roman" w:hAnsi="Times New Roman" w:eastAsia="Calibri" w:cs="Times New Roman"/>
          <w:sz w:val="24"/>
          <w:szCs w:val="24"/>
        </w:rPr>
        <w:t xml:space="preserve">0,1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4) верхний предел муниципального внутреннего долга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1 января 2028 года в сумме 1 118 505,0 тыс. рублей и на 1 января 2029 года в сумме 1 400 105,1 тыс. рублей, в том числе, предельный объем обязательств по муниципальным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гарантиям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1 января 2028 года в сумме 0,0 тыс. рублей и на 1 января 2029 года в сумме 0,0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5) объем расходов на обслуживание муниципального внутреннего долга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2027 год в сумме 500,0 т</w:t>
      </w:r>
      <w:r>
        <w:rPr>
          <w:rFonts w:ascii="Times New Roman" w:hAnsi="Times New Roman" w:eastAsia="Calibri" w:cs="Times New Roman"/>
          <w:sz w:val="24"/>
          <w:szCs w:val="24"/>
        </w:rPr>
        <w:t xml:space="preserve">ыс. рублей и на 2028 год в сумме 500,0 тыс. рублей.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16"/>
          <w:szCs w:val="16"/>
          <w:highlight w:val="yellow"/>
        </w:rPr>
      </w:pP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 В соответствии с пунктом 2 статьи 184.1 Бюджетного кодекса Российской Федерации и пунктом 1 статьи 2 Закона Ханты-Мансийского автономного округа – Югры «О бюджете Ханты-Мансийского автономного округа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– Югры на 2026 год и на плановый период 2027 и 2028 годов» руководствоваться нормативами распределения доходов между бюджетом Ханты-Мансийского автономного округа – Югры, бюджетом территориального фонда обязательного медицинского страхования Ханты-Мансийск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ого автономного округа – Югры и бюджетами муниципальных образований Ханты-Мансийского автономного округа – Югры на 2026 год и на плановый период 2027 и 2028 годов согласно приложению 3 к вышеуказанному Закону.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 В соответствии с пунктом 2 статьи 2 Закона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Ханты-Мансийского автономного округа – Югры «О бюджете Ханты-Мансийского автономного округа – Югры на 2026 год и на плановый период 2027 и 2028 годов» руководствоваться дифференцированными нормативами отчислений в бюджет городского округа от акцизов на ав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томобильный и прямогонный бензин, дизельное топливо, моторные масла для дизельных и (или) карбюраторных (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инжекторных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двигателей, производимых на территории Российской Федерации на 2026 год и на плановый период 2027 и 2028 годов согласно приложениям 4 и 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 вышеуказанному Закону.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ind w:left="0" w:firstLine="709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 Открытие и ведение лицевых счетов муниципальных учреждений, предприятий, созданных на базе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имущества, находящегося в муниципальной собственности городского округа, а также автономных некоммерческих организаций, осуществляется 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департаменте финансов администрации города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в установленном им порядке.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rPr>
          <w:rFonts w:ascii="Times New Roman" w:hAnsi="Times New Roman" w:eastAsia="Calibri" w:cs="Times New Roman"/>
          <w:sz w:val="16"/>
          <w:szCs w:val="16"/>
          <w:highlight w:val="white"/>
        </w:rPr>
      </w:pPr>
      <w:r>
        <w:rPr>
          <w:rFonts w:ascii="Times New Roman" w:hAnsi="Times New Roman" w:eastAsia="Calibri" w:cs="Times New Roman"/>
          <w:sz w:val="16"/>
          <w:szCs w:val="16"/>
          <w:highlight w:val="white"/>
        </w:rPr>
      </w:r>
      <w:r>
        <w:rPr>
          <w:rFonts w:ascii="Times New Roman" w:hAnsi="Times New Roman" w:eastAsia="Calibri" w:cs="Times New Roman"/>
          <w:sz w:val="16"/>
          <w:szCs w:val="16"/>
          <w:highlight w:val="white"/>
        </w:rPr>
      </w:r>
      <w:r>
        <w:rPr>
          <w:rFonts w:ascii="Times New Roman" w:hAnsi="Times New Roman" w:eastAsia="Calibri" w:cs="Times New Roman"/>
          <w:sz w:val="16"/>
          <w:szCs w:val="16"/>
          <w:highlight w:val="white"/>
        </w:rPr>
      </w:r>
    </w:p>
    <w:p>
      <w:pPr>
        <w:ind w:left="0" w:firstLine="709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6.</w:t>
      </w:r>
      <w:r>
        <w:rPr>
          <w:rFonts w:ascii="Calibri" w:hAnsi="Calibri" w:eastAsia="Calibri" w:cs="Times New Roman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Утвердить распределение бюджетных ассигнований по разделам, подразделам, целевым 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и непрограммным направлениям деятельно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сти), группам и подгруппам видов расходов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</w:t>
      </w:r>
      <w:r>
        <w:rPr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Ханты-Мансийского автономного округа – Югры: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1) на 2026 год согласно приложению 3 к настоящему решению;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rPr>
          <w:rFonts w:ascii="Calibri" w:hAnsi="Calibri" w:eastAsia="Calibri" w:cs="Times New Roman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2)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 плановый период 2027 и 2028 годов согласно прило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жению 4 к настоящему решению.</w:t>
      </w:r>
      <w:r>
        <w:rPr>
          <w:rFonts w:ascii="Calibri" w:hAnsi="Calibri" w:eastAsia="Calibri" w:cs="Times New Roman"/>
          <w:highlight w:val="white"/>
        </w:rPr>
      </w:r>
      <w:r>
        <w:rPr>
          <w:rFonts w:ascii="Calibri" w:hAnsi="Calibri" w:eastAsia="Calibri" w:cs="Times New Roman"/>
          <w:highlight w:val="white"/>
        </w:rPr>
      </w:r>
    </w:p>
    <w:p>
      <w:pPr>
        <w:ind w:left="0" w:firstLine="709"/>
        <w:jc w:val="both"/>
        <w:rPr>
          <w:rFonts w:ascii="Calibri" w:hAnsi="Calibri" w:eastAsia="Calibri" w:cs="Times New Roman"/>
          <w:highlight w:val="yellow"/>
        </w:rPr>
      </w:pPr>
      <w:r>
        <w:rPr>
          <w:rFonts w:ascii="Calibri" w:hAnsi="Calibri" w:eastAsia="Calibri" w:cs="Times New Roman"/>
          <w:highlight w:val="yellow"/>
        </w:rPr>
      </w:r>
      <w:r>
        <w:rPr>
          <w:rFonts w:ascii="Calibri" w:hAnsi="Calibri" w:eastAsia="Calibri" w:cs="Times New Roman"/>
          <w:highlight w:val="yellow"/>
        </w:rPr>
      </w:r>
      <w:r>
        <w:rPr>
          <w:rFonts w:ascii="Calibri" w:hAnsi="Calibri" w:eastAsia="Calibri" w:cs="Times New Roman"/>
          <w:highlight w:val="yellow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7. Утвердить распределение бюджетных ассигнований по целевым 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</w:t>
      </w:r>
      <w:r>
        <w:rPr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Ханты-Мансийского автономного округа – Югры: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1) на 2026 год согласно приложению 5 к настоящему решению;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2) на плановый период 2027 и 2028 годов согласно приложению 6 к настоящему решению.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16"/>
          <w:szCs w:val="16"/>
          <w:highlight w:val="yellow"/>
        </w:rPr>
      </w:pP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8. Утвердить распределение бюджетных ассиг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нований по разделам, подразделам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</w:t>
      </w:r>
      <w:r>
        <w:rPr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Ханты-Мансийского автономного округа – Югры: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1) на 2026 год согласно приложению 7 к настоящему решению;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2) на плановый период 2027 и 2028 годов согласно приложению 8 к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настоящему решению.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16"/>
          <w:szCs w:val="16"/>
          <w:highlight w:val="white"/>
        </w:rPr>
      </w:pPr>
      <w:r>
        <w:rPr>
          <w:rFonts w:ascii="Times New Roman" w:hAnsi="Times New Roman" w:eastAsia="Calibri" w:cs="Times New Roman"/>
          <w:sz w:val="16"/>
          <w:szCs w:val="16"/>
          <w:highlight w:val="white"/>
        </w:rPr>
      </w:r>
      <w:r>
        <w:rPr>
          <w:rFonts w:ascii="Times New Roman" w:hAnsi="Times New Roman" w:eastAsia="Calibri" w:cs="Times New Roman"/>
          <w:sz w:val="16"/>
          <w:szCs w:val="16"/>
          <w:highlight w:val="white"/>
        </w:rPr>
      </w:r>
      <w:r>
        <w:rPr>
          <w:rFonts w:ascii="Times New Roman" w:hAnsi="Times New Roman" w:eastAsia="Calibri" w:cs="Times New Roman"/>
          <w:sz w:val="16"/>
          <w:szCs w:val="16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9. Утвердить ведомственную структуру расходов бюджета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</w:t>
      </w:r>
      <w:r>
        <w:rPr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1) на 2026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год согласно приложению 9 к настоящему решению;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2) на плановый период 2027 и 2028 годов согласно приложению 10 к настоящему решению.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/>
        <w:jc w:val="both"/>
        <w:tabs>
          <w:tab w:val="left" w:pos="709" w:leader="none"/>
          <w:tab w:val="left" w:pos="993" w:leader="none"/>
          <w:tab w:val="left" w:pos="1701" w:leader="none"/>
        </w:tabs>
        <w:rPr>
          <w:rFonts w:ascii="Times New Roman" w:hAnsi="Times New Roman" w:eastAsia="Calibri" w:cs="Times New Roman"/>
          <w:sz w:val="16"/>
          <w:szCs w:val="16"/>
          <w:highlight w:val="yellow"/>
        </w:rPr>
      </w:pP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10.</w:t>
      </w:r>
      <w:r>
        <w:rPr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Утвердить источники внутреннего финансирования дефицита бюджета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</w:t>
      </w:r>
      <w:r>
        <w:rPr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Ханты-Мансийского автономног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 округа – Югры: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1) на 2026 год согласно приложению 11 к настоящему решению;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16"/>
          <w:szCs w:val="16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2) на плановый период 2027 и 2028 годов согласно приложению 12 к настоящему решению. </w:t>
      </w:r>
      <w:r>
        <w:rPr>
          <w:rFonts w:ascii="Times New Roman" w:hAnsi="Times New Roman" w:eastAsia="Calibri" w:cs="Times New Roman"/>
          <w:sz w:val="16"/>
          <w:szCs w:val="16"/>
          <w:highlight w:val="white"/>
        </w:rPr>
      </w:r>
      <w:r>
        <w:rPr>
          <w:rFonts w:ascii="Times New Roman" w:hAnsi="Times New Roman" w:eastAsia="Calibri" w:cs="Times New Roman"/>
          <w:sz w:val="16"/>
          <w:szCs w:val="16"/>
          <w:highlight w:val="white"/>
        </w:rPr>
      </w:r>
    </w:p>
    <w:p>
      <w:pPr>
        <w:ind w:left="0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16"/>
          <w:szCs w:val="16"/>
          <w:highlight w:val="yellow"/>
        </w:rPr>
      </w:pP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  <w:r>
        <w:rPr>
          <w:rFonts w:ascii="Times New Roman" w:hAnsi="Times New Roman" w:eastAsia="Calibri" w:cs="Times New Roman"/>
          <w:sz w:val="16"/>
          <w:szCs w:val="16"/>
          <w:highlight w:val="yellow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11. Утвердить программу муниципальных внутренних заимствований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</w:t>
      </w:r>
      <w:r>
        <w:rPr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Хант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ы-Мансийского автономного округа – Югры: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1) на 2026 год согласно приложению 13 к настоящему решению;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2) на плановый период 2027 и 2028 годов согласно приложению 14 к настоящему решению.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12. Утвердить объем бюджетных ассигнований на исполнение публичных нормативных обязательств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на 2026 год в сумме 13 508,6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2) на 2027 год в сумме 13 508,6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3) на 2028 год в сумме 13 508,6 тыс. рублей.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13. Утвердить объем бюджетных ассигнований дорожного фонда городского округа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на 2026 год в сумме 424 599,0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2) на 2027 год в сумме 139 385,6 ты</w:t>
      </w:r>
      <w:r>
        <w:rPr>
          <w:rFonts w:ascii="Times New Roman" w:hAnsi="Times New Roman" w:eastAsia="Calibri" w:cs="Times New Roman"/>
          <w:sz w:val="24"/>
          <w:szCs w:val="24"/>
        </w:rPr>
        <w:t xml:space="preserve">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3) на 2028 год в сумме 154 137,8 тыс. рублей.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14.</w:t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Утвердить объем межбюджетных трансфертов, получаемых из других бюджетов бюджетной системы Российской Федерации: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на 2026 год в сумме 4 353 341,9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2) на 2027 год в сумме 3 778 205,</w:t>
      </w:r>
      <w:r>
        <w:rPr>
          <w:rFonts w:ascii="Times New Roman" w:hAnsi="Times New Roman" w:eastAsia="Calibri" w:cs="Times New Roman"/>
          <w:sz w:val="24"/>
          <w:szCs w:val="24"/>
        </w:rPr>
        <w:t xml:space="preserve">2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3) на 2028 год в сумме 3 702 014,4 тыс. рублей.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15. Утвердить в составе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резервный фонд администрации города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на 2026 год в сумме 1 500,0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2) на 2027 год в сумме 1 500,0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3) на 2028 год в сумме 1 500,0 тыс. рублей.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16. Установить, что в бюджете городского округа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Ханты-Мансийского автономного округа – Югры на 2026 год и плановый период 2027 и 2028 годов зарезервированы бюджетные ассигнования: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на реализацию инициа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тивных проектов, в целях финансового обеспечения соответствующих расходных обязательств муниципального образования на 2026 год в сумме 20 000,0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2) на выплату дополнительной меры социальной поддержки граждан в городском округе, заключивших конт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ракт о прохождении военной службы в Вооруженных Силах Российской Федерации, направленных для выполнения задач в ходе специальной военной операции на 2026 год в сумме 10 500,0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3) на обеспечение доли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софинансирования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мероприятий государственных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программ Ханты-Мансийского автономного округа – Югры при предоставлении из бюджетов бюджетной системы Российской Федерации объема субсидий сверх утвержденного решением Думы города о бюджете города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2026 год в сумме 10 000</w:t>
      </w:r>
      <w:r>
        <w:rPr>
          <w:rFonts w:ascii="Times New Roman" w:hAnsi="Times New Roman" w:eastAsia="Calibri" w:cs="Times New Roman"/>
          <w:sz w:val="24"/>
          <w:szCs w:val="24"/>
        </w:rPr>
        <w:t xml:space="preserve">,0 тыс. рублей.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yellow"/>
        </w:rPr>
      </w:pPr>
      <w:r/>
      <w:bookmarkStart w:id="0" w:name="_GoBack"/>
      <w:r/>
      <w:bookmarkEnd w:id="0"/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17. Пред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оставить право администрации города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привлекать кредиты от кредитных организаций, бюджетные кредиты из бюджета Ханты-Мансийского автономного округа – Югры для финансирования дефицита бюджета городского округа, в том числе на реализацию инфраструктур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ных проектов, проектов по реконструкции, модернизации, капитальному ремонту объектов жилищно-коммунального комплекса и капитальному ремонту автомобильных дорог общего пользования местного значения, для погашения действующих долговых обязательств бюджета го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родского округа.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18. Установить, что в соответствии со статьей 78 Бюджетного кодекса Российской Федерации в бюджете городского округа на 2026 год и плановый период 2027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2028 годов предусмотрены 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в случаях, установленных приложением 15 к настояще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 решению.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Порядок предоставления субсидий, предусмотренных приложением 15 к настоящему решению, за исключением субсидий, предоставляемых за счет средств, поступивших из других бюджетов бюджетной системы Российской Федерации в соответствии с решениями о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рганов государственной власти Российской Федерации и органов государственной власти Ханты-Мансийского автономного округа – Югры (с учетом обеспечения доли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софинансирования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расходов), устанавливается муниципальными правовыми актами администрации города, при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нимаемыми в соответствии с настоящим решением и общими требованиями, установленными Правительством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Объем бюджетных ассигнований на их предоставление отражен по мероприятиям муниципальных программ по коду видов расходов 810 «Субсидии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юридическим лицам (кроме некоммерческих организаций), индивидуальным предпринимателям, а также физическим лицам – производителям товаров, работ, услуг» в составе приложений 3, 4, 5, 6, 9, 10 к настоящему решению.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ind w:left="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ab/>
        <w:t xml:space="preserve">19. Установить, что в соответствии со ст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атьей 78.1 Бюджетного кодекса Российской Федерации субсидии негосударственным социально ориентированным некоммерческим организациям (за исключением субсидий муниципальным учреждениям) предоставляются в целях финансового обеспечения (возмещения затрат) оказ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ания общественно полезных услуг, в случаях, установленных приложением 16 к настоящему решению.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54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 Субсидии предоставляются в соответствии с муниципальными правовыми актами администрации города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54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 Объем бюджетных ассигнований на их предоставление отр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ажен по мероприятиям муниципальных программ по коду видов расходов 630 «Субсидии некоммерческим организациям (за исключением государственных (муниципальных) учреждений)» в составе приложений 3, 4, 5, 6, 9, 10 к настоящему решению.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54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20. Установить, что в со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ответствии со статьей 78.4 Бюджетного кодекса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в бюджете города предусмотрена субсидия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в городе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Субсидия из бюджета города предостав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ляется в порядке, установленном настоящим решением и принимаемыми в соответствии с ним муниципальными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правовыми актами администрации города и должны соответствовать требованиям статьи 78.4 Бюджетного кодекса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Федерального закона от 13.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07.2020 № 189-ФЗ «О государственном (муниципальном) социальном заказе на оказание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государственных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(муниципальных) услуг в социальной сфере», а также иным требованиям, установленным Правительством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firstLine="54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21. Установить, что в 2026 году депар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тамент финансов администрации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осуществляет казначейское сопровождение средств, указанных в настоящем пункте, предоставляемых из бюджета городского округа.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Казначейскому сопровождению подлежат: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1) авансовые платежи по муниципальным контрактам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 поставке товаров, выполнении работ, оказании услуг, заключаемым на сумму 50 000,0 тыс. рублей и более;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2) авансовые платежи по контрактам (договорам) о поставке товаров, выполнении работ, оказании услуг, заключаемым на сумму 50 000,0 тыс. рублей и более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бюджетными или автономными учреждениями городского округа, лицевые счета которым открыты                                        в департаменте финансов администрации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3) авансовые платежи по контрактам (договорам, соглашениям) о поставке 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варов, выполнении работ, оказании услуг,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источником финансового обеспечения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которых являются субсидии юридическим лицам (за исключением субсидий бюджетным и автономным учреждениям), в том числе предоставляемые в соответствии                           с концессионными соглашениями, соглашениями о государственно-частном партнерстве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 сумму более 3 000,0 тыс. рублей;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4) авансовые платежи по контрактам (договорам) о поставке товаров, выполнении работ, оказании услуг, заключаемым на сумму более 3 000,0 тыс. рублей исполнителями                                       и соисполнителями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рамках исполнения указанных в под</w:t>
      </w:r>
      <w:hyperlink r:id="rId12" w:tooltip="https://login.consultant.ru/link/?req=doc&amp;base=RLAW926&amp;n=304800&amp;dst=100221&amp;field=134&amp;date=27.08.2024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пунктах 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 и </w:t>
      </w:r>
      <w:hyperlink r:id="rId13" w:tooltip="https://login.consultant.ru/link/?req=doc&amp;base=RLAW926&amp;n=304800&amp;dst=100222&amp;field=134&amp;date=27.08.2024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2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пункта 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униципальных контрактов (контрактов, договоров) о поставке товаров, выполнении работ, оказании услуг;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5) средства, получаемые участниками казначейского сопровождения, в случаях, установленных федеральными законами, решениями Правительства Российской Федера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ции (включая средства, указанные в абзаце четвертом подпункта 1 статьи 242.27 Бюджетного кодекса Российской Федерации).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Установить, что в 2026 году при казначейском сопровождении средств, предоставляемых на основании контрактов (договоров), определенных 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дпунктами 3 и 4,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епартаменте финансов администрации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на расчетные счета, открытые поставщикам (подрядчикам, исполнителям) в кредитных организациях: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целях приобретения товаров – при представлении заказчиками по таким контрактам (договорам) документов, подт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верждающих поставку товаров;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авансовых платежей по контрактам (договорам), заключаемым в целях приобретения строительных материалов и оборудования, затраты на приобретение которых включены                           в проектную документацию на строительств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 (реконструкцию, в том числе с элементами реставрации, техническое перевооружение), капитальный ремонт объектов капитального строительства, - на основании перечня строительных материалов и оборудования, включенных в проектную документацию на строительство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департамент финансов администрации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в порядке и по форме, устан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овленным Правительством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целях выполнения работ, оказания услуг в рамках исполнения государственных (муниципальных) контрактов, контрактов (договоров)</w:t>
      </w:r>
      <w:bookmarkStart w:id="1" w:name="_Hlk179218089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предметом которых являются строительство (реконструкция, в том числе с элементами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реставрации, техническое перевооружение), капитальный ремонт объектов капитального строительства</w:t>
      </w:r>
      <w:bookmarkEnd w:id="1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– при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представлении документов, подтверждающих выполнение работ, оказание услуг, а также реестра документов, подтверждающих затраты, произведенные подрядчико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(исполнителем)  в целях выполнения работ, оказания услуг, по форме, установленной Правительством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left="0" w:firstLine="709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22. Органы местного самоуправления не вправе принимать решения, приводящие к увеличен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ию в 2026 году численности лиц, замещающих муниципальные должности, должности муниципальной службы, а также работников органов местного самоуправления (за исключением случаев принятия решений по перераспределению функций (полномочий) или наделению ими), 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также работников муниципальных учреждений городского округа, за исключением случаев принятия решений по перераспределению функций (полномочий) или наделению ими, по вводу (приобретению) новых объектов капитального строительства муниципальной собственности.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23. Установить приоритетные направления расходов средств местного бюджета город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c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кого округа в случае невыполнения доходной части бюджета и недостатка средств на счете бюджета городского округа в 2026 году: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1)оплата труда и начисления на выплаты по оплате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труда; выплаты социального характера;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2)оплата коммунальных услуг, услуг по содержанию имущества;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3)публичные нормативные обязательства.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Финансирование иных расходов производится пропорционально поступающим в бюджет городского округа доходам.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firstLine="709"/>
        <w:jc w:val="both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ind w:left="0" w:firstLine="540"/>
        <w:jc w:val="both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24.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Дохо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ды, поступающие в 2026 году сверх сумм, утвержденных настоящим решением, в первоочередном порядке будут направлены на финансирование приоритетных направлений расходов, обеспечивающих повышение уровня и качества жизни населения города, доступности муниципал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ьных услуг и функций.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/>
        <w:jc w:val="both"/>
        <w:tabs>
          <w:tab w:val="left" w:pos="993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left="0"/>
        <w:jc w:val="both"/>
        <w:tabs>
          <w:tab w:val="left" w:pos="709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25. Установить, что муниципальные правовые акты муниципального образования, влекущие дополнительные расходы за счет средств бюджета городского округа, а также сокращающие доходную базу, принимаются и реализуются только при наличии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оответствующих источников дополнительных поступлений в бюджет города и (или) при сокращении расходов по конкретным статьям бюджета города после внесения соответствующих изменений в настоящее решение.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16"/>
          <w:szCs w:val="16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highlight w:val="yellow"/>
          <w:lang w:eastAsia="ru-RU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2</w:t>
      </w:r>
      <w:r>
        <w:rPr>
          <w:rFonts w:ascii="Times New Roman" w:hAnsi="Times New Roman" w:eastAsia="Calibri" w:cs="Times New Roman"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sz w:val="24"/>
          <w:szCs w:val="24"/>
        </w:rPr>
        <w:t xml:space="preserve">. Руководитель финансового органа в соответствии с п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унктом 8 статьи 217 Бюджетного кодекса Российской Федерации, пунктом 11 раздела 4 Положения об отдельных вопросах организации и осуществления бюджетного процесса в городском округе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Ханты-Мансийского автономного округа - Югры, утвержденного решением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Думы города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от 30.11.2012 №306 (с изменениями) вправе вносить в 2026 году  изменения в показатели сводной бюджетной росписи бюджета городского округа 2026 - 2028 годов без внесения изменений в настоящее решение по следующим дополнительным основания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м: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spacing w:val="-4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1) 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перераспределение бюджетных ассигнований между главными распорядителями средств бюджета городского округа по соответствующим кодам классификации расходов бюджета в целях обеспечения условий (в том числе, обеспечение доли 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софинансирования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) предоставления межбюджетных трансфертов, имеющих целевое назначение;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</w:p>
    <w:p>
      <w:pPr>
        <w:ind w:left="0" w:firstLine="54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2) перераспределение бюджетных ассигнований, предусмотренных главным распорядителям средств бюджета городского округа по соответствующим кодам классификации расходов бюджета на пров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едение отдельных мероприятий в рамках муниципальных программ и непрограммных направлений деятельности города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rPr>
          <w:rFonts w:ascii="Times New Roman" w:hAnsi="Times New Roman" w:eastAsia="Calibri" w:cs="Times New Roman"/>
          <w:spacing w:val="-4"/>
          <w:sz w:val="24"/>
          <w:szCs w:val="24"/>
        </w:rPr>
      </w:pP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3) перераспределение бюджетных ассигнований, предусмотренных гл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авным распорядителям бюджетных средств на предоставление муниципальным бюджетным и 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автономным учреждениям городского  округа субсидий на финансовое обеспечение выполнения муниципального задания на оказание муниципальных услуг (выполнение работ) и субсидий 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на цели, не связанные с финансовым обеспечением выполнения муниципального задания, между разделами, подразделами, целевыми статьями, подгруппами видов расходов классификации расходов бюджетов;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</w:p>
    <w:p>
      <w:pPr>
        <w:ind w:left="0" w:firstLine="567"/>
        <w:jc w:val="both"/>
        <w:tabs>
          <w:tab w:val="left" w:pos="709" w:leader="none"/>
        </w:tabs>
        <w:rPr>
          <w:rFonts w:ascii="Times New Roman" w:hAnsi="Times New Roman" w:eastAsia="Calibri" w:cs="Times New Roman"/>
          <w:spacing w:val="-4"/>
          <w:sz w:val="24"/>
          <w:szCs w:val="24"/>
        </w:rPr>
      </w:pP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 4) перераспределение бюджетных ассигнований между муниципальн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ыми программами, подпрограммами (мероприятиями) муниципальных программ городского округа, а также между их исполнителями на функционирование органов администрации города, связанное с созданием, ликвидацией и реорганизацией (передачей полномочий), изменение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м типа муниципальных учреждений;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</w:p>
    <w:p>
      <w:pPr>
        <w:ind w:left="0"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5) уменьшение бюджетных ассигнований на сумму, израсходованную получателями бюджетных средств незаконно или не по целевому назначению, по предписаниям контрольных органов Ханты-Мансийского автономного округа – Югры, Конт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рольно-счетной палаты города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pacing w:val="-4"/>
          <w:sz w:val="24"/>
          <w:szCs w:val="24"/>
        </w:rPr>
        <w:t xml:space="preserve">   6)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изменение бюджетной классификации расходов бюджета городского округа без изменения целевого направления средств;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7) уточнение разделов, подразделов, целевых статей и видов расходов главного распорядителя средс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тв бюджета городского округа в случаях, необходимых для изменения бюджетной классификации расходов, в пределах общего объема бюджетных ассигнований, предусмотренных главному распорядителю средств бюджета городского округа, в текущем финансовом году и в пла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новом периоде;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8) распределение бюджетных ассигнований, зарезервированных в составе утвержденных пунктом 16 настоящего решения по муниципальным программам и непрограммным направлениям деятельности бюджета городского округа;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9) перераспределение бюдже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тных ассигнований между структурными элементами (мероприятиями) муниципальных программ, а также между их ответственными исполнителями;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10) инициативные платежи, зачисляемые в бюджет городского округа, фактически полученные при исполнении бюджета сверх ут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вержденных решением о бюджете доходов, направляются на увеличение расходов бюджета, соответствующих целям предоставления указанных средств.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instrText xml:space="preserve"> COMMENTS "1) "$#/$\%^ТипКласса:ПолеНомер;Идентификатор:НомерЭлемента;ПозицияНомера:1;СтильНомера:Арабская;Разделит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instrText xml:space="preserve">ельНомера:) ;$#\$/%^\* MERGEFORMAT \* MERGEFORMAT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Администрация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вправе заключать соглашения о реструктуризации долговых обязательств (задолженности) юридических лиц перед бюджетом городского округа в соответствии с федеральным законодате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льством Российской Федерации, законодательством Ханты-Мансийского автономного округа – Югры и муниципальными правовыми актами городского округа.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Разрешить администрации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осуществлять списание признанной безнадежной к взысканию задолженно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сти перед бюджетом городского округа: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1) по средствам, выданным на возвратной основе, процентам за пользование ими, пеням и штрафам;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2) по иным обязательствам юридического лица, индивидуального предпринимателя без образования юридического лица и физическог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 лица;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3) по неналоговым платежам в части, подлежащей зачислению в бюджет городского округа.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Списание задолженности осуществляется в соответствии с порядком, установленным муниципальным правовым актом администрации города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Calibri" w:cs="Times New Roman"/>
          <w:color w:val="00b0f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  <w:r>
        <w:rPr>
          <w:rFonts w:ascii="Times New Roman" w:hAnsi="Times New Roman" w:eastAsia="Times New Roman" w:cs="Times New Roman"/>
          <w:sz w:val="16"/>
          <w:szCs w:val="16"/>
          <w:highlight w:val="whit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Установить, что заключение бюджетополучателями договоров, муниципальных контрактов, принятие иных бюджетных обязательств, исполнение которых осуществляется за счет средств бюджета городского округа, производится в пределах утвержденных лимитов бюджетных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обязательств в соответствии с ведомственной структурой расходов,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функциональной и экономической классификацией расходов бюджета городского округа.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Принятие бюджетополучателями бюджетных обязательств, сверх утвержденных решением Думы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«О бюдже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те городского округа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Ханты-Мансийского автономного округа – Югры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 2026 год и плановый период 2027 и 2028 годов» не допускается.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Настоящее решение вступает в силу после его официального опубликования и применяется с 1 января 2026 года.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редседатель Думы города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Глава города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В.С.Заднепровcкая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 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А.В.Петриченко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г.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«___» ___2025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___»___2025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567" w:footer="567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right"/>
    </w:pPr>
    <w:r/>
    <w:r/>
  </w:p>
  <w:p>
    <w:pPr>
      <w:pStyle w:val="876"/>
      <w:jc w:val="right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pPr>
      <w:ind w:left="-108"/>
      <w:jc w:val="center"/>
      <w:spacing w:after="0" w:line="240" w:lineRule="auto"/>
    </w:pPr>
  </w:style>
  <w:style w:type="paragraph" w:styleId="680">
    <w:name w:val="Heading 1"/>
    <w:basedOn w:val="679"/>
    <w:next w:val="679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89"/>
    <w:uiPriority w:val="10"/>
    <w:rPr>
      <w:sz w:val="48"/>
      <w:szCs w:val="48"/>
    </w:rPr>
  </w:style>
  <w:style w:type="character" w:styleId="702" w:customStyle="1">
    <w:name w:val="Subtitle Char"/>
    <w:basedOn w:val="689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Caption Char"/>
    <w:uiPriority w:val="99"/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79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after="0" w:line="240" w:lineRule="auto"/>
    </w:pPr>
  </w:style>
  <w:style w:type="paragraph" w:styleId="719">
    <w:name w:val="Title"/>
    <w:basedOn w:val="679"/>
    <w:next w:val="679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Заголовок Знак"/>
    <w:basedOn w:val="689"/>
    <w:link w:val="719"/>
    <w:uiPriority w:val="10"/>
    <w:rPr>
      <w:sz w:val="48"/>
      <w:szCs w:val="48"/>
    </w:rPr>
  </w:style>
  <w:style w:type="paragraph" w:styleId="721">
    <w:name w:val="Subtitle"/>
    <w:basedOn w:val="679"/>
    <w:next w:val="679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 w:customStyle="1">
    <w:name w:val="Подзаголовок Знак"/>
    <w:basedOn w:val="689"/>
    <w:link w:val="721"/>
    <w:uiPriority w:val="11"/>
    <w:rPr>
      <w:sz w:val="24"/>
      <w:szCs w:val="24"/>
    </w:rPr>
  </w:style>
  <w:style w:type="paragraph" w:styleId="723">
    <w:name w:val="Quote"/>
    <w:basedOn w:val="679"/>
    <w:next w:val="679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79"/>
    <w:next w:val="679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689"/>
    <w:uiPriority w:val="99"/>
  </w:style>
  <w:style w:type="paragraph" w:styleId="728">
    <w:name w:val="Footer"/>
    <w:basedOn w:val="679"/>
    <w:link w:val="73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Footer Char"/>
    <w:basedOn w:val="689"/>
    <w:uiPriority w:val="99"/>
  </w:style>
  <w:style w:type="paragraph" w:styleId="730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728"/>
    <w:uiPriority w:val="99"/>
  </w:style>
  <w:style w:type="table" w:styleId="732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563c1" w:themeColor="hyperlink"/>
      <w:u w:val="single"/>
    </w:rPr>
  </w:style>
  <w:style w:type="paragraph" w:styleId="859">
    <w:name w:val="footnote text"/>
    <w:basedOn w:val="679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689"/>
    <w:uiPriority w:val="99"/>
    <w:unhideWhenUsed/>
    <w:rPr>
      <w:vertAlign w:val="superscript"/>
    </w:rPr>
  </w:style>
  <w:style w:type="paragraph" w:styleId="862">
    <w:name w:val="endnote text"/>
    <w:basedOn w:val="679"/>
    <w:link w:val="863"/>
    <w:uiPriority w:val="99"/>
    <w:semiHidden/>
    <w:unhideWhenUsed/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689"/>
    <w:uiPriority w:val="99"/>
    <w:semiHidden/>
    <w:unhideWhenUsed/>
    <w:rPr>
      <w:vertAlign w:val="superscript"/>
    </w:rPr>
  </w:style>
  <w:style w:type="paragraph" w:styleId="865">
    <w:name w:val="toc 1"/>
    <w:basedOn w:val="679"/>
    <w:next w:val="679"/>
    <w:uiPriority w:val="39"/>
    <w:unhideWhenUsed/>
    <w:pPr>
      <w:ind w:left="0"/>
      <w:spacing w:after="57"/>
    </w:pPr>
  </w:style>
  <w:style w:type="paragraph" w:styleId="866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7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8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9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70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71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72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73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79"/>
    <w:next w:val="679"/>
    <w:uiPriority w:val="99"/>
    <w:unhideWhenUsed/>
  </w:style>
  <w:style w:type="paragraph" w:styleId="876">
    <w:name w:val="Header"/>
    <w:basedOn w:val="679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689"/>
    <w:link w:val="876"/>
    <w:uiPriority w:val="99"/>
  </w:style>
  <w:style w:type="paragraph" w:styleId="878">
    <w:name w:val="Balloon Text"/>
    <w:basedOn w:val="679"/>
    <w:link w:val="87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689"/>
    <w:link w:val="878"/>
    <w:uiPriority w:val="99"/>
    <w:semiHidden/>
    <w:rPr>
      <w:rFonts w:ascii="Segoe UI" w:hAnsi="Segoe UI" w:cs="Segoe UI"/>
      <w:sz w:val="18"/>
      <w:szCs w:val="18"/>
    </w:rPr>
  </w:style>
  <w:style w:type="character" w:styleId="880">
    <w:name w:val="Emphasis"/>
    <w:basedOn w:val="689"/>
    <w:uiPriority w:val="20"/>
    <w:qFormat/>
    <w:rPr>
      <w:i/>
      <w:iCs/>
    </w:rPr>
  </w:style>
  <w:style w:type="paragraph" w:styleId="881">
    <w:name w:val="Normal (Web)"/>
    <w:basedOn w:val="679"/>
    <w:uiPriority w:val="99"/>
    <w:unhideWhenUsed/>
    <w:pPr>
      <w:ind w:left="0"/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926&amp;n=304800&amp;dst=100221&amp;field=134&amp;date=27.08.2024" TargetMode="External"/><Relationship Id="rId13" Type="http://schemas.openxmlformats.org/officeDocument/2006/relationships/hyperlink" Target="https://login.consultant.ru/link/?req=doc&amp;base=RLAW926&amp;n=304800&amp;dst=100222&amp;field=134&amp;date=27.08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2FE95-1E33-48EF-97E4-71E47464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Хвостенко Александра Вячеславовна</dc:creator>
  <cp:keywords/>
  <dc:description/>
  <cp:revision>447</cp:revision>
  <dcterms:created xsi:type="dcterms:W3CDTF">2018-12-11T12:04:00Z</dcterms:created>
  <dcterms:modified xsi:type="dcterms:W3CDTF">2025-12-11T12:12:26Z</dcterms:modified>
</cp:coreProperties>
</file>