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29" w:rsidRDefault="00DF7329" w:rsidP="00DF7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3910">
        <w:rPr>
          <w:rFonts w:ascii="Times New Roman" w:hAnsi="Times New Roman" w:cs="Times New Roman"/>
          <w:b/>
          <w:sz w:val="24"/>
          <w:szCs w:val="24"/>
        </w:rPr>
        <w:t xml:space="preserve">Прогноз социально-экономического развития </w:t>
      </w:r>
    </w:p>
    <w:p w:rsidR="00DF7329" w:rsidRDefault="00DF7329" w:rsidP="00DF7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10">
        <w:rPr>
          <w:rFonts w:ascii="Times New Roman" w:hAnsi="Times New Roman" w:cs="Times New Roman"/>
          <w:b/>
          <w:sz w:val="24"/>
          <w:szCs w:val="24"/>
        </w:rPr>
        <w:t xml:space="preserve">городского округа город Мегион </w:t>
      </w:r>
    </w:p>
    <w:p w:rsidR="00DF7329" w:rsidRPr="00503910" w:rsidRDefault="00DF7329" w:rsidP="00DF7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10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391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до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0391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F7329" w:rsidRPr="00503910" w:rsidRDefault="00DF7329" w:rsidP="00DF7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29" w:rsidRPr="00503910" w:rsidRDefault="00DF7329" w:rsidP="00DF7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329" w:rsidRPr="005A5FFA" w:rsidRDefault="00DF7329" w:rsidP="00DF732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A5FFA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представляет собой комплекс вероятностных оценок возможных путей развития и должен охватывать важнейшие сферы экономики территории и жизнедеятельности ее населения, включая экономическую базу; социально-демографическую ситуацию; уровень жизни, занятость и социальную защиту населения; социальную инфраструктуру; инвестиционный комплекс и финансово-бюджетное обеспечение.</w:t>
      </w:r>
    </w:p>
    <w:p w:rsidR="00DF7329" w:rsidRPr="0079523B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23B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городского округа город Мегион на 2015 год и параметры прогноза на плановый период до 2017 года сформирован в соответствии с постановлением Правительства Российской Федерации от 22.07.2009 №596     «О порядке разработки прогноза социально-экономического развития Российской Федерации», 30.04.2014 №154 «</w:t>
      </w:r>
      <w:r>
        <w:rPr>
          <w:rFonts w:ascii="Times New Roman" w:hAnsi="Times New Roman" w:cs="Times New Roman"/>
          <w:sz w:val="24"/>
          <w:szCs w:val="24"/>
        </w:rPr>
        <w:t>О П</w:t>
      </w:r>
      <w:r w:rsidRPr="0079523B">
        <w:rPr>
          <w:rFonts w:ascii="Times New Roman" w:hAnsi="Times New Roman" w:cs="Times New Roman"/>
          <w:sz w:val="24"/>
          <w:szCs w:val="24"/>
        </w:rPr>
        <w:t xml:space="preserve">орядке составления проекта закона о бюджете Ханты-Мансийского автономного округа – Югры и проекта закона о бюджете территориального фонда обязательного медицинского страхования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9523B">
        <w:rPr>
          <w:rFonts w:ascii="Times New Roman" w:hAnsi="Times New Roman" w:cs="Times New Roman"/>
          <w:sz w:val="24"/>
          <w:szCs w:val="24"/>
        </w:rPr>
        <w:t>Югры на очередной финансовый год и плановый период», постановлением Правительства Ханты-Мансийского автономного округа – Югры от 20.12.2007 №327-п «О порядке разработки прогноза социально-экономического развития Ханты-Мансийского автономного округа – Югры» с учетом сценарных условий функционирования экономики Российской Федерации и основных параметров прогноза социально-экономического развития Российской Федерации до 2017 года, а также на основе анализа показателей социально-экономического развития территории за предшествующий период и текущий год с использованием прогнозных индексов-дефляторов по отраслям экономики, представленных Минэкономразвития РФ, прогнозных материалов предприятий, учреждений и организаций, находящихся на территории города, подразделений администрации города.</w:t>
      </w:r>
    </w:p>
    <w:p w:rsidR="00DF7329" w:rsidRPr="0079523B" w:rsidRDefault="00DF7329" w:rsidP="00DF732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523B">
        <w:rPr>
          <w:rFonts w:ascii="Times New Roman" w:hAnsi="Times New Roman" w:cs="Times New Roman"/>
          <w:sz w:val="24"/>
          <w:szCs w:val="24"/>
        </w:rPr>
        <w:t>Показатели прогноза разработаны в двух вариантах: первый вариант – с учетом относительно менее благоприятного сочетания развития территории, второй вариант предусматривает возможности более высоких темпов роста в экономике за счет использования благоприятных факторов.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Default="00DF7329" w:rsidP="00DF732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Экономическая ситуация в городском округе город Мегион характеризуется отдельными положительными тенденциями в динамике основных социально-экономических показателей.</w:t>
      </w:r>
      <w:r>
        <w:rPr>
          <w:rFonts w:ascii="Times New Roman" w:hAnsi="Times New Roman" w:cs="Times New Roman"/>
          <w:sz w:val="24"/>
          <w:szCs w:val="24"/>
        </w:rPr>
        <w:t xml:space="preserve"> В 2013 году выросла инвестиционная активность, увеличились объемы строительства жилья. В городе сохраняется ста</w:t>
      </w:r>
      <w:r w:rsidR="00C55513">
        <w:rPr>
          <w:rFonts w:ascii="Times New Roman" w:hAnsi="Times New Roman" w:cs="Times New Roman"/>
          <w:sz w:val="24"/>
          <w:szCs w:val="24"/>
        </w:rPr>
        <w:t xml:space="preserve">бильная ситуация на рынке труда 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513">
        <w:rPr>
          <w:rFonts w:ascii="Times New Roman" w:hAnsi="Times New Roman" w:cs="Times New Roman"/>
          <w:sz w:val="24"/>
          <w:szCs w:val="24"/>
        </w:rPr>
        <w:t>на протяжении  последних лет снижается у</w:t>
      </w:r>
      <w:r>
        <w:rPr>
          <w:rFonts w:ascii="Times New Roman" w:hAnsi="Times New Roman" w:cs="Times New Roman"/>
          <w:sz w:val="24"/>
          <w:szCs w:val="24"/>
        </w:rPr>
        <w:t>ровень безработицы. Отмечается рост потребительской активности населения, что свидетельствует об улучшении уровня жизни горожан. Кроме того, благоприятное воздействие на социальные показатели оказало повышение реальной заработной платы и денежных доходов населения.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приоритетами социально-экономического развития городского</w:t>
      </w:r>
      <w:r w:rsidR="00C55513">
        <w:rPr>
          <w:rFonts w:ascii="Times New Roman" w:hAnsi="Times New Roman" w:cs="Times New Roman"/>
          <w:sz w:val="24"/>
          <w:szCs w:val="24"/>
        </w:rPr>
        <w:t xml:space="preserve"> округа город Мегион в 2015-201</w:t>
      </w:r>
      <w:r>
        <w:rPr>
          <w:rFonts w:ascii="Times New Roman" w:hAnsi="Times New Roman" w:cs="Times New Roman"/>
          <w:sz w:val="24"/>
          <w:szCs w:val="24"/>
        </w:rPr>
        <w:t>7 годы будут являться: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и развитие промышленного потенциала;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-улучшение инвестиционного климата и увеличение объёмов жилищного строительства;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-улучшение жилищных условий населения;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и модернизация системы жилищно-коммунального хозяйства, внедрение энергосберегающих технологий;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качества услуг в отраслях социальной сферы путём развития инновационных технологий, использования механизмов государственно-частного партнёрства;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-улучшение и обновление качества образования, применение инновационных технологий в сфере образования;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доступности дошкольного образования путём реконструкции существующих и строительства новых детских дошкольных учреждений, создания групп кратковременного пребывания детей;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охраны труда  и улучшение условий труда;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материального уровня жизни населения;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доступности среды жизнедеятельности для лиц с ограниченными возможностями;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513" w:rsidRPr="00C55513">
        <w:rPr>
          <w:rFonts w:ascii="Times New Roman" w:hAnsi="Times New Roman" w:cs="Times New Roman"/>
          <w:sz w:val="24"/>
          <w:szCs w:val="24"/>
        </w:rPr>
        <w:t xml:space="preserve"> </w:t>
      </w:r>
      <w:r w:rsidR="00C55513">
        <w:rPr>
          <w:rFonts w:ascii="Times New Roman" w:hAnsi="Times New Roman" w:cs="Times New Roman"/>
          <w:sz w:val="24"/>
          <w:szCs w:val="24"/>
        </w:rPr>
        <w:t xml:space="preserve">содействие </w:t>
      </w:r>
      <w:r>
        <w:rPr>
          <w:rFonts w:ascii="Times New Roman" w:hAnsi="Times New Roman" w:cs="Times New Roman"/>
          <w:sz w:val="24"/>
          <w:szCs w:val="24"/>
        </w:rPr>
        <w:t>сохранение ст</w:t>
      </w:r>
      <w:r w:rsidR="00C55513">
        <w:rPr>
          <w:rFonts w:ascii="Times New Roman" w:hAnsi="Times New Roman" w:cs="Times New Roman"/>
          <w:sz w:val="24"/>
          <w:szCs w:val="24"/>
        </w:rPr>
        <w:t>абильной ситуации на рынке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 качества и эффективности оказания муниципальных услуг, в том числе в электронном виде;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-усовершенствование механизмов управления муниципальной собственностью и земельными ресурсами;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поддержки развитию малого и среднего бизнеса.</w:t>
      </w:r>
    </w:p>
    <w:p w:rsidR="00DF7329" w:rsidRDefault="00DF7329" w:rsidP="00DF732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сложившихся показателей прогнозируются следующие тенденции социально-экономического развития города: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513" w:rsidRPr="0079523B" w:rsidRDefault="00C55513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CE39FC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FC">
        <w:rPr>
          <w:rFonts w:ascii="Times New Roman" w:hAnsi="Times New Roman" w:cs="Times New Roman"/>
          <w:b/>
          <w:sz w:val="24"/>
          <w:szCs w:val="24"/>
        </w:rPr>
        <w:t>Демографическая ситуация</w:t>
      </w:r>
    </w:p>
    <w:p w:rsidR="00DF7329" w:rsidRPr="00834B3D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F7329" w:rsidRDefault="00DF7329" w:rsidP="00DF73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Демографическая ситуация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город Мегион за </w:t>
      </w:r>
      <w:r w:rsidRPr="00834B3D">
        <w:rPr>
          <w:rFonts w:ascii="Times New Roman" w:hAnsi="Times New Roman" w:cs="Times New Roman"/>
          <w:color w:val="000000" w:themeColor="text1"/>
          <w:sz w:val="24"/>
          <w:szCs w:val="24"/>
        </w:rPr>
        <w:t>2013 год приобрела позитивный оттенок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прироста численности постоянных жителей благодаря снижению числа смертей и улучшению итогов миграционного движения населения.</w:t>
      </w:r>
    </w:p>
    <w:p w:rsidR="00DF7329" w:rsidRDefault="00DF7329" w:rsidP="00DF73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Сальдо итогов миграционного и естественного движений населения дали прирост численности постоянного населения на 451 человек или же на 0,8%. При этом, за счёт сальдо рождений – смертей численность увеличилась на 566 человек, за счёт миграционного движения снизилась на 115 человек.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7329" w:rsidRPr="003E1B2E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E1B2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Естественное движение населения</w:t>
      </w:r>
    </w:p>
    <w:p w:rsidR="00DF7329" w:rsidRPr="005939F6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влияние на фор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мирование численности населения, при сохранении с 2008 года отрицательного миграционного сальдо, </w:t>
      </w:r>
      <w:r w:rsidRPr="0086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 достаточно высокое число рождений, достигаемое благодаря </w:t>
      </w:r>
      <w:r w:rsidRPr="002801D0">
        <w:rPr>
          <w:rFonts w:ascii="Times New Roman" w:hAnsi="Times New Roman" w:cs="Times New Roman"/>
          <w:sz w:val="24"/>
          <w:szCs w:val="24"/>
        </w:rPr>
        <w:t>сравнительно молодому возрасту жителей. По итогам статистических наблюдений средний возраст мужчин составляет  32,7 года, женщин 34,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01D0">
        <w:rPr>
          <w:rFonts w:ascii="Times New Roman" w:hAnsi="Times New Roman" w:cs="Times New Roman"/>
          <w:sz w:val="24"/>
          <w:szCs w:val="24"/>
        </w:rPr>
        <w:t xml:space="preserve"> года и достаточно высока доля </w:t>
      </w:r>
      <w:r w:rsidRPr="005939F6">
        <w:rPr>
          <w:rFonts w:ascii="Times New Roman" w:hAnsi="Times New Roman" w:cs="Times New Roman"/>
          <w:sz w:val="24"/>
          <w:szCs w:val="24"/>
        </w:rPr>
        <w:t xml:space="preserve">женщин репродуктивного возраста, которая в общей численности населения составляет около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939F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в возрасте 15-49 лет и около 13% в наиболее оптимальном репродуктивном возрасте 20-35 лет</w:t>
      </w:r>
      <w:r w:rsidRPr="005939F6">
        <w:rPr>
          <w:rFonts w:ascii="Times New Roman" w:hAnsi="Times New Roman" w:cs="Times New Roman"/>
          <w:sz w:val="24"/>
          <w:szCs w:val="24"/>
        </w:rPr>
        <w:t>.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2013 год число рождений выше числа смертей в 2,4 раза, за 2013 год в 2,7 раза соответственно.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Сальдированный результат естественных процессов выше, чем в 2012 году на 2,9%, несмотря на снижение числа рождений на 3,5%. Прирост обеспечен сокращением числа смертей на 12,7%.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естественной убыли населения за 2013 год являются болезни системы кровообращения, которые за 2013 год снизились на 14,5%. 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смертности произошло и по двум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масштабным </w:t>
      </w: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причинам: от  онкологических заболеваний на 22,8% и </w:t>
      </w:r>
      <w:r w:rsidRPr="00A43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гибели от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есчастных случаев, отравлений, </w:t>
      </w: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</w:t>
      </w:r>
      <w:r w:rsidRPr="00A4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внешних причин </w:t>
      </w:r>
      <w:r w:rsidRPr="007E2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25</w:t>
      </w:r>
      <w:r w:rsidRPr="00A43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мужского населения значительно выше 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ской. Из общего числа смертей за 2013 год 61,6%  приходится на мужское население, причём более 62,0% из них на мужчин трудоспособного возраста. Женская смертность составляет 38,4% и 32,6% соответственно.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диспропорция приводит к ухудшению показателей соотношения численности полов с перевесом численности женщин.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структура населения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>-2013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изменилась в следующих параметрах</w:t>
      </w: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0,7 процентных пунктов</w:t>
      </w: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 численность населения моложе трудоспособного возраста (дети 0-15 лет);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0,8 процентных пунктов</w:t>
      </w: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выросла численность населения старше трудоспособного возраста (женщины старше 55 лет, мужчины старше 60 лет);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 процентных пункта</w:t>
      </w: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снизилась численность трудоспособного населения (женщины 16-55 лет, мужчины 16-60 лет).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учитывая факт сокращения численности трудоспособного населения и роста численности населения пенсионного возраста, качественная и количественная  характеристика  населения городского округа от общероссийского выгодно отличается тем, что: 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33,9% выше доля детского населения;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9,7% выше доля населения в трудоспособном возрасте;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49,8% ниже доля жителей пенсионного возраста.</w:t>
      </w:r>
    </w:p>
    <w:p w:rsidR="00DF7329" w:rsidRPr="00BA69B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A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соотношения численности полов: по данным органов статистики на 01.01.2013 на 1000 мужчин страны приходится 1163 женщины, тогда как показатель городского округа 1072 женщины.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рождаемости и смертности за отчётный период изменились в следующих рамках: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 2012 год коэффициент рождаемости составляет 16,81 промилле, коэффициент смертности 6,92 промилле;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 2013 год 16,18 и 6,03 соответственно.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естественного прироста соответственно составляет 9,89 и 10,15 промилле.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3E1B2E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B2E">
        <w:rPr>
          <w:rFonts w:ascii="Times New Roman" w:hAnsi="Times New Roman" w:cs="Times New Roman"/>
          <w:i/>
          <w:sz w:val="24"/>
          <w:szCs w:val="24"/>
        </w:rPr>
        <w:t>Миграционное движение населения</w:t>
      </w:r>
    </w:p>
    <w:p w:rsidR="00DF7329" w:rsidRPr="008E147E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47E">
        <w:rPr>
          <w:rFonts w:ascii="Times New Roman" w:hAnsi="Times New Roman" w:cs="Times New Roman"/>
          <w:sz w:val="24"/>
          <w:szCs w:val="24"/>
        </w:rPr>
        <w:t xml:space="preserve">Если процесс естественного движения населения имеет </w:t>
      </w:r>
      <w:r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Pr="008E147E">
        <w:rPr>
          <w:rFonts w:ascii="Times New Roman" w:hAnsi="Times New Roman" w:cs="Times New Roman"/>
          <w:sz w:val="24"/>
          <w:szCs w:val="24"/>
        </w:rPr>
        <w:t xml:space="preserve">стабильное развитие, то миграционные потоки не обладают устойчивой динамикой по годам. </w:t>
      </w:r>
    </w:p>
    <w:p w:rsidR="00DF7329" w:rsidRPr="008E147E" w:rsidRDefault="00DF7329" w:rsidP="00DF73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47E">
        <w:rPr>
          <w:rFonts w:ascii="Times New Roman" w:hAnsi="Times New Roman" w:cs="Times New Roman"/>
          <w:sz w:val="24"/>
          <w:szCs w:val="24"/>
        </w:rPr>
        <w:t>В 2013 году наблюдается увеличение числа участников миграционного процесса с преобладанием числа выезжающих, и, если в миграционных процессах в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147E">
        <w:rPr>
          <w:rFonts w:ascii="Times New Roman" w:hAnsi="Times New Roman" w:cs="Times New Roman"/>
          <w:sz w:val="24"/>
          <w:szCs w:val="24"/>
        </w:rPr>
        <w:t xml:space="preserve"> году участвовало </w:t>
      </w:r>
      <w:r>
        <w:rPr>
          <w:rFonts w:ascii="Times New Roman" w:hAnsi="Times New Roman" w:cs="Times New Roman"/>
          <w:sz w:val="24"/>
          <w:szCs w:val="24"/>
        </w:rPr>
        <w:t>4586</w:t>
      </w:r>
      <w:r w:rsidRPr="008E147E">
        <w:rPr>
          <w:rFonts w:ascii="Times New Roman" w:hAnsi="Times New Roman" w:cs="Times New Roman"/>
          <w:sz w:val="24"/>
          <w:szCs w:val="24"/>
        </w:rPr>
        <w:t xml:space="preserve"> человек, то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147E">
        <w:rPr>
          <w:rFonts w:ascii="Times New Roman" w:hAnsi="Times New Roman" w:cs="Times New Roman"/>
          <w:sz w:val="24"/>
          <w:szCs w:val="24"/>
        </w:rPr>
        <w:t>013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147E">
        <w:rPr>
          <w:rFonts w:ascii="Times New Roman" w:hAnsi="Times New Roman" w:cs="Times New Roman"/>
          <w:sz w:val="24"/>
          <w:szCs w:val="24"/>
        </w:rPr>
        <w:t xml:space="preserve"> 5525 человек</w:t>
      </w:r>
      <w:r>
        <w:rPr>
          <w:rFonts w:ascii="Times New Roman" w:hAnsi="Times New Roman" w:cs="Times New Roman"/>
          <w:sz w:val="24"/>
          <w:szCs w:val="24"/>
        </w:rPr>
        <w:t>, что выше на 20,5%</w:t>
      </w:r>
      <w:r w:rsidRPr="008E147E">
        <w:rPr>
          <w:rFonts w:ascii="Times New Roman" w:hAnsi="Times New Roman" w:cs="Times New Roman"/>
          <w:sz w:val="24"/>
          <w:szCs w:val="24"/>
        </w:rPr>
        <w:t>.</w:t>
      </w:r>
    </w:p>
    <w:p w:rsidR="00DF7329" w:rsidRPr="008E147E" w:rsidRDefault="00DF7329" w:rsidP="00DF73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численности населения за счёт миграционных потоков по итогам 2013 года составляет  -115 человек, что в 6,5 раз лучше показателя 2012 года в  -746 человек.</w:t>
      </w:r>
    </w:p>
    <w:p w:rsidR="00DF7329" w:rsidRPr="00DD7588" w:rsidRDefault="00DF7329" w:rsidP="00DF73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588">
        <w:rPr>
          <w:rFonts w:ascii="Times New Roman" w:hAnsi="Times New Roman" w:cs="Times New Roman"/>
          <w:sz w:val="24"/>
          <w:szCs w:val="24"/>
        </w:rPr>
        <w:t xml:space="preserve">Коэффициент миграционного сальдо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за 2012 год   </w:t>
      </w:r>
      <w:r w:rsidRPr="00DD7588">
        <w:rPr>
          <w:rFonts w:ascii="Times New Roman" w:hAnsi="Times New Roman" w:cs="Times New Roman"/>
          <w:sz w:val="24"/>
          <w:szCs w:val="24"/>
        </w:rPr>
        <w:t>-13,4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D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промилле, за 2013 год   -2,06 промилле</w:t>
      </w:r>
      <w:r w:rsidRPr="00DD75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329" w:rsidRPr="00AA348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F7329" w:rsidRPr="003E1B2E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1B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Бракоразводный процесс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процесс 2013 года, в сравнении с 2012 годом, характеризуется следующими показателями:</w:t>
      </w:r>
    </w:p>
    <w:p w:rsidR="00DF7329" w:rsidRPr="00080377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4,0% сократилось количество зарегистрированных браков;</w:t>
      </w:r>
    </w:p>
    <w:p w:rsidR="00DF7329" w:rsidRPr="00080377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18,3% снизилось количество оформленных разводов;</w:t>
      </w:r>
    </w:p>
    <w:p w:rsidR="00DF7329" w:rsidRPr="00080377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15,7% снизилось число разводов на 100 заключённых браков;</w:t>
      </w:r>
    </w:p>
    <w:p w:rsidR="00DF7329" w:rsidRPr="00080377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4,0% снизилось число заключённых браков на 1000 жителей;</w:t>
      </w:r>
    </w:p>
    <w:p w:rsidR="00DF7329" w:rsidRPr="00080377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18,5% снизилось число разводов на 1000 жителей. </w:t>
      </w:r>
    </w:p>
    <w:p w:rsidR="00DF7329" w:rsidRPr="00080377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0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</w:t>
      </w:r>
      <w:r w:rsidRPr="00080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ижение числа разводов являет собой позитивный результат, то снижение числа заключённых браков, при отсутствии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резких </w:t>
      </w:r>
      <w:r w:rsidRPr="000803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изменений в половозрастной структуре населения, свидетельствует об изменении взгляда к официально оформленным отношениям.</w:t>
      </w:r>
      <w:r w:rsidRPr="00080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29" w:rsidRPr="005C01BE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F65">
        <w:rPr>
          <w:rFonts w:ascii="Times New Roman" w:hAnsi="Times New Roman" w:cs="Times New Roman"/>
          <w:sz w:val="24"/>
          <w:szCs w:val="24"/>
        </w:rPr>
        <w:t xml:space="preserve">Прогнозная численность населения рассчитана с учётом сегодняшних тенденций демографического развития территории 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прогнозный период кардинально не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фоне сохранения 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рождаемости и относительно низк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составят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329" w:rsidRPr="005C01BE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базовому варианту за 2015-2017 годы 906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911 рождений в год и 348 - 344 случаев смерти;</w:t>
      </w:r>
    </w:p>
    <w:p w:rsidR="00DF7329" w:rsidRPr="005C01BE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умеренно-оптимистичному варианту 909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>920 рождений и 344 - 339 смертей соответственно.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естественного прироста населения за  2015-2017 годы по первому варианту составит 9,81 - 9,57 промилле, по второму варианту 9,83 - 9,70 промилле. 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прогнозный период численность населения будет увеличиваться за счёт улучшения миграционного сальдо, так как численность женщин репродуктивного возраста ежегодно будет только снижаться в связи с вступлением в данный возраст малочисленного поколения 90-х и, как следствие, число рождений сильно не вырастет. Соответственно по второму варианту коэффициент сложится ниже, чем по базовому варианту.</w:t>
      </w:r>
    </w:p>
    <w:p w:rsidR="00DF7329" w:rsidRPr="00C52F65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 xml:space="preserve">Сравнивая показатели рождаемости  и смертности </w:t>
      </w:r>
      <w:r>
        <w:rPr>
          <w:rFonts w:ascii="Times New Roman" w:hAnsi="Times New Roman" w:cs="Times New Roman"/>
          <w:sz w:val="24"/>
          <w:szCs w:val="24"/>
        </w:rPr>
        <w:t>с начала</w:t>
      </w:r>
      <w:r w:rsidRPr="00C52F6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2F65">
        <w:rPr>
          <w:rFonts w:ascii="Times New Roman" w:hAnsi="Times New Roman" w:cs="Times New Roman"/>
          <w:sz w:val="24"/>
          <w:szCs w:val="24"/>
        </w:rPr>
        <w:t xml:space="preserve"> года с тем же периодом 201</w:t>
      </w:r>
      <w:r>
        <w:rPr>
          <w:rFonts w:ascii="Times New Roman" w:hAnsi="Times New Roman" w:cs="Times New Roman"/>
          <w:sz w:val="24"/>
          <w:szCs w:val="24"/>
        </w:rPr>
        <w:t xml:space="preserve">3 года можно </w:t>
      </w:r>
      <w:r w:rsidRPr="00C52F65">
        <w:rPr>
          <w:rFonts w:ascii="Times New Roman" w:hAnsi="Times New Roman" w:cs="Times New Roman"/>
          <w:sz w:val="24"/>
          <w:szCs w:val="24"/>
        </w:rPr>
        <w:t xml:space="preserve">предположить, что число рождений </w:t>
      </w:r>
      <w:r>
        <w:rPr>
          <w:rFonts w:ascii="Times New Roman" w:hAnsi="Times New Roman" w:cs="Times New Roman"/>
          <w:sz w:val="24"/>
          <w:szCs w:val="24"/>
        </w:rPr>
        <w:t xml:space="preserve">в оценочном году </w:t>
      </w:r>
      <w:r w:rsidRPr="00C52F65">
        <w:rPr>
          <w:rFonts w:ascii="Times New Roman" w:hAnsi="Times New Roman" w:cs="Times New Roman"/>
          <w:sz w:val="24"/>
          <w:szCs w:val="24"/>
        </w:rPr>
        <w:t xml:space="preserve">увеличится незначительно, на </w:t>
      </w:r>
      <w:r>
        <w:rPr>
          <w:rFonts w:ascii="Times New Roman" w:hAnsi="Times New Roman" w:cs="Times New Roman"/>
          <w:sz w:val="24"/>
          <w:szCs w:val="24"/>
        </w:rPr>
        <w:t>0,3</w:t>
      </w:r>
      <w:r w:rsidRPr="00C52F65">
        <w:rPr>
          <w:rFonts w:ascii="Times New Roman" w:hAnsi="Times New Roman" w:cs="Times New Roman"/>
          <w:sz w:val="24"/>
          <w:szCs w:val="24"/>
        </w:rPr>
        <w:t>% и число смертей на 1</w:t>
      </w:r>
      <w:r>
        <w:rPr>
          <w:rFonts w:ascii="Times New Roman" w:hAnsi="Times New Roman" w:cs="Times New Roman"/>
          <w:sz w:val="24"/>
          <w:szCs w:val="24"/>
        </w:rPr>
        <w:t>,8</w:t>
      </w:r>
      <w:r w:rsidRPr="00C52F6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F7329" w:rsidRPr="00C52F65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 xml:space="preserve">С учётом </w:t>
      </w:r>
      <w:r>
        <w:rPr>
          <w:rFonts w:ascii="Times New Roman" w:hAnsi="Times New Roman" w:cs="Times New Roman"/>
          <w:sz w:val="24"/>
          <w:szCs w:val="24"/>
        </w:rPr>
        <w:t>изменений</w:t>
      </w:r>
      <w:r w:rsidRPr="00C52F65">
        <w:rPr>
          <w:rFonts w:ascii="Times New Roman" w:hAnsi="Times New Roman" w:cs="Times New Roman"/>
          <w:sz w:val="24"/>
          <w:szCs w:val="24"/>
        </w:rPr>
        <w:t xml:space="preserve"> данных показателей ожидается:</w:t>
      </w:r>
    </w:p>
    <w:p w:rsidR="00DF7329" w:rsidRPr="00C52F65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снижение на 0,5</w:t>
      </w:r>
      <w:r w:rsidRPr="00C52F65">
        <w:rPr>
          <w:rFonts w:ascii="Times New Roman" w:hAnsi="Times New Roman" w:cs="Times New Roman"/>
          <w:sz w:val="24"/>
          <w:szCs w:val="24"/>
        </w:rPr>
        <w:t>% итогов естественного движения населения;</w:t>
      </w:r>
    </w:p>
    <w:p w:rsidR="00DF7329" w:rsidRPr="00C52F65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C52F65">
        <w:rPr>
          <w:rFonts w:ascii="Times New Roman" w:hAnsi="Times New Roman" w:cs="Times New Roman"/>
          <w:sz w:val="24"/>
          <w:szCs w:val="24"/>
        </w:rPr>
        <w:t>на 0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C52F65">
        <w:rPr>
          <w:rFonts w:ascii="Times New Roman" w:hAnsi="Times New Roman" w:cs="Times New Roman"/>
          <w:sz w:val="24"/>
          <w:szCs w:val="24"/>
        </w:rPr>
        <w:t xml:space="preserve"> процентны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52F65">
        <w:rPr>
          <w:rFonts w:ascii="Times New Roman" w:hAnsi="Times New Roman" w:cs="Times New Roman"/>
          <w:sz w:val="24"/>
          <w:szCs w:val="24"/>
        </w:rPr>
        <w:t xml:space="preserve"> пункт коэффициента рождаемости;</w:t>
      </w:r>
    </w:p>
    <w:p w:rsidR="00DF7329" w:rsidRPr="00C52F65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C52F65">
        <w:rPr>
          <w:rFonts w:ascii="Times New Roman" w:hAnsi="Times New Roman" w:cs="Times New Roman"/>
          <w:sz w:val="24"/>
          <w:szCs w:val="24"/>
        </w:rPr>
        <w:t>на 0,0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2F65">
        <w:rPr>
          <w:rFonts w:ascii="Times New Roman" w:hAnsi="Times New Roman" w:cs="Times New Roman"/>
          <w:sz w:val="24"/>
          <w:szCs w:val="24"/>
        </w:rPr>
        <w:t xml:space="preserve"> процентных пунктов коэффициента смертности.</w:t>
      </w: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ab/>
        <w:t>Миграционное движение населения</w:t>
      </w:r>
      <w:r>
        <w:rPr>
          <w:rFonts w:ascii="Times New Roman" w:hAnsi="Times New Roman" w:cs="Times New Roman"/>
          <w:sz w:val="24"/>
          <w:szCs w:val="24"/>
        </w:rPr>
        <w:t xml:space="preserve"> за январь-апрель 2014 года в сравнении с показателями 2013 года характеризуется увеличением числа участников процесса на 15,3%, сальдо 2013 года ниже в 2,7 раза аналогичного периода 2013 года. Учитывая данную тенденцию итоги миграционного движения за оценочный год будут положительными и сохранятся до конца прогнозного периода</w:t>
      </w:r>
      <w:r w:rsidRPr="00C52F65">
        <w:rPr>
          <w:rFonts w:ascii="Times New Roman" w:hAnsi="Times New Roman" w:cs="Times New Roman"/>
          <w:sz w:val="24"/>
          <w:szCs w:val="24"/>
        </w:rPr>
        <w:t>. При этом ожидается снижение темпов исходящей миграции на фоне увеличения входящей.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варианту сальдо миграции с 2015 по 2017 годы составит 25-57 человек, по второму варианту 31-75 человек. </w:t>
      </w:r>
    </w:p>
    <w:p w:rsidR="00DF7329" w:rsidRPr="00C52F65" w:rsidRDefault="00DF7329" w:rsidP="00C5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миграционного прироста по базовому варианту составит 0,44 – 0,96 промилле, по умеренно-оптимистичному варианту 0,54-1,25 промилле.</w:t>
      </w:r>
    </w:p>
    <w:p w:rsidR="00DF7329" w:rsidRPr="00C52F65" w:rsidRDefault="00DF7329" w:rsidP="00C5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52F65">
        <w:rPr>
          <w:rFonts w:ascii="Times New Roman" w:hAnsi="Times New Roman" w:cs="Times New Roman"/>
          <w:sz w:val="24"/>
          <w:szCs w:val="24"/>
        </w:rPr>
        <w:t xml:space="preserve"> оцениваемом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2F65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на фоне улучшения показателей естественного и механического движения с</w:t>
      </w:r>
      <w:r w:rsidRPr="00C52F65">
        <w:rPr>
          <w:rFonts w:ascii="Times New Roman" w:hAnsi="Times New Roman" w:cs="Times New Roman"/>
          <w:sz w:val="24"/>
          <w:szCs w:val="24"/>
        </w:rPr>
        <w:t xml:space="preserve">реднегодовая численность населения прирастёт на </w:t>
      </w:r>
      <w:r>
        <w:rPr>
          <w:rFonts w:ascii="Times New Roman" w:hAnsi="Times New Roman" w:cs="Times New Roman"/>
          <w:sz w:val="24"/>
          <w:szCs w:val="24"/>
        </w:rPr>
        <w:t>0,9</w:t>
      </w:r>
      <w:r w:rsidRPr="00C52F65">
        <w:rPr>
          <w:rFonts w:ascii="Times New Roman" w:hAnsi="Times New Roman" w:cs="Times New Roman"/>
          <w:sz w:val="24"/>
          <w:szCs w:val="24"/>
        </w:rPr>
        <w:t>% и составит 5</w:t>
      </w:r>
      <w:r>
        <w:rPr>
          <w:rFonts w:ascii="Times New Roman" w:hAnsi="Times New Roman" w:cs="Times New Roman"/>
          <w:sz w:val="24"/>
          <w:szCs w:val="24"/>
        </w:rPr>
        <w:t>6274</w:t>
      </w:r>
      <w:r w:rsidRPr="00C52F6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F65">
        <w:rPr>
          <w:rFonts w:ascii="Times New Roman" w:hAnsi="Times New Roman" w:cs="Times New Roman"/>
          <w:sz w:val="24"/>
          <w:szCs w:val="24"/>
        </w:rPr>
        <w:t>.</w:t>
      </w:r>
    </w:p>
    <w:p w:rsidR="00DF7329" w:rsidRPr="00C52F65" w:rsidRDefault="00DF7329" w:rsidP="00C5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>В прогнозируемый период данная тенденция сохранится по обоим вариантам р</w:t>
      </w:r>
      <w:r>
        <w:rPr>
          <w:rFonts w:ascii="Times New Roman" w:hAnsi="Times New Roman" w:cs="Times New Roman"/>
          <w:sz w:val="24"/>
          <w:szCs w:val="24"/>
        </w:rPr>
        <w:t xml:space="preserve">азвития и сложится в пределах </w:t>
      </w:r>
      <w:r w:rsidRPr="00C52F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C52F65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C52F65">
        <w:rPr>
          <w:rFonts w:ascii="Times New Roman" w:hAnsi="Times New Roman" w:cs="Times New Roman"/>
          <w:sz w:val="24"/>
          <w:szCs w:val="24"/>
        </w:rPr>
        <w:t xml:space="preserve">% по </w:t>
      </w:r>
      <w:r>
        <w:rPr>
          <w:rFonts w:ascii="Times New Roman" w:hAnsi="Times New Roman" w:cs="Times New Roman"/>
          <w:sz w:val="24"/>
          <w:szCs w:val="24"/>
        </w:rPr>
        <w:t>базовому</w:t>
      </w:r>
      <w:r w:rsidRPr="00C52F65">
        <w:rPr>
          <w:rFonts w:ascii="Times New Roman" w:hAnsi="Times New Roman" w:cs="Times New Roman"/>
          <w:sz w:val="24"/>
          <w:szCs w:val="24"/>
        </w:rPr>
        <w:t xml:space="preserve"> и в пределах </w:t>
      </w:r>
      <w:r>
        <w:rPr>
          <w:rFonts w:ascii="Times New Roman" w:hAnsi="Times New Roman" w:cs="Times New Roman"/>
          <w:sz w:val="24"/>
          <w:szCs w:val="24"/>
        </w:rPr>
        <w:t>2,1-2,2% по умеренно-</w:t>
      </w:r>
      <w:r w:rsidRPr="00C52F65">
        <w:rPr>
          <w:rFonts w:ascii="Times New Roman" w:hAnsi="Times New Roman" w:cs="Times New Roman"/>
          <w:sz w:val="24"/>
          <w:szCs w:val="24"/>
        </w:rPr>
        <w:t>оптимистичному варианту.</w:t>
      </w:r>
    </w:p>
    <w:p w:rsidR="00DF7329" w:rsidRPr="00C52F65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7329" w:rsidRPr="00C52F65" w:rsidRDefault="00DF7329" w:rsidP="00DF7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 xml:space="preserve">Прогнозные показатели среднегодовой численности населения </w:t>
      </w:r>
    </w:p>
    <w:p w:rsidR="00DF7329" w:rsidRDefault="00DF7329" w:rsidP="00DF7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2F65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2F6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2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 по двум вариантам развития</w:t>
      </w:r>
    </w:p>
    <w:p w:rsidR="00C55513" w:rsidRPr="002A6488" w:rsidRDefault="00C55513" w:rsidP="00DF73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1085"/>
        <w:gridCol w:w="1087"/>
        <w:gridCol w:w="1086"/>
        <w:gridCol w:w="1087"/>
        <w:gridCol w:w="1085"/>
        <w:gridCol w:w="1088"/>
      </w:tblGrid>
      <w:tr w:rsidR="00DF7329" w:rsidRPr="00C52F65" w:rsidTr="00C55513">
        <w:trPr>
          <w:trHeight w:val="327"/>
        </w:trPr>
        <w:tc>
          <w:tcPr>
            <w:tcW w:w="3350" w:type="dxa"/>
            <w:vMerge w:val="restart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72" w:type="dxa"/>
            <w:gridSpan w:val="2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73" w:type="dxa"/>
            <w:gridSpan w:val="2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73" w:type="dxa"/>
            <w:gridSpan w:val="2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F7329" w:rsidRPr="00C52F65" w:rsidTr="00C55513">
        <w:trPr>
          <w:trHeight w:val="418"/>
        </w:trPr>
        <w:tc>
          <w:tcPr>
            <w:tcW w:w="3350" w:type="dxa"/>
            <w:vMerge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I вариант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II вариант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I вариант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II вариант</w:t>
            </w:r>
          </w:p>
        </w:tc>
        <w:tc>
          <w:tcPr>
            <w:tcW w:w="1085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I вариант</w:t>
            </w:r>
          </w:p>
        </w:tc>
        <w:tc>
          <w:tcPr>
            <w:tcW w:w="1087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F65">
              <w:rPr>
                <w:rFonts w:ascii="Times New Roman" w:hAnsi="Times New Roman" w:cs="Times New Roman"/>
                <w:sz w:val="20"/>
                <w:szCs w:val="20"/>
              </w:rPr>
              <w:t>II вариант</w:t>
            </w:r>
          </w:p>
        </w:tc>
      </w:tr>
      <w:tr w:rsidR="00DF7329" w:rsidRPr="00C52F65" w:rsidTr="00283E9A">
        <w:trPr>
          <w:trHeight w:val="353"/>
        </w:trPr>
        <w:tc>
          <w:tcPr>
            <w:tcW w:w="3350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среднегодовая, тыс. человек</w:t>
            </w:r>
          </w:p>
        </w:tc>
        <w:tc>
          <w:tcPr>
            <w:tcW w:w="1085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56,859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57,448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58,045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58,653</w:t>
            </w:r>
          </w:p>
        </w:tc>
        <w:tc>
          <w:tcPr>
            <w:tcW w:w="1085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59,275</w:t>
            </w:r>
          </w:p>
        </w:tc>
        <w:tc>
          <w:tcPr>
            <w:tcW w:w="1087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59,915</w:t>
            </w:r>
          </w:p>
        </w:tc>
      </w:tr>
      <w:tr w:rsidR="00DF7329" w:rsidRPr="00C52F65" w:rsidTr="00283E9A">
        <w:trPr>
          <w:trHeight w:val="376"/>
        </w:trPr>
        <w:tc>
          <w:tcPr>
            <w:tcW w:w="3350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1085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15,82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085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1087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</w:tr>
      <w:tr w:rsidR="00DF7329" w:rsidRPr="00C52F65" w:rsidTr="00283E9A">
        <w:trPr>
          <w:trHeight w:val="353"/>
        </w:trPr>
        <w:tc>
          <w:tcPr>
            <w:tcW w:w="3350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65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</w:t>
            </w:r>
          </w:p>
        </w:tc>
        <w:tc>
          <w:tcPr>
            <w:tcW w:w="1085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086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085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87" w:type="dxa"/>
            <w:vAlign w:val="center"/>
          </w:tcPr>
          <w:p w:rsidR="00DF7329" w:rsidRPr="00C52F65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</w:tr>
    </w:tbl>
    <w:p w:rsidR="00DF7329" w:rsidRPr="00C52F65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7709C5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9C5">
        <w:rPr>
          <w:rFonts w:ascii="Times New Roman" w:hAnsi="Times New Roman" w:cs="Times New Roman"/>
          <w:sz w:val="24"/>
          <w:szCs w:val="24"/>
        </w:rPr>
        <w:t>Сохранение и улучшение достигнутых результатов демографической политики, положительного естественного прироста населения в предстоящий период будет являться приоритетным направлением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0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03">
        <w:rPr>
          <w:rFonts w:ascii="Times New Roman" w:hAnsi="Times New Roman" w:cs="Times New Roman"/>
          <w:b/>
          <w:sz w:val="24"/>
          <w:szCs w:val="24"/>
        </w:rPr>
        <w:lastRenderedPageBreak/>
        <w:t>Промышленность</w:t>
      </w:r>
    </w:p>
    <w:p w:rsidR="00DF7329" w:rsidRPr="008A703F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Нефтегазовая отрасль является ключевым сектором экономики города. Наличие и состояние объектов социальной сферы, средств на их развитие, содержание, занятость населения, уровень доходов и социальная защищенность в решающей мере определяются состоянием базовой отрасли экономики города – нефтегазодобычи. Промышленное производство городского округа город Мегион включает в себя следующие разделы (отрасли):</w:t>
      </w: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/>
          <w:color w:val="000000" w:themeColor="text1"/>
          <w:sz w:val="24"/>
          <w:szCs w:val="24"/>
        </w:rPr>
        <w:t>- добыча полезных ископаемых;</w:t>
      </w: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/>
          <w:color w:val="000000" w:themeColor="text1"/>
          <w:sz w:val="24"/>
          <w:szCs w:val="24"/>
        </w:rPr>
        <w:t>- обрабатывающие отрасли;</w:t>
      </w: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/>
          <w:color w:val="000000" w:themeColor="text1"/>
          <w:sz w:val="24"/>
          <w:szCs w:val="24"/>
        </w:rPr>
        <w:t>- производство и распределение электроэнергии, газа и воды.</w:t>
      </w: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/>
          <w:color w:val="000000" w:themeColor="text1"/>
          <w:sz w:val="24"/>
          <w:szCs w:val="24"/>
        </w:rPr>
        <w:t>Объём отгруженной промышленной продукции по полному кругу предприятий городского округа город Мегион за 2013 год составил 141941,5 млн.рублей, что в сопоставимых ценах составляет 93,0% к уровню 2012 года. По оценке 2014 года объем отгруженной промышленной продукции составит 153329,7 млн.рублей, или 95,6% в сопоставимых ценах к уровню 2013 года.</w:t>
      </w:r>
    </w:p>
    <w:p w:rsidR="00DF7329" w:rsidRPr="008A703F" w:rsidRDefault="00DF7329" w:rsidP="00DF7329">
      <w:pPr>
        <w:pStyle w:val="a8"/>
        <w:ind w:firstLine="720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 xml:space="preserve">В прогнозные годы по первому варианту предусматривается незначительное снижение по годам объемов топливно-энергетических отраслей, по второму варианту сохранится тенденция опережающего роста обрабатывающих производств и предприятий по производству топливно-энергетических ресурсов. </w:t>
      </w: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/>
          <w:color w:val="000000" w:themeColor="text1"/>
          <w:sz w:val="24"/>
          <w:szCs w:val="24"/>
        </w:rPr>
        <w:t>В 2015 году ожидается незначительный спад объема отгруженной продукции товаров собственного производства, выполненных работ и услуг собственными силами по первому варианту на 0,5% в сопоставимых ценах. По второму варианту индекс промышленного производства составит 101,0%.</w:t>
      </w: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/>
          <w:color w:val="000000" w:themeColor="text1"/>
          <w:sz w:val="24"/>
          <w:szCs w:val="24"/>
        </w:rPr>
        <w:t>В 2016-2017 годах прогнозируется незначительное увеличение объема отгруженной промышленной продукции в сопоставимых ценах по первому варианту на 0,1%, по второму варианту объем отгруженных товаров прогнозируется на уровне 101,3-100,4%.</w:t>
      </w: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A703F">
        <w:rPr>
          <w:rFonts w:ascii="Times New Roman" w:hAnsi="Times New Roman"/>
          <w:i/>
          <w:color w:val="000000" w:themeColor="text1"/>
          <w:sz w:val="24"/>
          <w:szCs w:val="24"/>
        </w:rPr>
        <w:t>Добыча полезных ископаемых.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Основную долю промышленного производства составляют предприятия по добыче полезных ископаемых и предприятия по предоставлению услуг по добыче нефти и газа, на долю которых приходится 90,0% от общего объема отгруженных товаров.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Предприятиями  по виду деятельности «Добыча полезных ископаемых» за 2013 год отгружено товаров собственного производства, выполнено работ и услуг собственными силами на сумму 137969,3 млн.рублей, что к аналогичному периоду 2012 года в сопоставимых ценах составляет 93,1%.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По оценке в 2014 году  объем отгруженных товаров собственного производства, выполненных работ и услуг собственными силами  составит в действующих ценах 148996,9 млн.рублей, или в сопоставимых ценах к 2013 году 95,4%.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2015-2017 годы прогнозируются следующие темпы промышленного производства к уровню предыдущего года: по первому варианту 99,5-100,1%, по второму варианту – 101,0-101,4%.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За 2013 год объемы добычи в натуральном выражении и в процентах к аналогичному периоду 2012 года составили: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 нефти, включая газовый конденсат – 9101,6 тыс.тонн или 94,1%;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 газа природного (попутного) – 706,0 млн.куб.м. или 96,4%.</w:t>
      </w:r>
    </w:p>
    <w:p w:rsidR="00DF7329" w:rsidRPr="008A703F" w:rsidRDefault="00DF7329" w:rsidP="00DF732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</w:rPr>
      </w:pPr>
      <w:r w:rsidRPr="008A703F">
        <w:rPr>
          <w:color w:val="000000" w:themeColor="text1"/>
          <w:bdr w:val="none" w:sz="0" w:space="0" w:color="auto" w:frame="1"/>
        </w:rPr>
        <w:t>Открытое акционерное общество «Славнефть-Мегионнефтегаз» - нефтегазодобывающее предприятие с развитой производственной инфраструктурой.</w:t>
      </w:r>
      <w:r w:rsidRPr="008A703F">
        <w:rPr>
          <w:color w:val="000000" w:themeColor="text1"/>
          <w:shd w:val="clear" w:color="auto" w:fill="FFFFFF"/>
        </w:rPr>
        <w:t xml:space="preserve"> К основным видам деятельности «</w:t>
      </w:r>
      <w:r w:rsidRPr="008A703F">
        <w:rPr>
          <w:color w:val="000000" w:themeColor="text1"/>
          <w:bdr w:val="none" w:sz="0" w:space="0" w:color="auto" w:frame="1"/>
        </w:rPr>
        <w:t>Славнефть-Мегионнефтегаз</w:t>
      </w:r>
      <w:r w:rsidRPr="008A703F">
        <w:rPr>
          <w:color w:val="000000" w:themeColor="text1"/>
          <w:shd w:val="clear" w:color="auto" w:fill="FFFFFF"/>
        </w:rPr>
        <w:t xml:space="preserve">» относятся доразведка нефтегазовых месторождений, бурение и эксплуатация скважин, добыча нефти и газа. </w:t>
      </w:r>
    </w:p>
    <w:p w:rsidR="00DF7329" w:rsidRPr="008A703F" w:rsidRDefault="00DF7329" w:rsidP="00DF732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</w:rPr>
      </w:pPr>
      <w:r w:rsidRPr="008A703F">
        <w:rPr>
          <w:color w:val="000000" w:themeColor="text1"/>
        </w:rPr>
        <w:t xml:space="preserve">Акционерное общество осуществляет деятельность на 26 лицензионных участках, из них в разработке находится 24 участка, в том числе на 13 предприятие оказывает услуги по </w:t>
      </w:r>
      <w:r w:rsidRPr="008A703F">
        <w:rPr>
          <w:color w:val="000000" w:themeColor="text1"/>
        </w:rPr>
        <w:lastRenderedPageBreak/>
        <w:t>геологоразведке и промышленной эксплуатации в рамках договоров по оказанию операторских услуг.</w:t>
      </w:r>
    </w:p>
    <w:p w:rsidR="00DF7329" w:rsidRPr="008A703F" w:rsidRDefault="00DF7329" w:rsidP="00DF732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</w:rPr>
      </w:pPr>
      <w:r w:rsidRPr="008A703F">
        <w:rPr>
          <w:color w:val="000000" w:themeColor="text1"/>
        </w:rPr>
        <w:t xml:space="preserve">Существенная часть эксплуатируемых </w:t>
      </w:r>
      <w:r w:rsidRPr="008A703F">
        <w:rPr>
          <w:color w:val="000000" w:themeColor="text1"/>
          <w:bdr w:val="none" w:sz="0" w:space="0" w:color="auto" w:frame="1"/>
        </w:rPr>
        <w:t>открытым акционерным обществом «Славнефть-Мегионнефтегаз»</w:t>
      </w:r>
      <w:r w:rsidRPr="008A703F">
        <w:rPr>
          <w:color w:val="000000" w:themeColor="text1"/>
        </w:rPr>
        <w:t xml:space="preserve"> месторождений находится на заключительной стадии разработки. В связи с этим предприятие ведет активный поиск и внедрение перспективных технологий, позволяющих повысить эффективность выработки трудноизвлекаемых запасов, увеличить нефтеотдачу пластов и обеспечить дополнительную добычу нефти.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2013 году на месторождениях открытого акционерного общества «Славнефть-Мегионнефтегаз» был реализован широкий спектр геолого-технических мероприятий, направленных на повышение нефтеотдачи пластов. Среди наиболее эффективных геолого-технических мероприятий – бурение скважин и зарезка боковых стволов.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Особое внимание в 2013 году специалисты открытого акционерного общества «Славнефть-Мегионнефтегаз» уделили поиску и внедрению в производство современных технологий. Одной из таких находок стало бурение горизонтальных скважин с последующим проведением многостадийного гидроразрыва пласта. Положительный эффект метода уже подтвердил свою перспективность.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Также в 2013 году для обеспечения проектной компенсации отборов жидкости закачкой в открытом акционерном обществе «Славнефть-Мегионнефтегаз» были реализованы программы выравнивания профиля приемистости, циклического заводнения пластов, перевода и ремонта нагнетательных скважин.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введенными изменениями в статистической отчетности по учету производственных показателей предприятий на территориях фактического производства работ, с 2014 года объемы добычи нефти и газа не прогнозируются, так как 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открытое акционерное общество «Славнефть-Мегионнефтегаз» 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осуществляет процесс нефтедобычи на территории Нижневартовского и Сургутского районов Ханты-Мансийского автономного округа – Югры и 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виды работ на территории городского округа не производятся. </w:t>
      </w:r>
    </w:p>
    <w:p w:rsidR="00DF7329" w:rsidRPr="008A703F" w:rsidRDefault="00DF7329" w:rsidP="00DF7329">
      <w:pPr>
        <w:pStyle w:val="aa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pStyle w:val="a8"/>
        <w:ind w:firstLine="720"/>
        <w:rPr>
          <w:i/>
          <w:color w:val="000000" w:themeColor="text1"/>
          <w:sz w:val="24"/>
          <w:szCs w:val="24"/>
        </w:rPr>
      </w:pPr>
      <w:r w:rsidRPr="008A703F">
        <w:rPr>
          <w:i/>
          <w:color w:val="000000" w:themeColor="text1"/>
          <w:sz w:val="24"/>
          <w:szCs w:val="24"/>
        </w:rPr>
        <w:t>Обрабатывающие производства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видами экономической деятельности «Обрабатывающие производства» в городе являются производство пищевых продуктов, производство машин и оборудования, производство электрооборудования, электронного и оптического оборудования. Объём продукции обрабатывающих производств за отчётный период составил 1661,76 млн.рублей, или 97,2% в сопоставимых ценах к уровню 2012 года.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Наибольшая доля всей отгруженной продукции обрабатывающих производств (57,2%) приходится на подраздел «Производство машин и оборудования». Предприятиями города в 2013 году предоставлено услуг по монтажу, ремонту и техническому обслуживанию насосов и компрессоров, промышленного холодильного и вентиляционного и прочего оборудования на сумму 950,0 млн.рублей, что составляет 91,9% в сопоставимых ценах к уровню 2012 года. Общий объем сервисных услуг выполняется в соответствии с производственной необходимостью предприятий нефтегазодобывающего комплекса, являющихся основными потребителями.</w:t>
      </w:r>
    </w:p>
    <w:p w:rsidR="00DF7329" w:rsidRPr="008A703F" w:rsidRDefault="00DF7329" w:rsidP="00DF7329">
      <w:pPr>
        <w:pStyle w:val="a8"/>
        <w:ind w:firstLine="720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>По оценке в 2014 году объём отгруженных товаров собственного производства, выполненных работ и услуг собственными силами по виду деятельности «Производство машин и оборудования без производств оружия и боеприпасов» составит 1052,3 млн. рублей или 105,7% в сопоставимых ценах к уровню 2013 года.</w:t>
      </w:r>
    </w:p>
    <w:p w:rsidR="00DF7329" w:rsidRPr="008A703F" w:rsidRDefault="00DF7329" w:rsidP="00DF7329">
      <w:pPr>
        <w:pStyle w:val="a8"/>
        <w:ind w:firstLine="720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>В 2015-2017 годах индекс производства по данному виду деятельности составит: по первому варианту – 100,3-100,9%, по второму варианту – 102,2-103,4%.</w:t>
      </w:r>
    </w:p>
    <w:p w:rsidR="00DF7329" w:rsidRPr="008A703F" w:rsidRDefault="00DF7329" w:rsidP="00DF7329">
      <w:pPr>
        <w:pStyle w:val="a8"/>
        <w:ind w:firstLine="720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 xml:space="preserve">Объём продукции и услуг промышленного характера по «Производству электрооборудования, электронного и оптического оборудования» включает в себя объёмы предоставленных услуг по монтажу, ремонту и техническому обслуживанию телекоммуникационных и вычислительных сетей. Выпуск товаров и услуг за январь-декабрь 2013 года по данному виду деятельности составил 569,91 млн.рублей, или 103,6% в </w:t>
      </w:r>
      <w:r w:rsidRPr="008A703F">
        <w:rPr>
          <w:color w:val="000000" w:themeColor="text1"/>
          <w:sz w:val="24"/>
          <w:szCs w:val="24"/>
        </w:rPr>
        <w:lastRenderedPageBreak/>
        <w:t>сопоставимых ценах к уровню 2012 года. В 2014 году выпуск товаров и услуг по данному виду деятельности оценивается в размере 638,5 млн. рублей, или 106,9% в сопоставимых ценах к 2013 году. На прогнозируемый период объём отгруженных товаров собственного производства, выполненных работ и услуг собственными силами по виду деятельности «Производство электрооборудования, электронного и оптического оборудования» по двум вариантам сохраняются стабильными – 101,1-107,4%.</w:t>
      </w:r>
    </w:p>
    <w:p w:rsidR="00DF7329" w:rsidRPr="008A703F" w:rsidRDefault="00DF7329" w:rsidP="00DF7329">
      <w:pPr>
        <w:pStyle w:val="1"/>
        <w:spacing w:before="0" w:after="0"/>
        <w:ind w:firstLine="720"/>
        <w:jc w:val="both"/>
        <w:rPr>
          <w:color w:val="000000" w:themeColor="text1"/>
          <w:szCs w:val="24"/>
        </w:rPr>
      </w:pPr>
      <w:r w:rsidRPr="008A703F">
        <w:rPr>
          <w:color w:val="000000" w:themeColor="text1"/>
          <w:szCs w:val="24"/>
        </w:rPr>
        <w:t>В 2013 году производство пищевых продуктов, включая напитки, в сопоставимых ценах снизилось на 6,8%. Снижение производства пищевых продуктов произошло за счет закрытия цеха по производству колбасных изделий, собственником которого является общество с ограниченной ответственностью «Славнефть-торг».</w:t>
      </w:r>
    </w:p>
    <w:p w:rsidR="00DF7329" w:rsidRPr="008A703F" w:rsidRDefault="00DF7329" w:rsidP="00DF7329">
      <w:pPr>
        <w:pStyle w:val="1"/>
        <w:spacing w:before="0" w:after="0"/>
        <w:ind w:firstLine="720"/>
        <w:jc w:val="both"/>
        <w:rPr>
          <w:color w:val="000000" w:themeColor="text1"/>
          <w:szCs w:val="24"/>
        </w:rPr>
      </w:pPr>
      <w:r w:rsidRPr="008A703F">
        <w:rPr>
          <w:color w:val="000000" w:themeColor="text1"/>
          <w:szCs w:val="24"/>
        </w:rPr>
        <w:t>Основными и наиболее динамично развивающимися предприятиями отрасли являются: общество с ограниченной ответственностью «Союзсервис», общество с ограниченной ответственностью «Славнефть-торг», закрытое акционерное общество «Производственное предприятие «Система».</w:t>
      </w:r>
    </w:p>
    <w:p w:rsidR="00DF7329" w:rsidRPr="008A703F" w:rsidRDefault="00DF7329" w:rsidP="00DF7329">
      <w:pPr>
        <w:pStyle w:val="1"/>
        <w:spacing w:before="0" w:after="0"/>
        <w:ind w:firstLine="720"/>
        <w:jc w:val="both"/>
        <w:rPr>
          <w:color w:val="000000" w:themeColor="text1"/>
          <w:szCs w:val="24"/>
        </w:rPr>
      </w:pPr>
      <w:r w:rsidRPr="008A703F">
        <w:rPr>
          <w:color w:val="000000" w:themeColor="text1"/>
          <w:szCs w:val="24"/>
        </w:rPr>
        <w:t>В 2014 году объём пищевой продукции по оценке составит 87,0 млн.рублей или 100,1% в сопоставимых ценах к уровню 201</w:t>
      </w:r>
      <w:r w:rsidR="00357719">
        <w:rPr>
          <w:color w:val="000000" w:themeColor="text1"/>
          <w:szCs w:val="24"/>
        </w:rPr>
        <w:t>3</w:t>
      </w:r>
      <w:r w:rsidRPr="008A703F">
        <w:rPr>
          <w:color w:val="000000" w:themeColor="text1"/>
          <w:szCs w:val="24"/>
        </w:rPr>
        <w:t xml:space="preserve"> года.</w:t>
      </w:r>
    </w:p>
    <w:p w:rsidR="00DF7329" w:rsidRPr="008A703F" w:rsidRDefault="00DF7329" w:rsidP="00DF7329">
      <w:pPr>
        <w:pStyle w:val="21"/>
        <w:overflowPunct/>
        <w:autoSpaceDE/>
        <w:adjustRightInd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/>
          <w:color w:val="000000" w:themeColor="text1"/>
          <w:sz w:val="24"/>
          <w:szCs w:val="24"/>
        </w:rPr>
        <w:t>На 2015-2017 годы прогнозируется умеренный рост выпуска пищевой продукции – по первому варианту на уровне 100,2%, по второму варианту – 101,1-101,4%.</w:t>
      </w:r>
    </w:p>
    <w:p w:rsidR="00DF7329" w:rsidRPr="008A703F" w:rsidRDefault="00DF7329" w:rsidP="00DF7329">
      <w:pPr>
        <w:pStyle w:val="1"/>
        <w:spacing w:before="0" w:after="0"/>
        <w:ind w:firstLine="720"/>
        <w:jc w:val="both"/>
        <w:rPr>
          <w:color w:val="000000" w:themeColor="text1"/>
          <w:szCs w:val="24"/>
        </w:rPr>
      </w:pPr>
      <w:r w:rsidRPr="008A703F">
        <w:rPr>
          <w:color w:val="000000" w:themeColor="text1"/>
          <w:szCs w:val="24"/>
        </w:rPr>
        <w:t>Обработка древесины  и производство изделий из дерева в стоимостном выражении за отчётный период снизилась и составили 0,8 млн.рублей или 85,5% в сопоставимых ценах к уровню 2012 года. На прогнозный период темп роста по производству изделий из дерева в сопоставимых ценах по обоим вариантам предполагается на уровне 100,3-101,4%.</w:t>
      </w:r>
    </w:p>
    <w:p w:rsidR="00DF7329" w:rsidRPr="008A703F" w:rsidRDefault="00DF7329" w:rsidP="00DF7329">
      <w:pPr>
        <w:pStyle w:val="1"/>
        <w:spacing w:before="0" w:after="0"/>
        <w:ind w:firstLine="720"/>
        <w:jc w:val="both"/>
        <w:rPr>
          <w:color w:val="000000" w:themeColor="text1"/>
          <w:szCs w:val="24"/>
        </w:rPr>
      </w:pPr>
      <w:r w:rsidRPr="008A703F">
        <w:rPr>
          <w:color w:val="000000" w:themeColor="text1"/>
          <w:szCs w:val="24"/>
        </w:rPr>
        <w:t>Целлюлозно-бумажное производство, включая издательскую и полиграфическую деятельность на территории городского округа город Мегион представляют предприятия малого и среднего бизнеса. За отчётный 2013 год объем производства по данному виду деятельности увеличился на 0,1% в сопоставимых ценах. По оценке в 2014 году рост объема целлюлозно-бумажного производства в стоимостном выражении составит 41,3 млн.рублей и увеличится в сопоставимых ценах к уровню 2013 года на 0,5%. Темпы роста целлюлозно-бумажного производства в 2015-2017 годы оцениваются на уровне 100,1-101,2% в год по двум вариантам.</w:t>
      </w:r>
    </w:p>
    <w:p w:rsidR="00DF7329" w:rsidRPr="008A703F" w:rsidRDefault="00DF7329" w:rsidP="00DF7329">
      <w:pPr>
        <w:pStyle w:val="a8"/>
        <w:ind w:firstLine="720"/>
        <w:rPr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pStyle w:val="a8"/>
        <w:ind w:firstLine="720"/>
        <w:rPr>
          <w:i/>
          <w:color w:val="000000" w:themeColor="text1"/>
          <w:sz w:val="24"/>
          <w:szCs w:val="24"/>
        </w:rPr>
      </w:pPr>
      <w:r w:rsidRPr="008A703F">
        <w:rPr>
          <w:i/>
          <w:color w:val="000000" w:themeColor="text1"/>
          <w:sz w:val="24"/>
          <w:szCs w:val="24"/>
        </w:rPr>
        <w:t>Распределение электроэнергии, газа, пара и воды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Объём отгруженной продукции собственного производства, выполненных работ и услуг собственными силами по виду деятельности «Распределение электроэнергии, газа и воды» за 2013 год составил 2310,4 млн.рублей, или 81,7% к соответствующему периоду 2012 года в сопоставимых ценах. </w:t>
      </w:r>
    </w:p>
    <w:p w:rsidR="00DF7329" w:rsidRPr="008A703F" w:rsidRDefault="00DF7329" w:rsidP="00DF7329">
      <w:pPr>
        <w:pStyle w:val="a8"/>
        <w:ind w:firstLine="720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 xml:space="preserve">В структуре объёма отгруженных товаров собственного производства по виду деятельности «Распределение электроэнергии, газа и воды» за отчетный 2013 год наибольший удельный вес занимают предприятия, занимающиеся передачей и распределением электроэнергии – 65,4%.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представителями по отрасли «Производство и распределение электроэнергии, газа и воды» являются предприятия: общество с ограниченной ответственностью «Городские электрические сети», закрытое акционерное общество «Тюменская энергосбытовая компания», муниципальное унитарное предприятие «Тепловодоканал».</w:t>
      </w:r>
    </w:p>
    <w:p w:rsidR="00DF7329" w:rsidRPr="008A703F" w:rsidRDefault="00DF7329" w:rsidP="00DF7329">
      <w:pPr>
        <w:pStyle w:val="a6"/>
        <w:ind w:firstLine="720"/>
        <w:jc w:val="both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>В прогнозном периоде по данному разделу сохраняется положительная динамика развития. Умеренный рост объёмов производства планируется за счёт увеличения жилищного фонда.</w:t>
      </w: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513" w:rsidRDefault="00C55513" w:rsidP="00DF7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513" w:rsidRDefault="00C55513" w:rsidP="00DF7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329" w:rsidRPr="00C5446B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6B">
        <w:rPr>
          <w:rFonts w:ascii="Times New Roman" w:hAnsi="Times New Roman" w:cs="Times New Roman"/>
          <w:b/>
          <w:sz w:val="24"/>
          <w:szCs w:val="24"/>
        </w:rPr>
        <w:lastRenderedPageBreak/>
        <w:t>Сельское хозяйство</w:t>
      </w:r>
    </w:p>
    <w:p w:rsidR="00DF7329" w:rsidRPr="00266827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хозяйство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основных и жизненно важных отраслей народного хозяйства. </w:t>
      </w:r>
    </w:p>
    <w:p w:rsidR="00DF7329" w:rsidRPr="0011515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город Мегион географически располагается в зоне рискованного земледелия и в связи с жёсткими климатическими условиями не имеет возможности развить производство продукции растениеводства и животноводства в широких масштабах. Отсутствуют в достаточном объёме посевные площади и пастбища для производства продукции в объёмах, требуемых для обеспечения всего населения продукцией собственного производства. 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продукция растениеводства и часть продукции животноводства выращивается для личного потребления населением городского округа и для реализации крестьянско-фермерскими хозяйствами. 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ограниченность ресурсов и низкую отдачу отрасли объёмы производимой продукции, как и численность производителей, из года в год меняются незначительно. 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 по 2013 годы на территории городского округа город Мегион функционируют 6 крестьянско-фермерских хозяйств и 13 личных подсобных хозяйств.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266827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8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Крестьянско-фермерские хозяйства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объёмы продукции и поголовье скота в крестьянско-фермерских хозяйствах за 2013 год, в сравнении с соответствующими показателями 2012 года, имеют тенденцию к улучшению по основным позициям: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-в 2,6 раза вырос объём надоенного молока;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13,0% выросло поголовье свиней;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18,6% выросло поголовье маточного стада крупного рогатого скота.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имеет место ухудшение показателей: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10,3% сократился объём произведённого мяса;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2,9% сократилось поголовье овец и коз.</w:t>
      </w:r>
    </w:p>
    <w:p w:rsidR="00C55513" w:rsidRPr="0011515D" w:rsidRDefault="00C55513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показатели производства продукции крестьянско-фермерскими хозяйствами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2-2013 годы</w:t>
      </w:r>
    </w:p>
    <w:p w:rsidR="00DF7329" w:rsidRPr="002A6488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1712"/>
        <w:gridCol w:w="1712"/>
        <w:gridCol w:w="1712"/>
      </w:tblGrid>
      <w:tr w:rsidR="00DF7329" w:rsidRPr="0011515D" w:rsidTr="00283E9A">
        <w:trPr>
          <w:trHeight w:val="529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%, 2013 к 2012 </w:t>
            </w:r>
          </w:p>
        </w:tc>
      </w:tr>
      <w:tr w:rsidR="00DF7329" w:rsidRPr="0011515D" w:rsidTr="00283E9A">
        <w:trPr>
          <w:trHeight w:val="299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 на убой в живом весе, тонн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DF7329" w:rsidRPr="0011515D" w:rsidTr="00283E9A">
        <w:trPr>
          <w:trHeight w:val="299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Надоено молока, тонн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2,6 раза</w:t>
            </w:r>
          </w:p>
        </w:tc>
      </w:tr>
      <w:tr w:rsidR="00DF7329" w:rsidRPr="0011515D" w:rsidTr="00283E9A">
        <w:trPr>
          <w:trHeight w:val="321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яиц, тыс. штук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DF7329" w:rsidRPr="0011515D" w:rsidTr="00283E9A">
        <w:trPr>
          <w:trHeight w:val="262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скот, голов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DF7329" w:rsidRPr="0011515D" w:rsidTr="00283E9A">
        <w:trPr>
          <w:trHeight w:val="286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---в том числе коровы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</w:tr>
      <w:tr w:rsidR="00DF7329" w:rsidRPr="0011515D" w:rsidTr="00283E9A">
        <w:trPr>
          <w:trHeight w:val="281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Свиньи, голов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DF7329" w:rsidRPr="0011515D" w:rsidTr="00283E9A">
        <w:trPr>
          <w:trHeight w:val="281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козы, голов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</w:tbl>
    <w:p w:rsidR="00DF7329" w:rsidRPr="0011515D" w:rsidRDefault="00DF7329" w:rsidP="00DF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F7329" w:rsidRPr="0011515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Крестьянско-фермерскими хозяйствами преимущественно производится мясо свиней. За 2013 год объём производимого мяса на убой в живом весе</w:t>
      </w:r>
      <w:r w:rsidRPr="001151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снизился на 10,3%,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Pr="001151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выросло поголовье на 13,0%.</w:t>
      </w:r>
    </w:p>
    <w:p w:rsidR="00DF7329" w:rsidRPr="0011515D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улярным становится разведение крупного рогатого скота, в особенности</w:t>
      </w:r>
      <w:r w:rsidRPr="001151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маточного поголовья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высокой рентабельности молочной продукции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за прошедший период выросло на 18,6%, соответственно в 2,6 раза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выросло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молока.</w:t>
      </w:r>
    </w:p>
    <w:p w:rsidR="00DF7329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очень незначительных объёмах выращивается мелкий рогатый скот, их продукция на общественный сегмент не выставляется,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разводится для личного потребления и узкого круга покупателей.</w:t>
      </w:r>
    </w:p>
    <w:p w:rsidR="00DF7329" w:rsidRPr="0011515D" w:rsidRDefault="00DF7329" w:rsidP="00DF7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</w:p>
    <w:p w:rsidR="00DF7329" w:rsidRPr="00266827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8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Личные подсобные хозяйства</w:t>
      </w:r>
    </w:p>
    <w:p w:rsidR="00DF7329" w:rsidRPr="0011515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подсобные хозяйства производят продукцию для удовлетворения собственных нужд в продуктах питания.</w:t>
      </w:r>
    </w:p>
    <w:p w:rsidR="00DF7329" w:rsidRPr="0011515D" w:rsidRDefault="00DF7329" w:rsidP="00DF73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Default="00DF7329" w:rsidP="00DF73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Объёмные показатели всех личных подсобных хозяйств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2012-2013 годы</w:t>
      </w:r>
    </w:p>
    <w:p w:rsidR="00DF7329" w:rsidRPr="003E2F27" w:rsidRDefault="00DF7329" w:rsidP="00DF73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797"/>
        <w:gridCol w:w="1797"/>
        <w:gridCol w:w="1797"/>
      </w:tblGrid>
      <w:tr w:rsidR="00DF7329" w:rsidRPr="0011515D" w:rsidTr="00283E9A">
        <w:trPr>
          <w:trHeight w:val="471"/>
          <w:tblHeader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F7329" w:rsidRPr="0011515D" w:rsidTr="00283E9A">
        <w:trPr>
          <w:trHeight w:val="16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скот, голов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DF7329" w:rsidRPr="0011515D" w:rsidTr="00283E9A">
        <w:trPr>
          <w:trHeight w:val="17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 том числе коровы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DF7329" w:rsidRPr="0011515D" w:rsidTr="00283E9A">
        <w:trPr>
          <w:trHeight w:val="17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Свиньи, голов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</w:tr>
      <w:tr w:rsidR="00DF7329" w:rsidRPr="0011515D" w:rsidTr="00283E9A">
        <w:trPr>
          <w:trHeight w:val="17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козы, голов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</w:t>
            </w:r>
          </w:p>
        </w:tc>
      </w:tr>
      <w:tr w:rsidR="00DF7329" w:rsidRPr="0011515D" w:rsidTr="00283E9A">
        <w:trPr>
          <w:trHeight w:val="17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домашняя, голов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9,2 раз</w:t>
            </w:r>
          </w:p>
        </w:tc>
      </w:tr>
      <w:tr w:rsidR="00DF7329" w:rsidRPr="0011515D" w:rsidTr="00283E9A">
        <w:trPr>
          <w:trHeight w:val="17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Лошади, голов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DF7329" w:rsidRPr="0011515D" w:rsidTr="00283E9A">
        <w:trPr>
          <w:trHeight w:val="17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Кролики, голов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1515D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</w:tbl>
    <w:p w:rsidR="00DF7329" w:rsidRPr="0011515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Pr="0011515D" w:rsidRDefault="00DF7329" w:rsidP="00DF7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крупного рогатого скота в целом выросло на 5,3%, но при  этом значительно, на 15,6%, сократилось маточное поголовье. Выросло поголовье свиней на 12,2% и мелкого рогатого скота на 43,3%, домашней птицы в 9 раз.</w:t>
      </w:r>
    </w:p>
    <w:p w:rsidR="00DF7329" w:rsidRPr="0011515D" w:rsidRDefault="00DF7329" w:rsidP="00DF7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поголовья скота связано лишь предпочтениями и личными</w:t>
      </w:r>
      <w:r w:rsidRPr="001151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владельцев личных подсобных хозяйств.</w:t>
      </w:r>
    </w:p>
    <w:p w:rsidR="00DF7329" w:rsidRDefault="00DF7329" w:rsidP="00DF7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из регионального бюджета в рамках целевой программы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агропромышленного комплекса Ханты-Мансийского автономного округа -  Югры в 2011-2013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 и на период до 2015 года»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субсидии:</w:t>
      </w:r>
    </w:p>
    <w:p w:rsidR="00DF7329" w:rsidRDefault="00DF7329" w:rsidP="00DF7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-гражданам, ведущим личные подсобные хозяйства -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содержание маточного поголовья сельскохозяйственных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2013 году сумма субсидий составила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272,9 тыс. рублей, что выше аналогичного показателя предыдущего года на 2,3%. Выделяемая сумма денег зависит от численности репродуктивного поголовья животны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</w:p>
    <w:p w:rsidR="00DF7329" w:rsidRPr="0011515D" w:rsidRDefault="00DF7329" w:rsidP="00DF7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-главам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рестьянско-фермерских хозяйств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 или недополученных доходов и на укрепление материально-технической 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2013 году сум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субсидий составила 9502,76 тыс. рублей, из которых 8613,9 тыс. рублей на возмещение затрат, 862,5 тыс. рублей на развитие материально-технической базы отрасли и 26,36 тыс. рублей на оплату организационных расходов.</w:t>
      </w:r>
    </w:p>
    <w:p w:rsidR="00DF7329" w:rsidRPr="0011515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каждое крестьянско-фермерское хозяйство получило за год на возмещение затрат и приобретение сельскохозяйственной техники 1574,4 тыс. рублей. </w:t>
      </w:r>
    </w:p>
    <w:p w:rsidR="00DF7329" w:rsidRPr="0011515D" w:rsidRDefault="00DF7329" w:rsidP="00DF732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продукция животноводства производится и крестьянско-фермерскими и личными подсобными хозяйствами, то продукция растениеводства выращивается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 для собственного потребления. Для этих целей в виде дачно-огородных участков закреплено 164 гектара земли, из них 58 гектаров находятся в официальных границах городского округа город Мегион, 106 гектаров на земельных наделах Нижневартовского района.</w:t>
      </w:r>
    </w:p>
    <w:p w:rsidR="00DF7329" w:rsidRPr="00A71A71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71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1A71">
        <w:rPr>
          <w:rFonts w:ascii="Times New Roman" w:hAnsi="Times New Roman" w:cs="Times New Roman"/>
          <w:sz w:val="24"/>
          <w:szCs w:val="24"/>
        </w:rPr>
        <w:t xml:space="preserve"> год объём производства продукции  животноводства и растениеводства в хозяйствах всех форм собственности в стоимостном выражении составил </w:t>
      </w:r>
      <w:r>
        <w:rPr>
          <w:rFonts w:ascii="Times New Roman" w:hAnsi="Times New Roman" w:cs="Times New Roman"/>
          <w:sz w:val="24"/>
          <w:szCs w:val="24"/>
        </w:rPr>
        <w:t>23,4</w:t>
      </w:r>
      <w:r w:rsidRPr="00A71A71">
        <w:rPr>
          <w:rFonts w:ascii="Times New Roman" w:hAnsi="Times New Roman" w:cs="Times New Roman"/>
          <w:sz w:val="24"/>
          <w:szCs w:val="24"/>
        </w:rPr>
        <w:t xml:space="preserve">  млн. рублей, что выше на </w:t>
      </w:r>
      <w:r>
        <w:rPr>
          <w:rFonts w:ascii="Times New Roman" w:hAnsi="Times New Roman" w:cs="Times New Roman"/>
          <w:sz w:val="24"/>
          <w:szCs w:val="24"/>
        </w:rPr>
        <w:t>14,7</w:t>
      </w:r>
      <w:r w:rsidRPr="00A71A71">
        <w:rPr>
          <w:rFonts w:ascii="Times New Roman" w:hAnsi="Times New Roman" w:cs="Times New Roman"/>
          <w:sz w:val="24"/>
          <w:szCs w:val="24"/>
        </w:rPr>
        <w:t>% того же показателя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1A7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F7329" w:rsidRPr="00A71A71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A71">
        <w:rPr>
          <w:rFonts w:ascii="Times New Roman" w:hAnsi="Times New Roman" w:cs="Times New Roman"/>
          <w:sz w:val="24"/>
          <w:szCs w:val="24"/>
        </w:rPr>
        <w:t>На оцениваемый 201</w:t>
      </w:r>
      <w:r>
        <w:rPr>
          <w:rFonts w:ascii="Times New Roman" w:hAnsi="Times New Roman" w:cs="Times New Roman"/>
          <w:sz w:val="24"/>
          <w:szCs w:val="24"/>
        </w:rPr>
        <w:t xml:space="preserve">4 год суммарный </w:t>
      </w:r>
      <w:r w:rsidRPr="00A71A71">
        <w:rPr>
          <w:rFonts w:ascii="Times New Roman" w:hAnsi="Times New Roman" w:cs="Times New Roman"/>
          <w:sz w:val="24"/>
          <w:szCs w:val="24"/>
        </w:rPr>
        <w:t>объём произв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1A7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ённой </w:t>
      </w:r>
      <w:r w:rsidRPr="00A71A71">
        <w:rPr>
          <w:rFonts w:ascii="Times New Roman" w:hAnsi="Times New Roman" w:cs="Times New Roman"/>
          <w:sz w:val="24"/>
          <w:szCs w:val="24"/>
        </w:rPr>
        <w:t xml:space="preserve">продукции </w:t>
      </w:r>
      <w:r>
        <w:rPr>
          <w:rFonts w:ascii="Times New Roman" w:hAnsi="Times New Roman" w:cs="Times New Roman"/>
          <w:sz w:val="24"/>
          <w:szCs w:val="24"/>
        </w:rPr>
        <w:t>не увеличится</w:t>
      </w:r>
      <w:r w:rsidRPr="00A71A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329" w:rsidRPr="00A71A71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объём продукции будет варьировать в пределах 23,20-24,5 млн. рублей с 2015-2016 годы, а к</w:t>
      </w:r>
      <w:r w:rsidRPr="00A71A71">
        <w:rPr>
          <w:rFonts w:ascii="Times New Roman" w:hAnsi="Times New Roman" w:cs="Times New Roman"/>
          <w:sz w:val="24"/>
          <w:szCs w:val="24"/>
        </w:rPr>
        <w:t xml:space="preserve"> концу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1A71">
        <w:rPr>
          <w:rFonts w:ascii="Times New Roman" w:hAnsi="Times New Roman" w:cs="Times New Roman"/>
          <w:sz w:val="24"/>
          <w:szCs w:val="24"/>
        </w:rPr>
        <w:t xml:space="preserve"> года  по I варианту составит </w:t>
      </w:r>
      <w:r>
        <w:rPr>
          <w:rFonts w:ascii="Times New Roman" w:hAnsi="Times New Roman" w:cs="Times New Roman"/>
          <w:sz w:val="24"/>
          <w:szCs w:val="24"/>
        </w:rPr>
        <w:t>24,6</w:t>
      </w:r>
      <w:r w:rsidRPr="00A71A71">
        <w:rPr>
          <w:rFonts w:ascii="Times New Roman" w:hAnsi="Times New Roman" w:cs="Times New Roman"/>
          <w:sz w:val="24"/>
          <w:szCs w:val="24"/>
        </w:rPr>
        <w:t xml:space="preserve"> млн. рублей, по  II варианту </w:t>
      </w:r>
      <w:r>
        <w:rPr>
          <w:rFonts w:ascii="Times New Roman" w:hAnsi="Times New Roman" w:cs="Times New Roman"/>
          <w:sz w:val="24"/>
          <w:szCs w:val="24"/>
        </w:rPr>
        <w:t>24,98</w:t>
      </w:r>
      <w:r w:rsidRPr="00A71A71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DF7329" w:rsidRPr="0011515D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город Мегион выработка сельхозпродукции соответствующего качества и такого объёма, чтобы можно было создать стратегический 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резерв продовольствия, не производится. Но обеспечение устойчивого роста производства сельхозпродукции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основн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агропромышленного комплекса. 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по развитию сельского хозяйства  является создание условий для производства высококачественной продукции, для чего необходимо обеспечить высокий уровень воспроизводств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скота, прирост высокопродуктивного маточного поголовья и  укрепление кормовой базы в животноводстве, а также повышение выхода продукции с единицы площади в растениеводстве.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11515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Default="00DF7329" w:rsidP="00DF7329">
      <w:pPr>
        <w:pStyle w:val="22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П</w:t>
      </w:r>
      <w:r w:rsidRPr="004B57EC">
        <w:rPr>
          <w:b/>
          <w:szCs w:val="24"/>
        </w:rPr>
        <w:t>отребительский рынок</w:t>
      </w: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потребительского рынка товаров и услуг является важнейшим фактором обеспечения экономической стабильности города, улучшения условий и качества жизни мегионцев.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на потребительском рынке городского округа город Мегион преобладающей формой является частная форма собственности. 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Свыше 700 предпринимателей занимаются деятельностью в сфере торговли, общественного питания и бытового обслуживания. </w:t>
      </w:r>
    </w:p>
    <w:p w:rsidR="00DF7329" w:rsidRPr="008A703F" w:rsidRDefault="00DF7329" w:rsidP="00DF73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сфере потребительских услуг розничная торговля занимает главное место, и является одной из наиболее динамично развивающихся отраслей в городе. 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Розничная торговля быстро реагирует на изменения уровня жизни населения и требования, предъявляемые потребителем.</w:t>
      </w:r>
    </w:p>
    <w:p w:rsidR="00DF7329" w:rsidRPr="008A703F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на 01.10.2014 года на территории городского округа город Мегион расположено 250 объектов розничной торговли (магазины – 204 ед., киоски – 5 ед., павильоны - 41 ед.), торговой площадью 35437,99 м². </w:t>
      </w:r>
    </w:p>
    <w:p w:rsidR="00DF7329" w:rsidRPr="008A703F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 2013 году на территории городского округа город Мегион по сравнению с 2012 годом увеличилось количество объектов торговли. Введены в эксплуатацию новые торговые объекты: магазины «Удача», «Градус», «Монетка», «Связной», «Сантехника», «Ассорти+», «Ассорти», «Конкурент», «Уют», торговые павильоны «Горянка», «Автолэнд» и другие. Увеличилось количество предприятий розничной торговли, входящих в состав торговых сетей «Евросеть-Екатеринбург», «Связной», «Монетка».</w:t>
      </w:r>
    </w:p>
    <w:p w:rsidR="00DF7329" w:rsidRPr="008A703F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Вновь открываемые объекты торговли характеризуются современными формами торговли и формами обслуживания населения. Основным нормативным критерием оценки состояния потребительского рынка является уровень обеспеченности населения торговыми площадями. Обеспеченность населения торговыми площадями по состоянию на 01.01.2014 составляет 142,9%, или 633,0 кв.м. на 1,0 тыс. жителей.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Оборот розничной торговли, полученный через все каналы реализации, за 2013 год составил 7796,4 млн.рублей, что в сопоставимых ценах на 1,3% ниже объёма аналогичного периода 2012 года. На душу населения приходится 139,8 тыс.рублей оборота розничной торговли, что на 4,5% выше аналогичного периода 2012 года.</w:t>
      </w:r>
    </w:p>
    <w:p w:rsidR="00DF7329" w:rsidRPr="008A703F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оценочный 2014 год ожидается увеличение объёма розничного товарооборота на 2,4% в сопоставимых ценах к уровню 2013 года, который составит 8486,5 млн. рублей. </w:t>
      </w:r>
    </w:p>
    <w:p w:rsidR="00DF7329" w:rsidRPr="008A703F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На период 2015-2017 годы прогнозируется рост товарооборота на уровне 102,1-103,6% по первому варианту, 103,3-104,2% по второму варианту. Такая ситуация в прогнозируемом периоде объясняется повышением реальных доходов населения, развитием потребительского кредитования, а также достаточным обеспечением населения торговыми площадями.</w:t>
      </w:r>
    </w:p>
    <w:p w:rsidR="00DF7329" w:rsidRPr="008A703F" w:rsidRDefault="00DF7329" w:rsidP="00DF7329">
      <w:pPr>
        <w:pStyle w:val="2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pStyle w:val="2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 xml:space="preserve">Общественное питание, как и торговля, сектор услуг для населения, который кардинально меняется в последние годы.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Сеть организаций общественного питания представлена в городе такими формами как кафе, столовые, рестораны.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состоянию на 01.01.2014 в городе работает 96 предприятий общественного питания на 4678 посадочных мест, в том числе по видам: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 рестораны – 1 ед., 60 пос.мест;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 кафе – 28 ед., 1423 пос.мест;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 бары – 28 ед., 579 пос.мест;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 иные (буфеты, закусочные, магазины-кулинарии) – 18 ед., 224 пос.мест;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 столовые – 21 ед., 2392 пос.мест, из них школьные столовые – 11 ед., 1936 пос.мест.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При нормативе 40 посадочных мест на 1,0 тысячу жителей общедоступная сеть предприятий общественного питания городского округа город Мегион закрывает потребность населения в посадочных местах на 102,1%. По сравнению с 2012 годом обеспеченность жителей города общедоступными предприятиями общественного питания повысилась на 16,0 процентных пунктов.</w:t>
      </w:r>
    </w:p>
    <w:p w:rsidR="00DF7329" w:rsidRPr="008A703F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Оборот общественного питания за 2013 год составил 1536,8 млн.рублей, и увеличился по сравнению с аналогичным периодом 2012 года на 9,4% в сопоставимых ценах.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январь-декабрь 2013 года оборот общественного питания в расчёте на душу населения составил 27563 рубля против 23712 рублей в январе-декабре 2012 года. 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 2013 году на 11,5% увеличилось количество посадочных мест за счет изменения типов предприятий торговли на общественное питание, ввода в эксплуатацию новых объектов предприятий общественного питания общедоступной сети. В течение отчетного года были введены в эксплуатацию: кафе «Уютное», «Абсолют», «Гамбург», «Дракон», бар «Спорт-бар», закусочные «Бистро-кулинария», «Ассорти» и др.</w:t>
      </w:r>
    </w:p>
    <w:p w:rsidR="00DF7329" w:rsidRPr="008A703F" w:rsidRDefault="00DF7329" w:rsidP="00DF7329">
      <w:pPr>
        <w:pStyle w:val="2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>По оценке в 2014 году оборот общественного питания составит 1671,4 млн.рублей или 102,6% к уровню 2013 года в сопоставимых ценах.</w:t>
      </w:r>
    </w:p>
    <w:p w:rsidR="00DF7329" w:rsidRPr="008A703F" w:rsidRDefault="00DF7329" w:rsidP="00DF7329">
      <w:pPr>
        <w:pStyle w:val="2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>В 2015-2017 годы темп роста оборота общественного питания прогнозируется на уровне 102,2-104,0% по первому варианту, 103,7-105,1% по второму варианту.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рынка общественного питания города характеризуется наличием ряда проблем: недостаточно высокий уровень развития материально-технической базы предприятий общественного питания, требуемый для новых технологических решений; существующая политика ценообразования в предприятиях общественного питания ограничивает доступ услуг для населения со средними и низкими доходами. Недостаточно развита сеть магазинов кулинарии, кондитерских цехов. Большая часть продукции кондитерского производства поступает из Нижневартовска, Сургута и других городов.</w:t>
      </w:r>
    </w:p>
    <w:p w:rsidR="00DF7329" w:rsidRPr="008A703F" w:rsidRDefault="00DF7329" w:rsidP="00DF7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Остаются востребованными предприятия быстрого питания, кафе для семейного отдыха и детские кафе. Получили распространение такие формы обслуживания, как реализация готовой продукции через отделы кулинарии, отпуск блюд и изделий на вынос, с доставкой по заказам на дом, в офис (бар «Мега-Суши», кафе «Жар-пицца», кафе «Пандок», «Дракон», бар «Сибирская корона», цех по производству и доставке суши). </w:t>
      </w:r>
    </w:p>
    <w:p w:rsidR="00DF7329" w:rsidRPr="008A703F" w:rsidRDefault="00DF7329" w:rsidP="00DF732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>Помимо предоставления традиционных услуг по питанию предлагаются и другие дополнительные услуги: проведение банкетов, корпоративных праздников, обслуживание выездных, городских мероприятий, предоставление помещений кафе для деловых встреч, вызов такси, бронирование мест.</w:t>
      </w:r>
    </w:p>
    <w:p w:rsidR="00DF7329" w:rsidRPr="008A703F" w:rsidRDefault="00DF7329" w:rsidP="00DF7329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Главные задачи потребительского  рынка  города  Мегиона  -  создание  условий  для  удовлетворения  спроса населения на потребительские  товары  и услуги, обеспечение качества и безопасности их  предоставления,  облегчение  доступа  к товарам и услугам для всех социальных групп жителей города.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Помимо торговли и общественного питания, потребительский рынок насыщают также платные услуги.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Объём платных услуг за 2013 год, оказанных населению городского округа город Мегион составил 2974,4 млн.рублей, или 101,81% в сопоставимых ценах к аналогичному периоду 2012 года. Более 50% объёма платных услуг в январе-декабре 2013 года формировался крупными и средними организациями.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Каждому жителю города за отчётный период было оказано платных услуг в среднем на 53 348 рублей. </w:t>
      </w:r>
    </w:p>
    <w:p w:rsidR="00DF7329" w:rsidRPr="008A703F" w:rsidRDefault="00DF7329" w:rsidP="00DF7329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По оценке в 2014 году объем платных услуг населению составит 3258,551 млн.рублей или 102,1% в сопоставимых ценах к уровню 2013 года. В прогнозный период 2015-2017 годах темпы роста объема платных услуг прогнозируются на уровне 101,9-103,4% по первому варианту и 102,6-103,9% по второму варианту. Более благоприятная динамика развития платных услуг населению по второму варианту будет происходить под влиянием развития малого и индивидуального предпринимательства.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 прогнозный период структура услуг не претерпит существенных изменений. По-прежнему наибольшая доля платных услуг приходиться на жилищно-коммунальные услуги, услуги пассажирского транспорта, связи и бытовые услуги.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Объём бытовых услуг по оценке 2014 года составит  210,66 млн.рублей, прирост к показателям 2013 года 2,2% в сопоставимых ценах. Рост объема сети бытовых услуг идет в основном за счет интенсивного развития парикмахерских услуг и услуг автосервиса.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8A703F"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>Наименее развитыми остаются виды бытовых услуг: услуги проката, услуги прачечных самообслуживания, ремонт телефонных аппаратов, ремонт сумок, зонтов и прочих галантерейных изделий, ремонт швейного оборудования, мебели, уборка квартир, уход за больными, престарелыми и инвалидами, услуги нянь, производство трикотажных изделий.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8A703F"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>Объем транспортных услуг по оценке в 2014 году составит 142,1 млн.рублей, или 100,0% в сопоставимых ценах к уровню 2013 года. В прогнозный период 2015-2017 годах под воздействием роста денежных доходов населения рост объема транспортных услуг составит 101,9-102,3% по второму варианту. По первому варианту темп роста объема транспортных услуг ожидается на уровне 101,4-101,9% в сопоставимых ценах.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8A703F"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>Позитивная динамика роста прогнозируется на рынке услуг связи.</w:t>
      </w:r>
      <w:r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8A703F"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По оценке в 2014 году объем услуг связи составит 979,89 млн.рублей или 102,0% в сопоставимых ценах к уровню 2013 года. В 2015-2017 годы прогнозируется рост на уровне 100,1-101,6% по первому варианту, 101,6-102,4% по второму варианту. Этому будет способствовать повышение качества предоставляемых услуг, рост подвижной электросвязи (сотовая) и модернизация существующей телекоммуникационной инфраструктуры, а также 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реформирование почтовой связи и внедрение новых форм обслуживания населения.</w:t>
      </w:r>
    </w:p>
    <w:p w:rsidR="00DF7329" w:rsidRPr="008A703F" w:rsidRDefault="00DF7329" w:rsidP="00DF7329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Предприятиями жилищно-коммунального  комплекса по оценке в 2014 году будет оказано услуг на сумму 1440,9 млн.рублей. В среднесрочной перспективе ежегодный ввод жилья не повлечет за собой стремительного увеличения жилищно-коммунальных услуг, так как будет сноситься ветхий жилой фонд. По первому варианту рост объема жилищно-коммунальных услуг составит 102,6-103,3% в сопоставимых ценах к предыдущему году, по второму варианту – 102,8-103,5%.</w:t>
      </w:r>
    </w:p>
    <w:p w:rsidR="00DF7329" w:rsidRPr="008A703F" w:rsidRDefault="00DF7329" w:rsidP="00DF7329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По оценке в 2014 году объем услуг учреждений культуры составит 18,2 млн.рублей, или 103,2% в сопоставимых ценах к уровню 2013 года. В дальнейшем прогнозируется рост данных услуг по двум вариантам на уровне 100,1-102,4% в год в сопоставимых ценах. Рост объема услуг учреждений культуры будет обеспечен за счет ввода в эксплуатацию в конце 2013 года (после реконструкции) дома культуры «Сибирь» в поселке городского типа Высокий.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8A703F"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>Темпы роста объема туристских услуг на прогнозный период по первому и второму варианту составят 100,0-101,15% в сопоставимых ценах к уровню предыдущего года.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Рынок платных услуг физической культуры и спорта включает в себя как спортивно-оздоровительные, физкультурно-оздоровительные, так и спортивно-зрелищные мероприятия.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Ввод в эксплуатацию новых спортивных сооружений, а также ежегодное увеличение числа занимающихся спортом способствуют увеличению объема платных услуг в сфере физической культуры и спорта. В конце 2013 года введен в эксплуатацию спортивный комплекс «Олимп», возобновлено строительство игрового зала с плоскостными сооружениями,  ведется строительство  «Ледового дворца».</w:t>
      </w:r>
    </w:p>
    <w:p w:rsidR="00DF7329" w:rsidRPr="008A703F" w:rsidRDefault="00DF7329" w:rsidP="00DF73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фактических ценах объем платных услуг в сфере физической культуры и спорта населению к 2017 году составит 28,2 млн.рублей по первому варианту и 28,9 млн.рублей по второму варианту. Темп роста прогнозируется в сопоставимых ценах 102,2-103,4% в год по первому и второму вариантам. Популяризация и культивирование занятий физической культурой и  спортом, по-прежнему, остается одной из важных задач органов муниципального самоуправления.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В сфере здравоохранения в 2014 году населению будет оказано медицинских услуг на сумму 178,12 млн.рублей, что превысит объем предыдущего года на 4,8% в сопоставимых ценах. 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данных услуг в прогнозный период возрастет и  к концу 2017 года по первому варианту составит 229,6 млн.рублей, по второму варианту – 235,5 млн.рублей. Общими тенденциями рынка платной медицины являются расширение профиля оказываемых частными клиниками услуг. В 2013 году на территории открыто две частных стоматологических клиники. Начал свою работу медицинский офис московской независимой лаборатории «Инвитро», предлагающий жителям города более 1000 видов исследований и оказывающий услуги по проведению медицинских анализов. 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 оценочном 2014 году на 4,7% в сопоставимых ценах к уровню 2013 года возрастет спрос на предоставление платных услуг в сфере образования и составит 119,02 млн.рублей. В 2015-2017 годах рост услуг в области образования по двум вариантам прогнозируется на уровне 104,2-105,2% в год в сопоставимых ценах к предыдущему году. Росту будет  содействовать открытие новых объектов образования: три детских сада на 740 мест и общеобразовательной школы в пгт Высокий на 300 учащихся, а также организация деятельности частных детских садов.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Социальные услуги, предоставляемые гражданам пожилого возраста и инвалидам на территории городского округа город Мегион оказывает Бюджетное учреждение Ханты-Мансийского автономного округа – Югры «Комплексный центр социального обслуживания населения «Гармония». В 2013 году объем оказанных услуг составил 1,74 млн.рублей.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Style w:val="ConsPlusCell0"/>
          <w:rFonts w:ascii="Times New Roman" w:eastAsiaTheme="minorHAnsi" w:hAnsi="Times New Roman" w:cs="Times New Roman"/>
          <w:color w:val="000000" w:themeColor="text1"/>
          <w:sz w:val="24"/>
          <w:szCs w:val="24"/>
        </w:rPr>
        <w:t>Объем социальных услуг по оценке в 2014 году составит 1,89 млн.рублей, или 101,0% в сопоставимых ценах к уровню 2013 года. В прогнозный период 2015-2017 годы т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емпы роста прогнозируется в сопоставимых ценах 95,6-101,6% в год по первому и второму вариантам.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Сфера потребительского рынка на территории городского округа город Мегион развивается достаточно динамично, но имеет ряд негативных факторов, которые в некоторой мере сдерживают его развитие. Наиболее существенными из них являются: высокие транспортные расходы, арендная плата, недостаток производственных площадей, недоступность кредитных средств, нехватка квалифицированных кадров.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развития потребительского рынка на 2014 год является создание условий для удовлетворения спроса населения на потребительские товары и услуги, совершенствование инфраструктуры потребительского рынка, обеспечение доступа к товарам и услугам всех социальных групп населения городского округа город Мегион.</w:t>
      </w:r>
    </w:p>
    <w:p w:rsidR="00DF7329" w:rsidRPr="008A703F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E21">
        <w:rPr>
          <w:rFonts w:ascii="Times New Roman" w:hAnsi="Times New Roman" w:cs="Times New Roman"/>
          <w:b/>
          <w:sz w:val="24"/>
          <w:szCs w:val="24"/>
        </w:rPr>
        <w:t>Малое и среднее предпринимательство</w:t>
      </w:r>
    </w:p>
    <w:p w:rsidR="00DF7329" w:rsidRPr="00431D4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Анализ состояния и развития малого предпринимательства городского округа город Мегион свидетельствует о сохранении позитивных тенденций. На сегодняшний день малый бизнес продолжает динамично развиваться. Вклад малого бизнеса в социально-экономическое развитие города с каждым годом становится более весомым. Увеличивается общее количество субъектов малого предпринимательства и численность работающих в данном секторе экономики. Растет объем выпускаемой продукции, работ и услуг, их ассортимент, повышается качество и конкурентоспособность производимой продукции за счет внедрения новых технологий.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состоянию на 01.01.2014 количество предприятий малого и среднего бизнеса составляет 517 единиц, индивидуальных предпринимателей – 2040 человек. Из общего числа зарегистрированных субъектов малого и среднего бизнеса, постоянно осуществляют свою деятельность около 75%.</w:t>
      </w:r>
    </w:p>
    <w:p w:rsidR="00DF7329" w:rsidRPr="008A703F" w:rsidRDefault="00DF7329" w:rsidP="00DF7329">
      <w:pPr>
        <w:pStyle w:val="a8"/>
        <w:ind w:firstLine="709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 xml:space="preserve">За отчётный 2013 год количество малых предприятий увеличилось на 5 единиц по отношению к прошлому году, количество средних предприятий снизилось на 1 единицу. По оценке в 2014 году численность малых и средних предприятий составит 519 единиц. Количество малых и средних предприятий на территории городского округа город Мегион в период до 2017 года будет увеличиваться и составит 521 предприятие по первому варианту, 523 предприятия по второму варианту. 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Численность работающих в малых и средних предприятиях в 2013 году составляет 6,25 тыс.человек. Среднесписочная численность работников (без внешних совместителей), занятых на малых и средних предприятиях к 2017 году возрастёт до 6,28 тыс.человек по первому варианту, до 6,34 тыс.человек по второму варианту. 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Повышается</w:t>
      </w:r>
      <w:r w:rsidRPr="008A703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уровень юридической и экономической грамотности представителей малого и среднего бизнеса. 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Население заинтересовано в создании собственного бизнеса, что влечет за собой  увеличение количества индивидуальных предпринимателей, соответственно и занятость населения.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неизменной на протяжении последних лет остается отраслевая структура малого бизнеса. Наиболее распространенными видами деятельности малых, микропредприятий и средних предприятий остаются такие отрасли экономики, как оптовая и розничная торговля, транспорт и связь, операции с недвижимым имуществом, аренда и предоставление услуг.</w:t>
      </w:r>
    </w:p>
    <w:p w:rsidR="00DF7329" w:rsidRPr="008A703F" w:rsidRDefault="00DF7329" w:rsidP="00DF7329">
      <w:pPr>
        <w:pStyle w:val="a8"/>
        <w:ind w:firstLine="709"/>
        <w:rPr>
          <w:color w:val="000000" w:themeColor="text1"/>
          <w:sz w:val="24"/>
          <w:szCs w:val="24"/>
        </w:rPr>
      </w:pPr>
      <w:r w:rsidRPr="008A703F">
        <w:rPr>
          <w:color w:val="000000" w:themeColor="text1"/>
          <w:sz w:val="24"/>
          <w:szCs w:val="24"/>
        </w:rPr>
        <w:t>Оборот предприятий (организаций) малого предпринимательства за 2013 год составил 9424,22 млн.рублей, или 100,83% в сопоставимых ценах к уровню прошлого года. Рост оборота малых предприятий в прогнозном периоде по первому варианту составит 100,17-100,83% в сопоставимых ценах к предыдущему году. По второму варианту малое предпринимательство на территории городского округа город Мегион будет развиваться темпами 100,56-101,48% в год в сопоставимых ценах. Что касается среднего предпринимательства, объем оборота продукции за 2013 год составил 2546,5 млн.рублей, индекс производства к показателям 2012 года составил 59,81% в сопоставимых ценах. Снижение обусловлено переходом предприятий из разряда средних в категорию малых предприятий.</w:t>
      </w:r>
    </w:p>
    <w:p w:rsidR="00DF7329" w:rsidRPr="008A703F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источником финансирования деятельности сферы малого и среднего предпринимательства по-прежнему остаются личные сбережения предпринимателей. Привлечение заемных и кредитных ресурсов остаётся для  предпринимателей достаточно проблематичным.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эффективных механизмов поддержки и развития малого и среднего предпринимательства является развитие инфраструктуры поддержки малого и среднего предпринимательства. В настоящее время на территории городского округа город Мегион ведет работу представитель общества с ограниченной ответственностью «Окружной Бизнес-Инкубатор». 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2013 года органами администрации совместно с Фондом поддержки предпринимательства и обществом с ограниченной ответственностью «Окружной Бизнес-Инкубатор» проводились мероприятия по повышению образовательного уровня предпринимателей, консультации и семинары, субъектам малого и среднего бизнеса предоставлялись целевые займы на льготных условиях, а также выдача поручительств по займам и кредитам перед банками и лизинговыми компаниями.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Так, Фондом поддержки предпринимательства Югры, Нижневартовской Торгово-промышленной палатой при участии администрации города и предпринимателей городского округа город Мегион проведен круглый стол «О взаимодействии контрольно-надзорных органов с предпринимательством города Мегиона».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были проведены: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-городской конкурс «Предприниматель года – 2012»;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-выставка-ярмарка «Товары и услуги малого и среднего бизнеса»;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-семинар для парикмахеров «Новые техники стрижек и укладок сезона осень-зима 2013»;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-конкурс среди учащихся образовательных учреждений «Предпринимательство сегодня»;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-городской конкурс «Мегионский цирюльник».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 2013 году ООО «Окружной Бизнес-Инкубатор» мегионским предпринимателям оказана следующая поддержка: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032"/>
        <w:gridCol w:w="2084"/>
      </w:tblGrid>
      <w:tr w:rsidR="00DF7329" w:rsidRPr="00160D73" w:rsidTr="00283E9A">
        <w:trPr>
          <w:trHeight w:val="888"/>
          <w:tblHeader/>
        </w:trPr>
        <w:tc>
          <w:tcPr>
            <w:tcW w:w="5353" w:type="dxa"/>
            <w:shd w:val="clear" w:color="auto" w:fill="auto"/>
            <w:vAlign w:val="center"/>
          </w:tcPr>
          <w:p w:rsidR="00DF7329" w:rsidRPr="00160D73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F7329" w:rsidRPr="00160D73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Сумма, тыс.рублей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F7329" w:rsidRPr="00160D73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субъектов малого и среднего предпринимательства</w:t>
            </w:r>
          </w:p>
        </w:tc>
      </w:tr>
      <w:tr w:rsidR="00DF7329" w:rsidRPr="008A703F" w:rsidTr="00283E9A">
        <w:trPr>
          <w:trHeight w:val="470"/>
        </w:trPr>
        <w:tc>
          <w:tcPr>
            <w:tcW w:w="5353" w:type="dxa"/>
            <w:shd w:val="clear" w:color="auto" w:fill="auto"/>
            <w:vAlign w:val="center"/>
          </w:tcPr>
          <w:p w:rsidR="00DF7329" w:rsidRPr="008A703F" w:rsidRDefault="00DF7329" w:rsidP="00283E9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1.Программа «Компенсация банковской части затрат по оплате за обучение сотрудников»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110,9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DF7329" w:rsidRPr="008A703F" w:rsidTr="00283E9A">
        <w:trPr>
          <w:trHeight w:val="470"/>
        </w:trPr>
        <w:tc>
          <w:tcPr>
            <w:tcW w:w="5353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Программа «Компенсация банковской процентной ставки»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F7329" w:rsidRPr="008A703F" w:rsidTr="00283E9A">
        <w:trPr>
          <w:trHeight w:val="470"/>
        </w:trPr>
        <w:tc>
          <w:tcPr>
            <w:tcW w:w="5353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Программа «Предоставление поручительств Фонда поддержки предпринимательства Югры»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37073,98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F7329" w:rsidRPr="008A703F" w:rsidTr="00283E9A">
        <w:trPr>
          <w:trHeight w:val="235"/>
        </w:trPr>
        <w:tc>
          <w:tcPr>
            <w:tcW w:w="5353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Программа «Микрофинансирование»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1540,0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F7329" w:rsidRPr="008A703F" w:rsidTr="00283E9A">
        <w:trPr>
          <w:trHeight w:val="235"/>
        </w:trPr>
        <w:tc>
          <w:tcPr>
            <w:tcW w:w="5353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5.Гранты от Фонда Поддержки Предпринимательства Югры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900,0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F7329" w:rsidRPr="008A703F" w:rsidRDefault="00DF7329" w:rsidP="00283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за отчетный период ООО «Окружной Бизнес-Инкубатор» проведено 308 консультаций с представителями малого и среднего бизнеса,  организовано 5 обучающих семинаров, 3 круглых стола, информационных встреч в рамках мероприятий по стимулированию молодежного предпринимательства, согласовано  47 бизнес-планов для центра занятости, зарегистрировано 9 субъектов малого и среднего предпринимательства, из них молодежь до 30 лет - 7. На базе муниципального общеобразовательного учреждения №5 «Гимназия» был реализован проект для школьников по основам предпринимательской деятельности профориентационные курсы «Азбука Бизнеса».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В 2013 году на территории городского округа город Мегион субъектами малого и среднего предпринимательства, получивших поддержку в организациях, образующих инфраструктуру поддержки, создано 83 рабочих места (в 2012 году – 72).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мае 2014 года на территории городского округа город Мегион открыт частный детский сад. Детский сад «Планета» стал первым в Ханты-Мансийском автономном округе - Югре частным дошкольным учреждением, получившим право оказывать образовательные услуги. </w:t>
      </w:r>
    </w:p>
    <w:p w:rsidR="00DF7329" w:rsidRPr="008A703F" w:rsidRDefault="00DF7329" w:rsidP="00DF7329">
      <w:pPr>
        <w:pStyle w:val="a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8A703F">
        <w:rPr>
          <w:color w:val="000000" w:themeColor="text1"/>
        </w:rPr>
        <w:t xml:space="preserve">Служба по контролю и надзору в сфере образования ХМАО – Югры выдала соответствующую лицензию мегионскому детскому саду. </w:t>
      </w:r>
    </w:p>
    <w:p w:rsidR="00DF7329" w:rsidRPr="008A703F" w:rsidRDefault="00DF7329" w:rsidP="00DF7329">
      <w:pPr>
        <w:pStyle w:val="a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8A703F">
        <w:rPr>
          <w:color w:val="000000" w:themeColor="text1"/>
        </w:rPr>
        <w:t xml:space="preserve">Центр развития детей расположен в просторном помещении на 350 кв.м., которое  оборудовано спальными и игровыми комнатами, музыкальным залом, медицинским кабинетом. Сегодня «Планету» посещают 60 детей в возрасте от 2-х до 3,5 лет. Услуги по присмотру и уходу оказывают шесть квалифицированных педагогов. </w:t>
      </w:r>
    </w:p>
    <w:p w:rsidR="00DF7329" w:rsidRPr="008A703F" w:rsidRDefault="00DF7329" w:rsidP="00DF7329">
      <w:pPr>
        <w:pStyle w:val="a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8A703F">
        <w:rPr>
          <w:color w:val="000000" w:themeColor="text1"/>
        </w:rPr>
        <w:t>С получением лицензии на оказание образовательных услуг штат дошкольного учреждения планируется расширить – в детском саду начнет работать логопед, психолог, музыкальный руководитель и инструктор по физической культуре.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01.01.2014 14 субъектам малого и среднего предпринимательства оказана имущественная поддержка по аренде муниципального  имущества.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разработки мероприятий, способствующих развитию предпринимательства, проведено 3 заседания Экспертно-консультационного совета по развитию малого и среднего </w:t>
      </w: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бизнеса. На заседаниях Совета рассматривались вопросы, касающиеся деятельности субъектов малого и среднего предпринимательства, осуществляющих деятельность на территории городского округа город Мегион.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в сфере малого и среднего предпринимательства на территории городского округа город Мегион является реализация целевой программы «Поддержка  и развитие малого и среднего предпринимательства на территории городского округа город Мегион на 2011-2015 годы». В рамках данной Программы в 2013 году получил финансовую поддержку 21 субъект малого и среднего предпринимательства, осуществляющие деятельность в приоритетных направлениях на сумму 2,6 млн.рублей. В течение отчетного периода были предоставлены новые виды финансовой поддержки, в том числе 4 субъектам малого и среднего предпринимательства, осуществляющих деятельность в сфере социального предпринимательства и начинающим предпринимателям. На конкурсной основе оказана помощь в виде грантовой поддержки на сумме 1,2 млн.рублей. Кроме того, в рамках программы были выполнены мероприятия, направленные на развитие молодежного предпринимательства, семейного бизнеса.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в сфере малого и среднего предпринимательства на территории городского округа город Мегион являются: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1.Увеличение числа субъектов малого и среднего предпринимательства, количества индивидуальных предпринимателей.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2.Создание условий для обеспеченности горожан услугами общественного питания, бытового обслуживания.</w:t>
      </w:r>
    </w:p>
    <w:p w:rsidR="00DF7329" w:rsidRPr="008A703F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03F">
        <w:rPr>
          <w:rFonts w:ascii="Times New Roman" w:hAnsi="Times New Roman" w:cs="Times New Roman"/>
          <w:color w:val="000000" w:themeColor="text1"/>
          <w:sz w:val="24"/>
          <w:szCs w:val="24"/>
        </w:rPr>
        <w:t>3.Реализация муниципальной программы поддержки  предпринимательства.</w:t>
      </w:r>
    </w:p>
    <w:p w:rsidR="00C55513" w:rsidRDefault="00C55513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13" w:rsidRDefault="00C55513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D81E32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32">
        <w:rPr>
          <w:rFonts w:ascii="Times New Roman" w:hAnsi="Times New Roman" w:cs="Times New Roman"/>
          <w:b/>
          <w:sz w:val="24"/>
          <w:szCs w:val="24"/>
        </w:rPr>
        <w:t>Инвестиции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строительство</w:t>
      </w:r>
    </w:p>
    <w:p w:rsidR="00DF7329" w:rsidRPr="008E3FCB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7329" w:rsidRPr="00BC3268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C326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Инвестиции</w:t>
      </w:r>
    </w:p>
    <w:p w:rsidR="00DF7329" w:rsidRPr="00667BCF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67B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Привлечение инвестиций в экономику города является одной из наиболее важных задач, стоящих перед администрацией города Мегиона, решение которой возможно путем формирования целенаправленной и комплексной инвестиционной политики.</w:t>
      </w:r>
    </w:p>
    <w:p w:rsidR="00DF7329" w:rsidRPr="00CE58F6" w:rsidRDefault="00DF7329" w:rsidP="00DF7329">
      <w:pPr>
        <w:shd w:val="clear" w:color="auto" w:fill="FFFFFF"/>
        <w:tabs>
          <w:tab w:val="left" w:pos="42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инвестиций для городского округа город Мегион являются  капитальные вложения - затраты</w:t>
      </w:r>
      <w:r w:rsidRPr="00CE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новое строительство, расширение, реконструкцию и техническое перевооружение действующих объектов, приобретение оборудования.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BCF">
        <w:rPr>
          <w:rFonts w:ascii="Times New Roman" w:hAnsi="Times New Roman" w:cs="Times New Roman"/>
          <w:sz w:val="24"/>
          <w:szCs w:val="24"/>
        </w:rPr>
        <w:t>За 2013 год инвестиционные ресурсы крупными и средними организациями в основном направлялись на приобретение, монтаж и установку машин и оборудования – 33,2%, а также на строительство зданий (кроме жилых) и сооружений – 10,3%.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BCF">
        <w:rPr>
          <w:rFonts w:ascii="Times New Roman" w:hAnsi="Times New Roman" w:cs="Times New Roman"/>
          <w:sz w:val="24"/>
          <w:szCs w:val="24"/>
        </w:rPr>
        <w:t>По итогам 2013 года на территории города рост инвестиционной активности наблюдается в таких отраслях, как «Добыча полезных ископаемых», «Строительство», «Транспорт и связь», «Операции с недвижимым имуществом, аренда и предоставление услуг», «Государственное управление».</w:t>
      </w:r>
    </w:p>
    <w:p w:rsidR="00DF7329" w:rsidRDefault="00DF7329" w:rsidP="00DF7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BCF">
        <w:rPr>
          <w:rFonts w:ascii="Times New Roman" w:hAnsi="Times New Roman" w:cs="Times New Roman"/>
          <w:sz w:val="24"/>
          <w:szCs w:val="24"/>
        </w:rPr>
        <w:t>Однако отмечено и сокращение инвестирования в основной капитал организаций некоторых видов экономической деятельности.</w:t>
      </w:r>
      <w:r w:rsidRPr="00667BC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67BCF">
        <w:rPr>
          <w:rFonts w:ascii="Times New Roman" w:hAnsi="Times New Roman" w:cs="Times New Roman"/>
          <w:sz w:val="24"/>
          <w:szCs w:val="24"/>
        </w:rPr>
        <w:t>В сравнении с 2012 годом  в 2013 году произошло снижение объема капиталовложений в отрасли «Обрабатывающие производства», «Производство, передача и распределение электроэнергии газа, пара и горячей воды», «Оптовая и розничная торговля», «Гостиницы и рестораны», «Финансовая деятельность», «Образование»,  «Здравоохранение и предоставление социальных услуг», «Предоставление прочих коммунальных, социальных и персональных услуг».</w:t>
      </w:r>
    </w:p>
    <w:p w:rsidR="00DF7329" w:rsidRPr="00667BCF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источником инвестиций в основной капитал являются собственные средства </w:t>
      </w:r>
      <w:r w:rsidRPr="0066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предприятий. </w:t>
      </w:r>
    </w:p>
    <w:p w:rsidR="00DF7329" w:rsidRPr="00667BCF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BCF">
        <w:rPr>
          <w:rFonts w:ascii="Times New Roman" w:hAnsi="Times New Roman" w:cs="Times New Roman"/>
          <w:sz w:val="24"/>
          <w:szCs w:val="24"/>
        </w:rPr>
        <w:t xml:space="preserve">В 2013 году крупные и средние предприятия города все активнее </w:t>
      </w:r>
      <w:r w:rsidR="00E82480">
        <w:rPr>
          <w:rFonts w:ascii="Times New Roman" w:hAnsi="Times New Roman" w:cs="Times New Roman"/>
          <w:sz w:val="24"/>
          <w:szCs w:val="24"/>
        </w:rPr>
        <w:t>осуществляли</w:t>
      </w:r>
      <w:r w:rsidRPr="00667BCF">
        <w:rPr>
          <w:rFonts w:ascii="Times New Roman" w:hAnsi="Times New Roman" w:cs="Times New Roman"/>
          <w:sz w:val="24"/>
          <w:szCs w:val="24"/>
        </w:rPr>
        <w:t xml:space="preserve"> свои капиталовложения за счет собственных средств. Их доля увеличилась с 94,6% в 2012 году до </w:t>
      </w:r>
      <w:r w:rsidRPr="00667BCF">
        <w:rPr>
          <w:rFonts w:ascii="Times New Roman" w:hAnsi="Times New Roman" w:cs="Times New Roman"/>
          <w:sz w:val="24"/>
          <w:szCs w:val="24"/>
        </w:rPr>
        <w:lastRenderedPageBreak/>
        <w:t>96,5% в 2013 году. При этом доля привлеченных средств в 2013 году сократилась с 5,4% в 2012 году до 3,5%.</w:t>
      </w:r>
    </w:p>
    <w:p w:rsidR="00DF7329" w:rsidRPr="00960E94" w:rsidRDefault="00DF7329" w:rsidP="00DF7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67B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Увеличилась доля инвестиций, направляемых из прибыли организаций (с 12,3% в 2012 году до 44,2% в 2013 году). В структуре привлеченных средств финансирования инвестиций в основной капитал наблюдается рост вложений банковских кредитов: в 2012 году доля кредитов банков составила 0,1% общего объема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инвестиций, в 2013 году – 0,7%.</w:t>
      </w:r>
    </w:p>
    <w:p w:rsidR="00DF7329" w:rsidRPr="00667BCF" w:rsidRDefault="00DF7329" w:rsidP="00DF7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CF">
        <w:rPr>
          <w:rFonts w:ascii="Times New Roman" w:eastAsia="Calibri" w:hAnsi="Times New Roman" w:cs="Times New Roman"/>
          <w:sz w:val="24"/>
          <w:szCs w:val="24"/>
        </w:rPr>
        <w:t>Вложения в основной капитал за счет привлеченных средств в 2013 году в большей степени профинансированы за счет бюджетных средств. Ими в 2013 году обеспечено 70,4% привлеченных средств.</w:t>
      </w:r>
    </w:p>
    <w:p w:rsidR="00DF7329" w:rsidRPr="00667BCF" w:rsidRDefault="00DF7329" w:rsidP="00DF73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BCF">
        <w:rPr>
          <w:rFonts w:ascii="Times New Roman" w:hAnsi="Times New Roman" w:cs="Times New Roman"/>
          <w:sz w:val="24"/>
          <w:szCs w:val="24"/>
        </w:rPr>
        <w:t>На территории городского округа город Мегион осуществляется реализация инвестиционной программы по строительству новых электросетевых объектов, рассчитанная до 2015 года. Инвестиционная программа компании ОАО «ЮТЭК-РС» начала действовать с начала 2012 года. Инвестором ведётся работа по проектированию и строительству электросетевых объектов, что позволит создать условия для строительства новых домов, объектов инфраструктуры и социального назначения на территории города.</w:t>
      </w:r>
    </w:p>
    <w:p w:rsidR="00DF7329" w:rsidRPr="00667BCF" w:rsidRDefault="00DF7329" w:rsidP="00DF73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BCF">
        <w:rPr>
          <w:rFonts w:ascii="Times New Roman" w:hAnsi="Times New Roman" w:cs="Times New Roman"/>
          <w:sz w:val="24"/>
          <w:szCs w:val="24"/>
        </w:rPr>
        <w:t>В 2013 году в пгт Высокий в рамках реализации данной инвестиционной программы началось строительство новой подстанции ПС 35/10 кВ взамен физически и морально устаревшей. Данный объект позволит не только повысить надежность и качество электроснабжения, но и откроет новые перспективы развития поселка. Ввод новой подстанции запланирован на 2014 год.</w:t>
      </w:r>
    </w:p>
    <w:p w:rsidR="00DF7329" w:rsidRDefault="00DF7329" w:rsidP="00DF73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BCF">
        <w:rPr>
          <w:rFonts w:ascii="Times New Roman" w:hAnsi="Times New Roman" w:cs="Times New Roman"/>
          <w:sz w:val="24"/>
          <w:szCs w:val="24"/>
        </w:rPr>
        <w:t>Кроме того, в 2013 году по инвестиционной программе ОАО «ЮТЭК-РС» завершено строительство распределительной подстанции РП 6 кВ в 15 микрорайоне, выполнены работы по строительству сетей внешнего электроснабжения строящегося жилого дома в 4 микрорайоне города.</w:t>
      </w:r>
    </w:p>
    <w:p w:rsidR="00DF7329" w:rsidRPr="00667BCF" w:rsidRDefault="00DF7329" w:rsidP="00DF732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E824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-2017 годах в экономике города прогнозируется некоторый спад инвестиционной активности по сравнению с 2013 годом, который был отмечен резким увеличением общего объема инвестиций.</w:t>
      </w:r>
    </w:p>
    <w:p w:rsidR="00DF7329" w:rsidRPr="00C52E1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оценке в 2014 году ожидается снижение объема инвестиций в основной капитала счет всех источников финансирования к уровню 2013 года в размере 97,6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в сопоставимых ценах, в 2015 году – 102,4%, в 2016 году – 101,6%, в 2017 года – 104,7%.</w:t>
      </w:r>
    </w:p>
    <w:p w:rsidR="00DF7329" w:rsidRPr="00C52E1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источником инвестиций в основной капитал являются собственные средства предприятий, доля которых в оценочном периоде составит 94,5% от общего объема инвестиций по крупным и средним предприятиям. В прогнозном периоде доля собственных средств в структуре инвестиций в основной капитал по крупным и средним предприятиям города по второму варианту составит в 2015 году – 94,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52E13">
        <w:rPr>
          <w:rFonts w:ascii="Times New Roman" w:eastAsia="Times New Roman" w:hAnsi="Times New Roman" w:cs="Times New Roman"/>
          <w:sz w:val="24"/>
          <w:szCs w:val="24"/>
          <w:lang w:eastAsia="ru-RU"/>
        </w:rPr>
        <w:t>%, в 2016 году – 94,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2E13">
        <w:rPr>
          <w:rFonts w:ascii="Times New Roman" w:eastAsia="Times New Roman" w:hAnsi="Times New Roman" w:cs="Times New Roman"/>
          <w:sz w:val="24"/>
          <w:szCs w:val="24"/>
          <w:lang w:eastAsia="ru-RU"/>
        </w:rPr>
        <w:t>%, в 2017 году – 94,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</w:t>
      </w:r>
    </w:p>
    <w:p w:rsidR="00DF7329" w:rsidRPr="00C52E1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привлеченных средств наибольшую долю будут занимать бюджетные средства – 98,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2E1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F7329" w:rsidRPr="00C52E1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1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инвестиции в оценочном и прогнозном периоде будут направлены на развитие социальной инфраструктуры города. В рамках реализации региональных целевых программ продолжится модернизация и строительство объектов жилого фонда, здравоохранения, образования, коммунального хозяйства, культуры и спорта.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Инвестиционную политику в прогнозном периоде будет определять развитие нефтяной отрасли. Основным источником развития социальной инфраструктуры города будет являться бюджетное финансирование. Продолжится модернизация и строительство объектов жилого фонда, здравоохранения, образования, коммунального хозяйства, культуры и спорта.</w:t>
      </w:r>
    </w:p>
    <w:p w:rsidR="00DF7329" w:rsidRPr="00CE58F6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прогнозируемом периоде в отраслевой структуре инвестиций каких-либо значительных изменений не произойдёт. Основная доля инвестиций по-прежнему будет приходиться на такие отрасли, как промышленность (добыча полезных ископаемых) и операции с недвижимым имуществом, аренда и предоставление услуг.</w:t>
      </w:r>
    </w:p>
    <w:p w:rsidR="00DF7329" w:rsidRPr="00CE58F6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По-прежнему наибольший объём инвестиций в основной капитал для реализации инвестиционных проектов будет направляться предприятиями нефтегазовой отрасли.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Прогнозируемому увеличению объема инвестиций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58F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E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будет способствовать реализация на территории городского округа город Мегион Адресной инвестиционной программы Ханты-Мансийского автономного округа – Югры. </w:t>
      </w:r>
    </w:p>
    <w:p w:rsidR="00DF7329" w:rsidRDefault="00E82480" w:rsidP="00E8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благоприятного инвестиционного климата на официальном сайте администрации города Мегиона в сети «Интернет» для инвесторов сформирован раздел «Инвестиционная деятельность», где размеще</w:t>
      </w:r>
      <w:r w:rsidR="00DB3E29">
        <w:rPr>
          <w:rFonts w:ascii="Times New Roman" w:eastAsia="Times New Roman" w:hAnsi="Times New Roman" w:cs="Times New Roman"/>
          <w:sz w:val="24"/>
          <w:szCs w:val="24"/>
          <w:lang w:eastAsia="ru-RU"/>
        </w:rPr>
        <w:t>н инвестиционный паспорт городского округа город Мегион на русском и английском языках, инвестиционные проекты, реализуемые на территории городского округа, представлены нормативные правовые акты</w:t>
      </w:r>
      <w:r w:rsidR="00104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программы комплексного развития</w:t>
      </w:r>
      <w:r w:rsidR="00DB3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формы поддержки инвестиционной деятельности, отражена инфраструктура поддержки предпринимательства, работа комиссии по инвестиционной политике.</w:t>
      </w:r>
    </w:p>
    <w:p w:rsidR="00DB3E29" w:rsidRDefault="00DB3E29" w:rsidP="00E82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329" w:rsidRPr="00BC3268" w:rsidRDefault="00DF7329" w:rsidP="00DF73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Строительство</w:t>
      </w:r>
    </w:p>
    <w:p w:rsidR="00DF7329" w:rsidRPr="0025540C" w:rsidRDefault="00DF7329" w:rsidP="00DF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40C">
        <w:rPr>
          <w:rFonts w:ascii="Times New Roman" w:eastAsia="Calibri" w:hAnsi="Times New Roman" w:cs="Times New Roman"/>
          <w:sz w:val="24"/>
          <w:szCs w:val="24"/>
        </w:rPr>
        <w:t xml:space="preserve">Строительный комплекс относится к числу ключевых секторов экономики и во многом определяет решение важнейших задач в сфере социально-экономического развития города. 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Объем выполненных работ по виду экономической деятельности «Строительство» без учета субъектов малого предпринимательства за 2013 год составил 3 322,4 млн.рублей или в сопоставимой оценке 75,3% к аналогичному периоду прошлого года.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2013 году площадь введенного жилья в городе увеличилась по сравнению с 2012 год</w:t>
      </w:r>
      <w:r w:rsidR="00104401">
        <w:rPr>
          <w:rFonts w:ascii="Times New Roman" w:hAnsi="Times New Roman" w:cs="Times New Roman"/>
          <w:sz w:val="24"/>
          <w:szCs w:val="24"/>
        </w:rPr>
        <w:t>ом</w:t>
      </w:r>
      <w:r w:rsidRPr="0025540C">
        <w:rPr>
          <w:rFonts w:ascii="Times New Roman" w:hAnsi="Times New Roman" w:cs="Times New Roman"/>
          <w:sz w:val="24"/>
          <w:szCs w:val="24"/>
        </w:rPr>
        <w:t xml:space="preserve"> на 60,3% и составила 18 007,4 кв.м. Площадь введенного в эксплуатацию индивидуального жилища в отчетном периоде составила 3 295,7 кв.м., или 18,3% общего ввода жилья. </w:t>
      </w:r>
    </w:p>
    <w:p w:rsidR="00DF7329" w:rsidRPr="0025540C" w:rsidRDefault="00DF7329" w:rsidP="00DF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40C">
        <w:rPr>
          <w:rFonts w:ascii="Times New Roman" w:eastAsia="Calibri" w:hAnsi="Times New Roman" w:cs="Times New Roman"/>
          <w:sz w:val="24"/>
          <w:szCs w:val="24"/>
        </w:rPr>
        <w:t xml:space="preserve">В 2013 году на территории городского округа город Мегион введено 81 здание жилого и нежилого назначения, в том числе: </w:t>
      </w:r>
    </w:p>
    <w:p w:rsidR="00DF7329" w:rsidRPr="0025540C" w:rsidRDefault="00DF7329" w:rsidP="00DF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40C">
        <w:rPr>
          <w:rFonts w:ascii="Times New Roman" w:eastAsia="Calibri" w:hAnsi="Times New Roman" w:cs="Times New Roman"/>
          <w:sz w:val="24"/>
          <w:szCs w:val="24"/>
        </w:rPr>
        <w:t>-жилые здания – 30 зданий (в 2011 году – 15 зданий, в 2012 году – 23 здания);</w:t>
      </w:r>
    </w:p>
    <w:p w:rsidR="00DF7329" w:rsidRPr="0025540C" w:rsidRDefault="00DF7329" w:rsidP="00DF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40C">
        <w:rPr>
          <w:rFonts w:ascii="Times New Roman" w:eastAsia="Calibri" w:hAnsi="Times New Roman" w:cs="Times New Roman"/>
          <w:sz w:val="24"/>
          <w:szCs w:val="24"/>
        </w:rPr>
        <w:t>-нежилые здания – 51 здание с учетом 39 капитальных гаражей (в 2011 году – 9 зданий, в 2012 году – 9 зданий).</w:t>
      </w:r>
    </w:p>
    <w:p w:rsidR="00DF7329" w:rsidRPr="0025540C" w:rsidRDefault="00DF7329" w:rsidP="00DF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40C">
        <w:rPr>
          <w:rFonts w:ascii="Times New Roman" w:eastAsia="Calibri" w:hAnsi="Times New Roman" w:cs="Times New Roman"/>
          <w:sz w:val="24"/>
          <w:szCs w:val="24"/>
        </w:rPr>
        <w:t>За январь-декабрь 2013 год объем ввода в действие зданий жилого назначения увеличился по сравнению с 2012 годом в 1,6 раз и составил 18 007,4 кв. м.</w:t>
      </w:r>
    </w:p>
    <w:p w:rsidR="00DF7329" w:rsidRPr="002A6488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сфере индивидуального жилищного строительства на территории городского округа город Мегион наблюдается отрицательная динамика. За 2013 год  силами индивидуальных застройщиков построено 19 жилых домов общей площадью 3 296,0 кв. м, что на 21,3% меньше, чем в 2012 году. Доля индивидуального жилищного строительства в 2013 году составила 18,3% от общего объема ввода жилья, тогда как в 2011 год</w:t>
      </w:r>
      <w:r>
        <w:rPr>
          <w:rFonts w:ascii="Times New Roman" w:hAnsi="Times New Roman" w:cs="Times New Roman"/>
          <w:sz w:val="24"/>
          <w:szCs w:val="24"/>
        </w:rPr>
        <w:t>у – 35,7%, в 2012 году – 37,3%.</w:t>
      </w:r>
    </w:p>
    <w:p w:rsidR="00DF7329" w:rsidRPr="0025540C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в 2014 году объем работ, выполненных по виду деятельности «Строительство» </w:t>
      </w:r>
      <w:r w:rsidRPr="004D4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5 012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или </w:t>
      </w:r>
      <w:r w:rsidRPr="004D42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96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сопоставимых ценах к уровню 2013 года. </w:t>
      </w:r>
    </w:p>
    <w:p w:rsidR="00DF7329" w:rsidRPr="00E40DF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F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по 1 варианту развития рассматривается увеличение объемов</w:t>
      </w:r>
      <w:r w:rsidRPr="00E40DFD">
        <w:rPr>
          <w:rFonts w:ascii="Calibri" w:eastAsia="Calibri" w:hAnsi="Calibri" w:cs="Times New Roman"/>
        </w:rPr>
        <w:t xml:space="preserve"> </w:t>
      </w:r>
      <w:r w:rsidRPr="00E40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выполненных по виду деятельности «Строительство» на 2,1% в сопоставимых ценах.  В 2016 году темп роста</w:t>
      </w:r>
      <w:r w:rsidRPr="00E40DFD">
        <w:rPr>
          <w:rFonts w:ascii="Calibri" w:eastAsia="Calibri" w:hAnsi="Calibri" w:cs="Times New Roman"/>
        </w:rPr>
        <w:t xml:space="preserve"> </w:t>
      </w:r>
      <w:r w:rsidRPr="00E4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объемов работ, выполненных по виду деятельности «Строительство» в сопоставимых ценах составит 103,0%, в  2017 году – 103,3%. </w:t>
      </w:r>
    </w:p>
    <w:p w:rsidR="00DF7329" w:rsidRPr="00E40DFD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варианту, при более благоприятном развитии экономической ситуации, увеличение темпов объемов работ, выполненных по виду деятельности «Строительство» в 2015 году прогнозируется на уровне 105,9%, в 2015 году на уровне – 101,3%, в 2016 году – 104,2%. </w:t>
      </w:r>
    </w:p>
    <w:p w:rsidR="00DF7329" w:rsidRPr="0025540C" w:rsidRDefault="00DF7329" w:rsidP="00DF7329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Pr="006F58D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ктивному росту объемов строительства будет способствовать жилищное строительство и объектов социальной сферы.</w:t>
      </w:r>
    </w:p>
    <w:p w:rsidR="00DF7329" w:rsidRPr="0025540C" w:rsidRDefault="00DF7329" w:rsidP="00DF7329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Реализация жилищной политики на территории городского округа город Мегион осуществляется в рамках приоритетного национального проекта «Доступное и комфортное жилье – гражданам России».</w:t>
      </w:r>
    </w:p>
    <w:p w:rsidR="00DF7329" w:rsidRPr="0025540C" w:rsidRDefault="00DF7329" w:rsidP="00DF7329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60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оценке в 2014 году ожидаемый ввод жилья за счет всех источников финансирования определен в объеме </w:t>
      </w:r>
      <w:r w:rsidRPr="004D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20,4 </w:t>
      </w: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кв. м общей площади жилых домов.</w:t>
      </w:r>
    </w:p>
    <w:p w:rsidR="00DF7329" w:rsidRPr="0025540C" w:rsidRDefault="00DF7329" w:rsidP="00DF7329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D4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прогнозном периоде объем введенного жилья  увеличится с 20,4 тыс. кв.м в 2014 году  до 24,9 тыс. кв.м в 2017 году.</w:t>
      </w:r>
    </w:p>
    <w:p w:rsidR="00DF7329" w:rsidRPr="0025540C" w:rsidRDefault="00DF7329" w:rsidP="00DF7329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за период 2014-2017 годы ожидается построить</w:t>
      </w:r>
      <w:r w:rsidRPr="00AA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91,9</w:t>
      </w:r>
      <w:r w:rsidRPr="00705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кв. метров жилья. </w:t>
      </w:r>
    </w:p>
    <w:p w:rsidR="00DF7329" w:rsidRPr="00960E94" w:rsidRDefault="00DF7329" w:rsidP="00DF7329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0E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прогнозном периоде ежегодный ввод индивидуальных жилых домов составит 500,0 кв.м. </w:t>
      </w:r>
    </w:p>
    <w:p w:rsidR="00DF7329" w:rsidRPr="00CE58F6" w:rsidRDefault="00DF7329" w:rsidP="00DF7329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8D2">
        <w:rPr>
          <w:rFonts w:ascii="Times New Roman" w:eastAsia="Times New Roman" w:hAnsi="Times New Roman" w:cs="Times New Roman"/>
          <w:sz w:val="24"/>
          <w:szCs w:val="20"/>
          <w:lang w:eastAsia="ru-RU"/>
        </w:rPr>
        <w:t>Основными источниками строительства жилья являются средства частных компаний и средства окружного бюджета.</w:t>
      </w:r>
      <w:r w:rsidRPr="00CE58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F7329" w:rsidRPr="00CE58F6" w:rsidRDefault="00DF7329" w:rsidP="00DF7329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 объёмов жилищного строительства в прогнозном периоде на территории города будет способствовать реализация жилищных программ Ханты-Мансийского автономного округа «Улучшение жилищных условий населения Ханты-Мансийского автономного округа – Югры» на 2011-2013 годы и на период до 2015 года, а также «Содействие развитию жилищного строительства на 2011-2013 годы и на период до 2015 года».</w:t>
      </w:r>
    </w:p>
    <w:p w:rsidR="00DF7329" w:rsidRPr="00CE58F6" w:rsidRDefault="00DF7329" w:rsidP="00DF7329">
      <w:pPr>
        <w:tabs>
          <w:tab w:val="left" w:pos="-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Приоритетное значение в городе также придается строительству и вводу объектов социальной сферы. 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2013 году на территории городского округа введено в действие пять социальных объектов: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-детский сад «Умка» на 200 мест;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-детский сад «Рябинка» на 150 мест;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-инфекционный корпус на 40 коек;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-спортивный комплекс «Олимп» - 2 473,8 кв.м, 48 чел/смену;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-дом культуры «Сибирь» - 196 мест.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Детский сад «Умка» возведен по окружной программе «Новая школа Югры на 2011-2013 годы» и межрегиональной программе «Сотрудничество» на средства ОАО «ДСК «Автобан». Это первый детский сад в Ханты-Мансийском автономном округе - Югре, построенный по программе государственно – частного партнёрства. Дошкольное учреждение рассчитано на 200 мест, оно полностью укомплектовано мебелью и современным оборудованием, на первом этаже обустроены тёплые полы, имеется бассейн.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настоящее время по программе государственно – частного партнёрства начато возведение еще двух детских садов: на 260 мест - в 11 микрорайоне и на 320 мест – в 19 микрорайоне. Их застройщиком также выступит ОАО «ДСК «Автобан».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После капитального ремонта введен в действие детский сад «Рябинка» на 150 мест.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 xml:space="preserve">Инфекционный корпус на 40 коек </w:t>
      </w:r>
      <w:r w:rsidRPr="0025540C">
        <w:rPr>
          <w:rFonts w:ascii="Times New Roman" w:hAnsi="Times New Roman" w:cs="Times New Roman"/>
          <w:iCs/>
          <w:sz w:val="24"/>
          <w:szCs w:val="24"/>
        </w:rPr>
        <w:t xml:space="preserve">был включён в проект программы Всероссийской политической партии «Единая Россия» - «Качество жизни. Здоровье». На завершающем этапе основное финансирование работ велось в рамках окружной программы «Современное здравоохранение Югры на 2011-2013 годы и на период до 2015 года». </w:t>
      </w:r>
      <w:r w:rsidRPr="0025540C">
        <w:rPr>
          <w:rFonts w:ascii="Times New Roman" w:hAnsi="Times New Roman" w:cs="Times New Roman"/>
          <w:sz w:val="24"/>
          <w:szCs w:val="24"/>
        </w:rPr>
        <w:t>Отделение укомплектовано новейшим оборудованием. Кроме того, в новом здании разместились бактериологическая и иммунологическая лаборатории, все боксы изолированы.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 xml:space="preserve">В 2013 году начаты строительно-монтажные работы по детскому саду «Теремок», срок окончания работ –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25540C">
        <w:rPr>
          <w:rFonts w:ascii="Times New Roman" w:hAnsi="Times New Roman" w:cs="Times New Roman"/>
          <w:sz w:val="24"/>
          <w:szCs w:val="24"/>
        </w:rPr>
        <w:t xml:space="preserve"> 2014 года. 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течение отчетного года велось строительство спортивного центра с универсальным игровым залом и плоскостными спортивными сооружениями. Готовность объекта – 28</w:t>
      </w:r>
      <w:r w:rsidR="00104401">
        <w:rPr>
          <w:rFonts w:ascii="Times New Roman" w:hAnsi="Times New Roman" w:cs="Times New Roman"/>
          <w:sz w:val="24"/>
          <w:szCs w:val="24"/>
        </w:rPr>
        <w:t>,0</w:t>
      </w:r>
      <w:r w:rsidRPr="0025540C">
        <w:rPr>
          <w:rFonts w:ascii="Times New Roman" w:hAnsi="Times New Roman" w:cs="Times New Roman"/>
          <w:sz w:val="24"/>
          <w:szCs w:val="24"/>
        </w:rPr>
        <w:t xml:space="preserve">%. В настоящее время данный объект находится на консервации. Решение о приостановлении строительства объекта принято в связи с необходимостью корректировки проектной документации. Кроме того, необходимо подготовить территорию для строительства, обеспечить площадку строительства подъездными путями и магистральными сетями </w:t>
      </w:r>
      <w:r w:rsidRPr="0025540C">
        <w:rPr>
          <w:rFonts w:ascii="Times New Roman" w:hAnsi="Times New Roman" w:cs="Times New Roman"/>
          <w:sz w:val="24"/>
          <w:szCs w:val="24"/>
        </w:rPr>
        <w:lastRenderedPageBreak/>
        <w:t>ливневой канализации. В 2013 году произведен возврат денежных средств в бюджет автономного округа в сумме 42,9 млн.рублей.</w:t>
      </w:r>
    </w:p>
    <w:p w:rsidR="00DF7329" w:rsidRPr="0025540C" w:rsidRDefault="00104401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Начато строительство физкультурно-спортивного центра с ледовой ареной</w:t>
      </w:r>
      <w:r w:rsidR="00DF7329" w:rsidRPr="0025540C">
        <w:rPr>
          <w:rFonts w:ascii="Times New Roman" w:hAnsi="Times New Roman" w:cs="Times New Roman"/>
          <w:iCs/>
          <w:sz w:val="24"/>
          <w:szCs w:val="24"/>
        </w:rPr>
        <w:t xml:space="preserve">, заключен муниципальный контракт с ОАО «ДСК «Автобан». Готовность объекта составляет </w:t>
      </w:r>
      <w:r>
        <w:rPr>
          <w:rFonts w:ascii="Times New Roman" w:hAnsi="Times New Roman" w:cs="Times New Roman"/>
          <w:iCs/>
          <w:sz w:val="24"/>
          <w:szCs w:val="24"/>
        </w:rPr>
        <w:t>25,0</w:t>
      </w:r>
      <w:r w:rsidR="00DF7329" w:rsidRPr="0025540C">
        <w:rPr>
          <w:rFonts w:ascii="Times New Roman" w:hAnsi="Times New Roman" w:cs="Times New Roman"/>
          <w:iCs/>
          <w:sz w:val="24"/>
          <w:szCs w:val="24"/>
        </w:rPr>
        <w:t>%.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феврале 2013 года заключен муниципальный контракт на выполнение проектно-изыскательских работ по объекту «Школа на 300 учащихся». В настоящее время ведутся работы по подготовке проектно-сметной документации.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рамках программы «Модернизация и реформирование жилищно-коммунального комплекса Ханты-Мансийского автономного округа – Югры на 2011-2013 годы и на период до 2015 года» завершено строительство локальных водоочистных сооружений в 28-29 микрорайонах.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 xml:space="preserve">Закончен </w:t>
      </w:r>
      <w:r w:rsidRPr="002554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40C">
        <w:rPr>
          <w:rFonts w:ascii="Times New Roman" w:hAnsi="Times New Roman" w:cs="Times New Roman"/>
          <w:sz w:val="24"/>
          <w:szCs w:val="24"/>
        </w:rPr>
        <w:t xml:space="preserve">-й этап строительства участка тепловых сетей 2д700 мм и водоводом от котельной «Южная» до проспекта Победы, с ответвлением 2д600 мм с водоводом по проспекту Победы до УТ 4-1 с отпайкой на ЦТП-15, ответвление 2д700 мм с водоводом от проспекта Победы по ул.Сутормина до УТ-7-1. На стадии завершения </w:t>
      </w:r>
      <w:r w:rsidRPr="002554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540C">
        <w:rPr>
          <w:rFonts w:ascii="Times New Roman" w:hAnsi="Times New Roman" w:cs="Times New Roman"/>
          <w:sz w:val="24"/>
          <w:szCs w:val="24"/>
        </w:rPr>
        <w:t>-й этап строительства – 9</w:t>
      </w:r>
      <w:r w:rsidR="00104401">
        <w:rPr>
          <w:rFonts w:ascii="Times New Roman" w:hAnsi="Times New Roman" w:cs="Times New Roman"/>
          <w:sz w:val="24"/>
          <w:szCs w:val="24"/>
        </w:rPr>
        <w:t>8,0</w:t>
      </w:r>
      <w:r w:rsidRPr="0025540C">
        <w:rPr>
          <w:rFonts w:ascii="Times New Roman" w:hAnsi="Times New Roman" w:cs="Times New Roman"/>
          <w:sz w:val="24"/>
          <w:szCs w:val="24"/>
        </w:rPr>
        <w:t xml:space="preserve">%, готовность </w:t>
      </w:r>
      <w:r w:rsidRPr="002554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5540C">
        <w:rPr>
          <w:rFonts w:ascii="Times New Roman" w:hAnsi="Times New Roman" w:cs="Times New Roman"/>
          <w:sz w:val="24"/>
          <w:szCs w:val="24"/>
        </w:rPr>
        <w:t>-го этапа строительства составляет 65</w:t>
      </w:r>
      <w:r w:rsidR="00104401">
        <w:rPr>
          <w:rFonts w:ascii="Times New Roman" w:hAnsi="Times New Roman" w:cs="Times New Roman"/>
          <w:sz w:val="24"/>
          <w:szCs w:val="24"/>
        </w:rPr>
        <w:t>,0</w:t>
      </w:r>
      <w:r w:rsidRPr="0025540C">
        <w:rPr>
          <w:rFonts w:ascii="Times New Roman" w:hAnsi="Times New Roman" w:cs="Times New Roman"/>
          <w:sz w:val="24"/>
          <w:szCs w:val="24"/>
        </w:rPr>
        <w:t>%.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связи с разработкой пилотного комплексного проекта системы управления развития территории городского округа город Мегион выполнение проектных работ по объекту «Газификация пгт. Высокого, город Мегион» приостановлено. В сентябре 2013 произведен возврат денежных средств в сумме 787,0 тыс.рублей в бюджет автономного округа.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По объекту «Реконструкция 4-х КНС в поселке Высокий» получено положительное заключение государственной экспертизы проектной документации и заключение о достоверности сметной стоимости объекта.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рамках объекта «Реконструкции дорог по улицам города Мегиона. Улица Губкина» работы находятся в стадии выполнения, выполнена корректировка проекта в части выноса инженерных сетей. Готовность объекта составляет 2</w:t>
      </w:r>
      <w:r w:rsidR="00104401">
        <w:rPr>
          <w:rFonts w:ascii="Times New Roman" w:hAnsi="Times New Roman" w:cs="Times New Roman"/>
          <w:sz w:val="24"/>
          <w:szCs w:val="24"/>
        </w:rPr>
        <w:t>4,0</w:t>
      </w:r>
      <w:r w:rsidRPr="0025540C">
        <w:rPr>
          <w:rFonts w:ascii="Times New Roman" w:hAnsi="Times New Roman" w:cs="Times New Roman"/>
          <w:sz w:val="24"/>
          <w:szCs w:val="24"/>
        </w:rPr>
        <w:t>%.</w:t>
      </w:r>
    </w:p>
    <w:p w:rsidR="00DF7329" w:rsidRPr="0025540C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 xml:space="preserve">При содействии градообразующего предприятия, на территории городского округа город Мегион решаются многие социально значимые вопросы. Так, в конце августа 2013 года сдана в эксплуатацию городская площадь, построенная </w:t>
      </w:r>
      <w:r w:rsidR="00104401">
        <w:rPr>
          <w:rFonts w:ascii="Times New Roman" w:hAnsi="Times New Roman" w:cs="Times New Roman"/>
          <w:sz w:val="24"/>
          <w:szCs w:val="24"/>
        </w:rPr>
        <w:t>с привлечением средств</w:t>
      </w:r>
      <w:r w:rsidRPr="0025540C">
        <w:rPr>
          <w:rFonts w:ascii="Times New Roman" w:hAnsi="Times New Roman" w:cs="Times New Roman"/>
          <w:sz w:val="24"/>
          <w:szCs w:val="24"/>
        </w:rPr>
        <w:t xml:space="preserve"> ОАО «Славнефть-Мегионнефтегаз».</w:t>
      </w: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329" w:rsidRPr="00F54E1C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1C">
        <w:rPr>
          <w:rFonts w:ascii="Times New Roman" w:hAnsi="Times New Roman" w:cs="Times New Roman"/>
          <w:b/>
          <w:sz w:val="24"/>
          <w:szCs w:val="24"/>
        </w:rPr>
        <w:t>Денежные доходы и расходы населения</w:t>
      </w:r>
    </w:p>
    <w:p w:rsidR="00DF7329" w:rsidRDefault="00DF7329" w:rsidP="00DF73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BC3268" w:rsidRDefault="00DF7329" w:rsidP="00DF732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Денежные доходы населения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населения формируются из нескольких источников: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-заработная плата и выплаты социального характера занятого в экономике населения. Их удельный вес в составе всех доходов за 2013 год занимает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3,1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-государственная, негосударственная пенсии, льготы, пособия и другие виды социальных выплат льготной категории населения с удельным весом в общей сумме доходов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12,9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-доходы предпринимателей  с удельным весом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9,8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-доходы, полученные от реализации своих прав на собственность с удельным весом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9,1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включённые в вышеперечисленные виды прочие виды доходов занимают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денежных доходов по источникам их формирования 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-2013 годы</w:t>
      </w:r>
    </w:p>
    <w:p w:rsidR="00DF7329" w:rsidRPr="000A2403" w:rsidRDefault="00DF7329" w:rsidP="00DF73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294"/>
        <w:gridCol w:w="1294"/>
        <w:gridCol w:w="1295"/>
      </w:tblGrid>
      <w:tr w:rsidR="00DF7329" w:rsidRPr="000A2403" w:rsidTr="00283E9A">
        <w:trPr>
          <w:trHeight w:val="121"/>
          <w:tblHeader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%, </w:t>
            </w:r>
          </w:p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к 2012</w:t>
            </w:r>
          </w:p>
        </w:tc>
      </w:tr>
      <w:tr w:rsidR="00DF7329" w:rsidRPr="000A2403" w:rsidTr="00283E9A">
        <w:trPr>
          <w:trHeight w:val="40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занятого в экономике населения с учётом выплат социального характера работающему </w:t>
            </w: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населению, </w:t>
            </w: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14723,8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16008,8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DF7329" w:rsidRPr="000A2403" w:rsidTr="00283E9A">
        <w:trPr>
          <w:trHeight w:val="18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трансферты льготной категории населения, </w:t>
            </w: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2901,2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3284,8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DF7329" w:rsidRPr="000A2403" w:rsidTr="00283E9A">
        <w:trPr>
          <w:trHeight w:val="18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осуществления предпринимательской деятельности, </w:t>
            </w: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2330,6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2479,8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DF7329" w:rsidRPr="000A2403" w:rsidTr="00283E9A">
        <w:trPr>
          <w:trHeight w:val="675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по операциям с собственностью  </w:t>
            </w: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(операции с недвижимостью, дивиденды и другие доходы от операций с   ценными бумагами, доходные проценты по  депозитам)</w:t>
            </w: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2171,9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2302,2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DF7329" w:rsidRPr="000A2403" w:rsidTr="00283E9A">
        <w:trPr>
          <w:trHeight w:val="17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(доходы, получаемые при совершении валютных операций, полученные переводы и другие неучтённые доходы),млн. рублей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1343,1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1303,8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DF7329" w:rsidRPr="000A2403" w:rsidTr="00283E9A">
        <w:trPr>
          <w:trHeight w:val="85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всех доходов, млн. рублей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23470,6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25379,4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108,1</w:t>
            </w:r>
          </w:p>
        </w:tc>
      </w:tr>
      <w:tr w:rsidR="00DF7329" w:rsidRPr="000A2403" w:rsidTr="00283E9A">
        <w:trPr>
          <w:trHeight w:val="78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денежных доходов</w:t>
            </w: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методике статучёта без сумм от операций с собственностью), </w:t>
            </w: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21298,7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23077,2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DF7329" w:rsidRPr="000A2403" w:rsidTr="00283E9A">
        <w:trPr>
          <w:trHeight w:val="337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 1 жителя, рублей в месяц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31907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34492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108,1</w:t>
            </w:r>
          </w:p>
        </w:tc>
      </w:tr>
      <w:tr w:rsidR="00DF7329" w:rsidRPr="000A2403" w:rsidTr="00283E9A">
        <w:trPr>
          <w:trHeight w:val="64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потребительских цен, % 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103,32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106,29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*</w:t>
            </w:r>
          </w:p>
        </w:tc>
      </w:tr>
      <w:tr w:rsidR="00DF7329" w:rsidRPr="000A2403" w:rsidTr="00283E9A">
        <w:trPr>
          <w:trHeight w:val="78"/>
        </w:trPr>
        <w:tc>
          <w:tcPr>
            <w:tcW w:w="585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Располагаемый уровень доходов,</w:t>
            </w:r>
          </w:p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% от номинального уровня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94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295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*</w:t>
            </w:r>
          </w:p>
        </w:tc>
      </w:tr>
    </w:tbl>
    <w:p w:rsidR="00DF7329" w:rsidRPr="000A2403" w:rsidRDefault="00DF7329" w:rsidP="00DF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абсолютного показателя объёмов общих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населения за 2013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 как и усреднённый его показатель составляют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прирост доходов составляет:</w:t>
      </w: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8,7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 фонда оплаты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постепенному повышению уровня заработной платы работникам бюджетной сферы и в отраслях материального производства;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-13,2% социальных трансфертов льготной категории населенияблагодаря планомерной индексации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пенсий, пособий, субсидий и льгот.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6,4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доходов, полученных от предпринимательской деятельности и  6,0% доходов от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прав на собственность;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уровня располагаемого среднедушевого дохода происходит в прямой зависимости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 потребительских цен. 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Откорректированный на региональный уровень инфляции, располагаемый уровень денежных доходов населения за 2013 год составляет 101,7% на фоне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2,8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за 2012 год. </w:t>
      </w: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доходов за 2012 год был обеспечен, низким уровнем инфляции, который составлял всего 103,32% против 106,29% за 2013 год. </w:t>
      </w: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BC326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труда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потребления работающего населения имеет положительную динамику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ind w:left="283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показателей оплаты труда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-2013 годы</w:t>
      </w:r>
    </w:p>
    <w:p w:rsidR="00DF7329" w:rsidRPr="000A2403" w:rsidRDefault="00DF7329" w:rsidP="00DF7329">
      <w:pPr>
        <w:spacing w:after="0" w:line="240" w:lineRule="auto"/>
        <w:ind w:left="283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50"/>
        <w:gridCol w:w="1350"/>
        <w:gridCol w:w="1350"/>
      </w:tblGrid>
      <w:tr w:rsidR="00DF7329" w:rsidRPr="000A2403" w:rsidTr="00283E9A">
        <w:trPr>
          <w:trHeight w:val="589"/>
          <w:tblHeader/>
        </w:trPr>
        <w:tc>
          <w:tcPr>
            <w:tcW w:w="5553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</w:t>
            </w:r>
          </w:p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 к 2012</w:t>
            </w:r>
          </w:p>
        </w:tc>
      </w:tr>
      <w:tr w:rsidR="00DF7329" w:rsidRPr="000A2403" w:rsidTr="00283E9A">
        <w:trPr>
          <w:trHeight w:val="552"/>
        </w:trPr>
        <w:tc>
          <w:tcPr>
            <w:tcW w:w="5553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(с учётом скрытого объёма оплаты труда), </w:t>
            </w: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14286,2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15496,8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DF7329" w:rsidRPr="000A2403" w:rsidTr="00283E9A">
        <w:trPr>
          <w:trHeight w:val="552"/>
        </w:trPr>
        <w:tc>
          <w:tcPr>
            <w:tcW w:w="5553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социального характера, </w:t>
            </w:r>
            <w:r w:rsidRPr="000A240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млн. рублей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DF7329" w:rsidRPr="000A2403" w:rsidTr="00283E9A">
        <w:trPr>
          <w:trHeight w:val="552"/>
        </w:trPr>
        <w:tc>
          <w:tcPr>
            <w:tcW w:w="5553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14723,8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16008,8</w:t>
            </w:r>
          </w:p>
        </w:tc>
        <w:tc>
          <w:tcPr>
            <w:tcW w:w="1350" w:type="dxa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</w:tbl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Статистическое наблюдение показателей по труду ведётся только по крупным и средним предприятиям. Сбор этих же показателей по субъектам малого бизнеса и других 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 хозяйствующих субъектов федеральными формами статистической отчётности не предусмотрен.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Абсолютный и относительный показатели заработной платы приведены по учтённому кругу предприятий, в которых трудом заняты более двух третей всего работающего населения.</w:t>
      </w:r>
    </w:p>
    <w:p w:rsidR="00DF7329" w:rsidRPr="000A2403" w:rsidRDefault="00DF7329" w:rsidP="00DF7329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 работников крупных и средних предприятий городского округа город Мегион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-2013 годы</w:t>
      </w:r>
    </w:p>
    <w:p w:rsidR="00DF7329" w:rsidRPr="000A2403" w:rsidRDefault="00DF7329" w:rsidP="00DF7329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2"/>
        <w:gridCol w:w="1171"/>
        <w:gridCol w:w="1171"/>
        <w:gridCol w:w="1027"/>
      </w:tblGrid>
      <w:tr w:rsidR="00DF7329" w:rsidRPr="000A2403" w:rsidTr="00283E9A">
        <w:trPr>
          <w:trHeight w:val="563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%, </w:t>
            </w:r>
          </w:p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к 2012</w:t>
            </w:r>
          </w:p>
        </w:tc>
      </w:tr>
      <w:tr w:rsidR="00DF7329" w:rsidRPr="000A2403" w:rsidTr="00283E9A">
        <w:trPr>
          <w:trHeight w:val="1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номинальной начисленной среднемесячной заработной платы работников среднесписочного состава крупных и средних предприятий (по данным отдела Госстатистики), </w:t>
            </w:r>
            <w:r w:rsidRPr="000A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рублей на 1 работника в месяц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DF7329" w:rsidRPr="000A2403" w:rsidTr="00283E9A">
        <w:trPr>
          <w:trHeight w:val="3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располагаемой заработной платы, </w:t>
            </w:r>
          </w:p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% к показателю предыдущего года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DF7329" w:rsidRDefault="00DF7329" w:rsidP="00DF7329">
      <w:pPr>
        <w:tabs>
          <w:tab w:val="left" w:pos="28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0A2403" w:rsidRDefault="00DF7329" w:rsidP="00DF7329">
      <w:pPr>
        <w:tabs>
          <w:tab w:val="left" w:pos="28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абсолютной и относительной величин заработной платы по городскому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 город Мегион</w:t>
      </w:r>
    </w:p>
    <w:p w:rsidR="00DF7329" w:rsidRDefault="00DF7329" w:rsidP="00DF7329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7329" w:rsidRPr="000A2403" w:rsidRDefault="00DF7329" w:rsidP="00DF7329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240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на 1 работника в месяц</w:t>
      </w:r>
    </w:p>
    <w:p w:rsidR="00DF7329" w:rsidRPr="000A2403" w:rsidRDefault="00DF7329" w:rsidP="00DF732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FF0000"/>
          <w:sz w:val="4"/>
          <w:szCs w:val="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134"/>
        <w:gridCol w:w="1134"/>
        <w:gridCol w:w="1134"/>
      </w:tblGrid>
      <w:tr w:rsidR="00DF7329" w:rsidRPr="000A2403" w:rsidTr="00283E9A">
        <w:trPr>
          <w:trHeight w:val="242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</w:t>
            </w:r>
          </w:p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к 2012</w:t>
            </w:r>
          </w:p>
        </w:tc>
      </w:tr>
      <w:tr w:rsidR="00DF7329" w:rsidRPr="000A2403" w:rsidTr="00283E9A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по городскому округу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</w:tr>
      <w:tr w:rsidR="00DF7329" w:rsidRPr="000A2403" w:rsidTr="00283E9A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DF7329" w:rsidRPr="000A2403" w:rsidTr="00283E9A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</w:tr>
      <w:tr w:rsidR="00DF7329" w:rsidRPr="000A2403" w:rsidTr="00283E9A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</w:tr>
      <w:tr w:rsidR="00DF7329" w:rsidRPr="000A2403" w:rsidTr="00283E9A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F7329" w:rsidRPr="000A2403" w:rsidTr="00283E9A">
        <w:trPr>
          <w:trHeight w:val="2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0A2403" w:rsidRDefault="00DF7329" w:rsidP="00283E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</w:tr>
    </w:tbl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0A2403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прирост заработной платы, на 19,5%, наблюдается у работников среднесписочного состава основных отраслей социальной сферы, связанный с планомерной индексацией заработной платы в соответствии с указами Президента. </w:t>
      </w:r>
    </w:p>
    <w:p w:rsidR="00DF7329" w:rsidRPr="000A2403" w:rsidRDefault="00DF7329" w:rsidP="00DF7329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BC326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Денежные расходы населения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денежных среднемесячных расходов одного жителя так же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тенденцию к росту, и за 2013 год, увеличиваясь к аналогичному показателю 2012 года на 8%, составил 30703 рубля.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денежных расходов населения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-2013 годы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2403">
        <w:rPr>
          <w:rFonts w:ascii="Times New Roman" w:eastAsia="Times New Roman" w:hAnsi="Times New Roman" w:cs="Times New Roman"/>
          <w:sz w:val="16"/>
          <w:szCs w:val="16"/>
          <w:lang w:eastAsia="ru-RU"/>
        </w:rPr>
        <w:t>млн. рублей</w:t>
      </w:r>
    </w:p>
    <w:tbl>
      <w:tblPr>
        <w:tblW w:w="9665" w:type="dxa"/>
        <w:tblInd w:w="93" w:type="dxa"/>
        <w:tblLook w:val="04A0" w:firstRow="1" w:lastRow="0" w:firstColumn="1" w:lastColumn="0" w:noHBand="0" w:noVBand="1"/>
      </w:tblPr>
      <w:tblGrid>
        <w:gridCol w:w="5409"/>
        <w:gridCol w:w="1418"/>
        <w:gridCol w:w="1419"/>
        <w:gridCol w:w="1419"/>
      </w:tblGrid>
      <w:tr w:rsidR="00DF7329" w:rsidRPr="000A2403" w:rsidTr="00283E9A">
        <w:trPr>
          <w:trHeight w:val="158"/>
          <w:tblHeader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%,                              </w:t>
            </w:r>
            <w:r w:rsidRPr="000A2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 к 2012</w:t>
            </w:r>
          </w:p>
        </w:tc>
      </w:tr>
      <w:tr w:rsidR="00DF7329" w:rsidRPr="000A2403" w:rsidTr="00283E9A">
        <w:trPr>
          <w:trHeight w:val="141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расходы и сбережения населения,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20542,4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DF7329" w:rsidRPr="000A2403" w:rsidTr="00283E9A">
        <w:trPr>
          <w:trHeight w:val="7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7329" w:rsidRPr="000A2403" w:rsidTr="00283E9A">
        <w:trPr>
          <w:trHeight w:val="142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Покупка товаров и оплата услуг,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12307,6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DF7329" w:rsidRPr="000A2403" w:rsidTr="00283E9A">
        <w:trPr>
          <w:trHeight w:val="141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Обязательные платежи и разнообразные взносы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DF7329" w:rsidRPr="000A2403" w:rsidTr="00283E9A">
        <w:trPr>
          <w:trHeight w:val="14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</w:tr>
      <w:tr w:rsidR="00DF7329" w:rsidRPr="000A2403" w:rsidTr="00283E9A">
        <w:trPr>
          <w:trHeight w:val="13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расходов на 1 жителя в месяц, р</w:t>
            </w: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</w:tbl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Постатейный рост расходов за 2013 год выглядит следующим образом: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выросли расходы на покупку товаров и услуг. Основной причиной роста объёма потребительских расходов является увеличение цен на товары и услуги, а также рост доли потребления на фоне роста уровня доходов;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причине роста ставочных величин на 9,5% выросла сумма обязательных платежей и разнообразных взносов;</w:t>
      </w:r>
    </w:p>
    <w:p w:rsidR="00DF7329" w:rsidRPr="000A2403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 выросли на 8,0%. Рост уровня расходов по этой строке обеспечен увеличением суммы расходов на приобретение собственности из-за роста цен на них, на приобретение валюты из-за роста н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оминальной стоимости единицы валюты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 увеличением  объёмов 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вкладах и ценных бумагах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329" w:rsidRPr="000A2403" w:rsidRDefault="00DF7329" w:rsidP="00DF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денежных доходов и расходов населения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-2013 годы</w:t>
      </w:r>
    </w:p>
    <w:p w:rsidR="00DF7329" w:rsidRPr="000A2403" w:rsidRDefault="00DF7329" w:rsidP="00DF7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"/>
          <w:szCs w:val="4"/>
          <w:lang w:eastAsia="ru-RU"/>
        </w:rPr>
      </w:pPr>
    </w:p>
    <w:p w:rsidR="00DF7329" w:rsidRPr="000A2403" w:rsidRDefault="00DF7329" w:rsidP="00DF73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A2403">
        <w:rPr>
          <w:rFonts w:ascii="Times New Roman" w:eastAsia="Times New Roman" w:hAnsi="Times New Roman" w:cs="Times New Roman"/>
          <w:sz w:val="16"/>
          <w:szCs w:val="16"/>
          <w:lang w:eastAsia="ru-RU"/>
        </w:rPr>
        <w:t>млн. рублей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095"/>
        <w:gridCol w:w="1886"/>
        <w:gridCol w:w="1886"/>
        <w:gridCol w:w="1887"/>
      </w:tblGrid>
      <w:tr w:rsidR="00DF7329" w:rsidRPr="000A2403" w:rsidTr="00283E9A">
        <w:trPr>
          <w:trHeight w:val="24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%,                              </w:t>
            </w:r>
            <w:r w:rsidRPr="000A24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2013 к 2012</w:t>
            </w:r>
          </w:p>
        </w:tc>
      </w:tr>
      <w:tr w:rsidR="00DF7329" w:rsidRPr="000A2403" w:rsidTr="00283E9A">
        <w:trPr>
          <w:trHeight w:val="24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доходов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25379,4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DF7329" w:rsidRPr="000A2403" w:rsidTr="00283E9A">
        <w:trPr>
          <w:trHeight w:val="24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расходов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18983,5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20542,4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DF7329" w:rsidRPr="000A2403" w:rsidTr="00283E9A">
        <w:trPr>
          <w:trHeight w:val="247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Сальдо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4487,1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4837,0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0A240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107,8</w:t>
            </w:r>
          </w:p>
        </w:tc>
      </w:tr>
    </w:tbl>
    <w:p w:rsidR="00DF7329" w:rsidRPr="000A2403" w:rsidRDefault="00DF7329" w:rsidP="00DF7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баланс денежных доходов и расходов населения свидетельствует не только, и не столько, о росте уровня доходов, как о том, что немалая часть средств тратится за пределами городского округа город Мегион. </w:t>
      </w: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жители территории совершают дорогостоящие покупки за пределами региона: недвижимост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транспортны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оплата своего обучения и обучения детей, организация отдыха, досуга, лечения и т.</w:t>
      </w:r>
      <w:r w:rsidRPr="003F470B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DF7329" w:rsidRPr="000A2403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превышение суммы  доходов над суммой расходов позволяет делать вывод,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жизни жителей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Мегион остаётся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A2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2C5E">
        <w:rPr>
          <w:rFonts w:ascii="Times New Roman" w:hAnsi="Times New Roman" w:cs="Times New Roman"/>
          <w:sz w:val="24"/>
          <w:szCs w:val="24"/>
        </w:rPr>
        <w:t xml:space="preserve">Прирост доходов населения сохранится и за оценочный 2014 год составит 7,8% в относительном показателе. </w:t>
      </w:r>
      <w:r w:rsidRPr="00142C5E">
        <w:rPr>
          <w:rFonts w:ascii="Times New Roman" w:hAnsi="Times New Roman" w:cs="Times New Roman"/>
          <w:sz w:val="24"/>
        </w:rPr>
        <w:t xml:space="preserve">В 2015-2017 годах прогнозируется положительная динамика абсолютного показателя денежных доходов, в основном за счёт роста фонда потребления работающего населения  </w:t>
      </w:r>
      <w:r w:rsidRPr="00142C5E">
        <w:rPr>
          <w:rFonts w:ascii="Times New Roman" w:hAnsi="Times New Roman" w:cs="Times New Roman"/>
          <w:sz w:val="24"/>
          <w:szCs w:val="24"/>
        </w:rPr>
        <w:t xml:space="preserve">в свете реализации указов Президента </w:t>
      </w:r>
      <w:r w:rsidRPr="00142C5E">
        <w:rPr>
          <w:rFonts w:ascii="Times New Roman" w:hAnsi="Times New Roman" w:cs="Times New Roman"/>
          <w:sz w:val="24"/>
        </w:rPr>
        <w:t>и  социальных трансфертов льготной категории населения</w:t>
      </w:r>
      <w:r>
        <w:rPr>
          <w:rFonts w:ascii="Times New Roman" w:hAnsi="Times New Roman" w:cs="Times New Roman"/>
          <w:sz w:val="24"/>
        </w:rPr>
        <w:t>,</w:t>
      </w:r>
      <w:r w:rsidRPr="00142C5E">
        <w:rPr>
          <w:rFonts w:ascii="Times New Roman" w:hAnsi="Times New Roman" w:cs="Times New Roman"/>
          <w:sz w:val="24"/>
        </w:rPr>
        <w:t xml:space="preserve"> в следующих параметрах:</w:t>
      </w:r>
    </w:p>
    <w:p w:rsidR="00DF7329" w:rsidRPr="00142C5E" w:rsidRDefault="00DF7329" w:rsidP="00DF7329">
      <w:pPr>
        <w:pStyle w:val="a4"/>
        <w:ind w:firstLine="720"/>
        <w:jc w:val="both"/>
        <w:rPr>
          <w:b w:val="0"/>
          <w:sz w:val="24"/>
        </w:rPr>
      </w:pPr>
      <w:r w:rsidRPr="00142C5E">
        <w:rPr>
          <w:b w:val="0"/>
          <w:sz w:val="24"/>
        </w:rPr>
        <w:t xml:space="preserve"> по первому варианту:</w:t>
      </w:r>
    </w:p>
    <w:p w:rsidR="00DF7329" w:rsidRPr="00142C5E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5E">
        <w:rPr>
          <w:rFonts w:ascii="Times New Roman" w:hAnsi="Times New Roman" w:cs="Times New Roman"/>
          <w:sz w:val="24"/>
          <w:szCs w:val="24"/>
        </w:rPr>
        <w:t xml:space="preserve">-2015 год 29343,8 млн. рублей, прирост </w:t>
      </w:r>
      <w:r>
        <w:rPr>
          <w:rFonts w:ascii="Times New Roman" w:hAnsi="Times New Roman" w:cs="Times New Roman"/>
          <w:sz w:val="24"/>
          <w:szCs w:val="24"/>
        </w:rPr>
        <w:t>к предыдущему году</w:t>
      </w:r>
      <w:r w:rsidRPr="00142C5E">
        <w:rPr>
          <w:rFonts w:ascii="Times New Roman" w:hAnsi="Times New Roman" w:cs="Times New Roman"/>
          <w:sz w:val="24"/>
          <w:szCs w:val="24"/>
        </w:rPr>
        <w:t xml:space="preserve"> 7,3%; </w:t>
      </w:r>
    </w:p>
    <w:p w:rsidR="00DF7329" w:rsidRPr="00142C5E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5E">
        <w:rPr>
          <w:rFonts w:ascii="Times New Roman" w:hAnsi="Times New Roman" w:cs="Times New Roman"/>
          <w:sz w:val="24"/>
          <w:szCs w:val="24"/>
        </w:rPr>
        <w:t>-2016 год 31514,4 млн. рублей и 7,4% соответственно;</w:t>
      </w:r>
    </w:p>
    <w:p w:rsidR="00DF7329" w:rsidRPr="00142C5E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5E">
        <w:rPr>
          <w:rFonts w:ascii="Times New Roman" w:hAnsi="Times New Roman" w:cs="Times New Roman"/>
          <w:sz w:val="24"/>
          <w:szCs w:val="24"/>
        </w:rPr>
        <w:t>-2017 год 33885,8 млн. рублей и 7,5% соответственно.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2C5E">
        <w:rPr>
          <w:rFonts w:ascii="Times New Roman" w:hAnsi="Times New Roman" w:cs="Times New Roman"/>
          <w:sz w:val="24"/>
          <w:szCs w:val="24"/>
        </w:rPr>
        <w:t>о второму варианту:</w:t>
      </w:r>
    </w:p>
    <w:p w:rsidR="00DF7329" w:rsidRPr="00142C5E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5E">
        <w:rPr>
          <w:rFonts w:ascii="Times New Roman" w:hAnsi="Times New Roman" w:cs="Times New Roman"/>
          <w:sz w:val="24"/>
          <w:szCs w:val="24"/>
        </w:rPr>
        <w:t xml:space="preserve">-2015 год </w:t>
      </w:r>
      <w:r>
        <w:rPr>
          <w:rFonts w:ascii="Times New Roman" w:hAnsi="Times New Roman" w:cs="Times New Roman"/>
          <w:sz w:val="24"/>
          <w:szCs w:val="24"/>
        </w:rPr>
        <w:t>29551,2</w:t>
      </w:r>
      <w:r w:rsidRPr="00142C5E">
        <w:rPr>
          <w:rFonts w:ascii="Times New Roman" w:hAnsi="Times New Roman" w:cs="Times New Roman"/>
          <w:sz w:val="24"/>
          <w:szCs w:val="24"/>
        </w:rPr>
        <w:t xml:space="preserve"> млн. рублей, прирост за год </w:t>
      </w:r>
      <w:r>
        <w:rPr>
          <w:rFonts w:ascii="Times New Roman" w:hAnsi="Times New Roman" w:cs="Times New Roman"/>
          <w:sz w:val="24"/>
          <w:szCs w:val="24"/>
        </w:rPr>
        <w:t>8,0</w:t>
      </w:r>
      <w:r w:rsidRPr="00142C5E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F7329" w:rsidRPr="00142C5E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5E">
        <w:rPr>
          <w:rFonts w:ascii="Times New Roman" w:hAnsi="Times New Roman" w:cs="Times New Roman"/>
          <w:sz w:val="24"/>
          <w:szCs w:val="24"/>
        </w:rPr>
        <w:t>-2016 год 31</w:t>
      </w:r>
      <w:r>
        <w:rPr>
          <w:rFonts w:ascii="Times New Roman" w:hAnsi="Times New Roman" w:cs="Times New Roman"/>
          <w:sz w:val="24"/>
          <w:szCs w:val="24"/>
        </w:rPr>
        <w:t>968,0</w:t>
      </w:r>
      <w:r w:rsidRPr="00142C5E">
        <w:rPr>
          <w:rFonts w:ascii="Times New Roman" w:hAnsi="Times New Roman" w:cs="Times New Roman"/>
          <w:sz w:val="24"/>
          <w:szCs w:val="24"/>
        </w:rPr>
        <w:t xml:space="preserve"> млн. рублей и </w:t>
      </w:r>
      <w:r>
        <w:rPr>
          <w:rFonts w:ascii="Times New Roman" w:hAnsi="Times New Roman" w:cs="Times New Roman"/>
          <w:sz w:val="24"/>
          <w:szCs w:val="24"/>
        </w:rPr>
        <w:t>8,2</w:t>
      </w:r>
      <w:r w:rsidRPr="00142C5E">
        <w:rPr>
          <w:rFonts w:ascii="Times New Roman" w:hAnsi="Times New Roman" w:cs="Times New Roman"/>
          <w:sz w:val="24"/>
          <w:szCs w:val="24"/>
        </w:rPr>
        <w:t>% соответственно;</w:t>
      </w:r>
    </w:p>
    <w:p w:rsidR="00DF7329" w:rsidRPr="00142C5E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5E">
        <w:rPr>
          <w:rFonts w:ascii="Times New Roman" w:hAnsi="Times New Roman" w:cs="Times New Roman"/>
          <w:sz w:val="24"/>
          <w:szCs w:val="24"/>
        </w:rPr>
        <w:t xml:space="preserve">-2017 год </w:t>
      </w:r>
      <w:r>
        <w:rPr>
          <w:rFonts w:ascii="Times New Roman" w:hAnsi="Times New Roman" w:cs="Times New Roman"/>
          <w:sz w:val="24"/>
          <w:szCs w:val="24"/>
        </w:rPr>
        <w:t>34627,4</w:t>
      </w:r>
      <w:r w:rsidRPr="00142C5E">
        <w:rPr>
          <w:rFonts w:ascii="Times New Roman" w:hAnsi="Times New Roman" w:cs="Times New Roman"/>
          <w:sz w:val="24"/>
          <w:szCs w:val="24"/>
        </w:rPr>
        <w:t xml:space="preserve"> млн. рублей и</w:t>
      </w:r>
      <w:r>
        <w:rPr>
          <w:rFonts w:ascii="Times New Roman" w:hAnsi="Times New Roman" w:cs="Times New Roman"/>
          <w:sz w:val="24"/>
          <w:szCs w:val="24"/>
        </w:rPr>
        <w:t xml:space="preserve"> 8,3</w:t>
      </w:r>
      <w:r w:rsidRPr="00142C5E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DF7329" w:rsidRPr="00816E36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>По обоим вариантам прогноза предусмотрено постепенное повышение жизненного уровня населения, с сохранением тенденции увеличения реально располагаемых денежных доходов.</w:t>
      </w:r>
    </w:p>
    <w:p w:rsidR="00DF7329" w:rsidRPr="00816E36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 xml:space="preserve">Денежные расходы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816E36">
        <w:rPr>
          <w:rFonts w:ascii="Times New Roman" w:hAnsi="Times New Roman" w:cs="Times New Roman"/>
          <w:sz w:val="24"/>
          <w:szCs w:val="24"/>
        </w:rPr>
        <w:t xml:space="preserve"> в 2014 году оцениваются в сумме </w:t>
      </w:r>
      <w:r>
        <w:rPr>
          <w:rFonts w:ascii="Times New Roman" w:hAnsi="Times New Roman" w:cs="Times New Roman"/>
          <w:sz w:val="24"/>
          <w:szCs w:val="24"/>
        </w:rPr>
        <w:t>22261,3</w:t>
      </w:r>
      <w:r w:rsidRPr="00816E36">
        <w:rPr>
          <w:rFonts w:ascii="Times New Roman" w:hAnsi="Times New Roman" w:cs="Times New Roman"/>
          <w:sz w:val="24"/>
          <w:szCs w:val="24"/>
        </w:rPr>
        <w:t xml:space="preserve"> млн. рублей, увеличившись на </w:t>
      </w:r>
      <w:r>
        <w:rPr>
          <w:rFonts w:ascii="Times New Roman" w:hAnsi="Times New Roman" w:cs="Times New Roman"/>
          <w:sz w:val="24"/>
          <w:szCs w:val="24"/>
        </w:rPr>
        <w:t>8,4</w:t>
      </w:r>
      <w:r w:rsidRPr="00816E36">
        <w:rPr>
          <w:rFonts w:ascii="Times New Roman" w:hAnsi="Times New Roman" w:cs="Times New Roman"/>
          <w:sz w:val="24"/>
          <w:szCs w:val="24"/>
        </w:rPr>
        <w:t>% к уровню показателя 2013 года, и в прогнозируемые периоды будут иметь следующую динамику:</w:t>
      </w:r>
    </w:p>
    <w:p w:rsidR="00DF7329" w:rsidRPr="00816E36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>по первому варианту:</w:t>
      </w:r>
    </w:p>
    <w:p w:rsidR="00DF7329" w:rsidRPr="00816E36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 xml:space="preserve">-2015 год </w:t>
      </w:r>
      <w:r>
        <w:rPr>
          <w:rFonts w:ascii="Times New Roman" w:hAnsi="Times New Roman" w:cs="Times New Roman"/>
          <w:sz w:val="24"/>
          <w:szCs w:val="24"/>
        </w:rPr>
        <w:t>24118,1</w:t>
      </w:r>
      <w:r w:rsidRPr="00816E36">
        <w:rPr>
          <w:rFonts w:ascii="Times New Roman" w:hAnsi="Times New Roman" w:cs="Times New Roman"/>
          <w:sz w:val="24"/>
          <w:szCs w:val="24"/>
        </w:rPr>
        <w:t xml:space="preserve"> млн. рублей, прирост к предыдущему периоду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16E36">
        <w:rPr>
          <w:rFonts w:ascii="Times New Roman" w:hAnsi="Times New Roman" w:cs="Times New Roman"/>
          <w:sz w:val="24"/>
          <w:szCs w:val="24"/>
        </w:rPr>
        <w:t>,3%;</w:t>
      </w:r>
    </w:p>
    <w:p w:rsidR="00DF7329" w:rsidRPr="00816E36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 xml:space="preserve">-2016 год </w:t>
      </w:r>
      <w:r>
        <w:rPr>
          <w:rFonts w:ascii="Times New Roman" w:hAnsi="Times New Roman" w:cs="Times New Roman"/>
          <w:sz w:val="24"/>
          <w:szCs w:val="24"/>
        </w:rPr>
        <w:t>26149,0</w:t>
      </w:r>
      <w:r w:rsidRPr="00816E36">
        <w:rPr>
          <w:rFonts w:ascii="Times New Roman" w:hAnsi="Times New Roman" w:cs="Times New Roman"/>
          <w:sz w:val="24"/>
          <w:szCs w:val="24"/>
        </w:rPr>
        <w:t xml:space="preserve"> млн. рублей и </w:t>
      </w:r>
      <w:r>
        <w:rPr>
          <w:rFonts w:ascii="Times New Roman" w:hAnsi="Times New Roman" w:cs="Times New Roman"/>
          <w:sz w:val="24"/>
          <w:szCs w:val="24"/>
        </w:rPr>
        <w:t>8,4</w:t>
      </w:r>
      <w:r w:rsidRPr="00816E36">
        <w:rPr>
          <w:rFonts w:ascii="Times New Roman" w:hAnsi="Times New Roman" w:cs="Times New Roman"/>
          <w:sz w:val="24"/>
          <w:szCs w:val="24"/>
        </w:rPr>
        <w:t>% соответственно;</w:t>
      </w:r>
    </w:p>
    <w:p w:rsidR="00DF7329" w:rsidRPr="00816E36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 xml:space="preserve">-2017 год </w:t>
      </w:r>
      <w:r>
        <w:rPr>
          <w:rFonts w:ascii="Times New Roman" w:hAnsi="Times New Roman" w:cs="Times New Roman"/>
          <w:sz w:val="24"/>
          <w:szCs w:val="24"/>
        </w:rPr>
        <w:t>28368,7</w:t>
      </w:r>
      <w:r w:rsidRPr="00816E36">
        <w:rPr>
          <w:rFonts w:ascii="Times New Roman" w:hAnsi="Times New Roman" w:cs="Times New Roman"/>
          <w:sz w:val="24"/>
          <w:szCs w:val="24"/>
        </w:rPr>
        <w:t xml:space="preserve"> млн. рублей и </w:t>
      </w:r>
      <w:r>
        <w:rPr>
          <w:rFonts w:ascii="Times New Roman" w:hAnsi="Times New Roman" w:cs="Times New Roman"/>
          <w:sz w:val="24"/>
          <w:szCs w:val="24"/>
        </w:rPr>
        <w:t>8,5</w:t>
      </w:r>
      <w:r w:rsidRPr="00816E3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816E36">
        <w:rPr>
          <w:rFonts w:ascii="Times New Roman" w:hAnsi="Times New Roman" w:cs="Times New Roman"/>
          <w:sz w:val="24"/>
          <w:szCs w:val="24"/>
        </w:rPr>
        <w:t>.</w:t>
      </w:r>
    </w:p>
    <w:p w:rsidR="00DF7329" w:rsidRPr="00816E36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>по второму варианту:</w:t>
      </w:r>
    </w:p>
    <w:p w:rsidR="00DF7329" w:rsidRPr="00816E36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lastRenderedPageBreak/>
        <w:t xml:space="preserve">-2015 год </w:t>
      </w:r>
      <w:r>
        <w:rPr>
          <w:rFonts w:ascii="Times New Roman" w:hAnsi="Times New Roman" w:cs="Times New Roman"/>
          <w:sz w:val="24"/>
          <w:szCs w:val="24"/>
        </w:rPr>
        <w:t>24296,9</w:t>
      </w:r>
      <w:r w:rsidRPr="00816E36">
        <w:rPr>
          <w:rFonts w:ascii="Times New Roman" w:hAnsi="Times New Roman" w:cs="Times New Roman"/>
          <w:sz w:val="24"/>
          <w:szCs w:val="24"/>
        </w:rPr>
        <w:t xml:space="preserve"> млн. рублей, прирост к предыдущему периоду </w:t>
      </w:r>
      <w:r>
        <w:rPr>
          <w:rFonts w:ascii="Times New Roman" w:hAnsi="Times New Roman" w:cs="Times New Roman"/>
          <w:sz w:val="24"/>
          <w:szCs w:val="24"/>
        </w:rPr>
        <w:t>9,1</w:t>
      </w:r>
      <w:r w:rsidRPr="00816E36">
        <w:rPr>
          <w:rFonts w:ascii="Times New Roman" w:hAnsi="Times New Roman" w:cs="Times New Roman"/>
          <w:sz w:val="24"/>
          <w:szCs w:val="24"/>
        </w:rPr>
        <w:t>%;</w:t>
      </w:r>
    </w:p>
    <w:p w:rsidR="00DF7329" w:rsidRPr="00816E36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 xml:space="preserve">-2016 год </w:t>
      </w:r>
      <w:r>
        <w:rPr>
          <w:rFonts w:ascii="Times New Roman" w:hAnsi="Times New Roman" w:cs="Times New Roman"/>
          <w:sz w:val="24"/>
          <w:szCs w:val="24"/>
        </w:rPr>
        <w:t xml:space="preserve">26568,0 </w:t>
      </w:r>
      <w:r w:rsidRPr="00816E36">
        <w:rPr>
          <w:rFonts w:ascii="Times New Roman" w:hAnsi="Times New Roman" w:cs="Times New Roman"/>
          <w:sz w:val="24"/>
          <w:szCs w:val="24"/>
        </w:rPr>
        <w:t xml:space="preserve">млн. рублей и </w:t>
      </w:r>
      <w:r>
        <w:rPr>
          <w:rFonts w:ascii="Times New Roman" w:hAnsi="Times New Roman" w:cs="Times New Roman"/>
          <w:sz w:val="24"/>
          <w:szCs w:val="24"/>
        </w:rPr>
        <w:t>9,3</w:t>
      </w:r>
      <w:r w:rsidRPr="00816E36">
        <w:rPr>
          <w:rFonts w:ascii="Times New Roman" w:hAnsi="Times New Roman" w:cs="Times New Roman"/>
          <w:sz w:val="24"/>
          <w:szCs w:val="24"/>
        </w:rPr>
        <w:t>% соответственно;</w:t>
      </w:r>
    </w:p>
    <w:p w:rsidR="00DF7329" w:rsidRPr="00816E36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 xml:space="preserve">-2017 год </w:t>
      </w:r>
      <w:r>
        <w:rPr>
          <w:rFonts w:ascii="Times New Roman" w:hAnsi="Times New Roman" w:cs="Times New Roman"/>
          <w:sz w:val="24"/>
          <w:szCs w:val="24"/>
        </w:rPr>
        <w:t xml:space="preserve">29092,2 </w:t>
      </w:r>
      <w:r w:rsidRPr="00816E36">
        <w:rPr>
          <w:rFonts w:ascii="Times New Roman" w:hAnsi="Times New Roman" w:cs="Times New Roman"/>
          <w:sz w:val="24"/>
          <w:szCs w:val="24"/>
        </w:rPr>
        <w:t xml:space="preserve">млн. рублей и </w:t>
      </w:r>
      <w:r>
        <w:rPr>
          <w:rFonts w:ascii="Times New Roman" w:hAnsi="Times New Roman" w:cs="Times New Roman"/>
          <w:sz w:val="24"/>
          <w:szCs w:val="24"/>
        </w:rPr>
        <w:t>9,5</w:t>
      </w:r>
      <w:r w:rsidRPr="00816E3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816E36">
        <w:rPr>
          <w:rFonts w:ascii="Times New Roman" w:hAnsi="Times New Roman" w:cs="Times New Roman"/>
          <w:sz w:val="24"/>
          <w:szCs w:val="24"/>
        </w:rPr>
        <w:t>.</w:t>
      </w:r>
    </w:p>
    <w:p w:rsidR="00DF7329" w:rsidRPr="00816E36" w:rsidRDefault="00DF7329" w:rsidP="00DF73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 xml:space="preserve">Превышение денежных доходов населения над расходами в 2014 году оценочно составит 5095,3 млн. рублей. </w:t>
      </w:r>
    </w:p>
    <w:p w:rsidR="00DF7329" w:rsidRPr="00B42A6C" w:rsidRDefault="00DF7329" w:rsidP="00DF7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 xml:space="preserve">На фоне роста как номинального, так и </w:t>
      </w:r>
      <w:r w:rsidRPr="00B42A6C">
        <w:rPr>
          <w:rFonts w:ascii="Times New Roman" w:hAnsi="Times New Roman" w:cs="Times New Roman"/>
          <w:sz w:val="24"/>
          <w:szCs w:val="24"/>
        </w:rPr>
        <w:t>реального уровня доходов, постепенно будет снижаться численность населения с денежными доходами ниже прожиточного минимума - если их численность в 2014 оцениваемом году составляет 3,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2A6C">
        <w:rPr>
          <w:rFonts w:ascii="Times New Roman" w:hAnsi="Times New Roman" w:cs="Times New Roman"/>
          <w:sz w:val="24"/>
          <w:szCs w:val="24"/>
        </w:rPr>
        <w:t>% от общей численности населения, то по второму</w:t>
      </w:r>
      <w:r>
        <w:rPr>
          <w:rFonts w:ascii="Times New Roman" w:hAnsi="Times New Roman" w:cs="Times New Roman"/>
          <w:sz w:val="24"/>
          <w:szCs w:val="24"/>
        </w:rPr>
        <w:t xml:space="preserve"> варианту 2017 года составит 2,3%.</w:t>
      </w:r>
      <w:r w:rsidRPr="00B42A6C">
        <w:rPr>
          <w:rFonts w:ascii="Times New Roman" w:hAnsi="Times New Roman" w:cs="Times New Roman"/>
          <w:sz w:val="24"/>
          <w:szCs w:val="24"/>
        </w:rPr>
        <w:t>.</w:t>
      </w: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E36">
        <w:rPr>
          <w:rFonts w:ascii="Times New Roman" w:hAnsi="Times New Roman" w:cs="Times New Roman"/>
          <w:sz w:val="24"/>
          <w:szCs w:val="24"/>
        </w:rPr>
        <w:t>Для снижения уровня бедности населения необходимо сокращение численности граждан с низкими доходами путём повышения уровня заработной платы во всех секторах экономики и усовершенствования мер социальной поддержки.</w:t>
      </w: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06" w:rsidRDefault="008A6606" w:rsidP="00DF7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086D81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D81">
        <w:rPr>
          <w:rFonts w:ascii="Times New Roman" w:hAnsi="Times New Roman" w:cs="Times New Roman"/>
          <w:b/>
          <w:sz w:val="24"/>
          <w:szCs w:val="24"/>
        </w:rPr>
        <w:t>Труд и занятость</w:t>
      </w:r>
    </w:p>
    <w:p w:rsidR="00DF7329" w:rsidRPr="00D84324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329" w:rsidRPr="00BC3268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Занятость </w:t>
      </w:r>
    </w:p>
    <w:p w:rsidR="00DF7329" w:rsidRPr="00D84324" w:rsidRDefault="00DF7329" w:rsidP="00DF7329">
      <w:pPr>
        <w:tabs>
          <w:tab w:val="left" w:pos="8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городского округа город Мегион по состоянию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01.01.2014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проживает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980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общей численности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70,8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составляют жители экономически активного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числа экономически активного населения 85,4% заняты в экономике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329" w:rsidRPr="00D84324" w:rsidRDefault="00DF7329" w:rsidP="00DF7329">
      <w:pPr>
        <w:tabs>
          <w:tab w:val="left" w:pos="8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занятого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удом </w:t>
      </w:r>
      <w:r w:rsidRPr="0030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 71,1% или 2408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0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33854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сосредоточены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охваченных статистическим наблюдением 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крупных и средних предприятиях городского округа. </w:t>
      </w:r>
    </w:p>
    <w:p w:rsidR="00DF7329" w:rsidRPr="00D84324" w:rsidRDefault="00DF7329" w:rsidP="00DF7329">
      <w:pPr>
        <w:tabs>
          <w:tab w:val="left" w:pos="8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фоне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общей численности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0,15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выросла 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экономически активного населения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0,19%выросла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занят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экономике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Pr="00D84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329" w:rsidRPr="00D84324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DF7329" w:rsidRPr="003B53EF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занятости населения на конец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53EF">
        <w:rPr>
          <w:rFonts w:ascii="Times New Roman" w:eastAsia="Times New Roman" w:hAnsi="Times New Roman" w:cs="Times New Roman"/>
          <w:sz w:val="24"/>
          <w:szCs w:val="24"/>
          <w:lang w:eastAsia="ru-RU"/>
        </w:rPr>
        <w:t>-2013 годов</w:t>
      </w:r>
    </w:p>
    <w:p w:rsidR="00DF7329" w:rsidRPr="006664B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96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139"/>
        <w:gridCol w:w="1139"/>
        <w:gridCol w:w="1139"/>
      </w:tblGrid>
      <w:tr w:rsidR="00DF7329" w:rsidRPr="001A5A73" w:rsidTr="00283E9A">
        <w:trPr>
          <w:trHeight w:val="192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</w:t>
            </w:r>
          </w:p>
          <w:p w:rsidR="00DF7329" w:rsidRPr="001A5A7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к 2012</w:t>
            </w:r>
          </w:p>
        </w:tc>
      </w:tr>
      <w:tr w:rsidR="00DF7329" w:rsidRPr="001A5A73" w:rsidTr="00283E9A">
        <w:trPr>
          <w:trHeight w:val="1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100,15</w:t>
            </w:r>
          </w:p>
        </w:tc>
      </w:tr>
      <w:tr w:rsidR="00DF7329" w:rsidRPr="001A5A73" w:rsidTr="00283E9A">
        <w:trPr>
          <w:trHeight w:val="1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занятого в экономике населения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100,19</w:t>
            </w:r>
          </w:p>
        </w:tc>
      </w:tr>
      <w:tr w:rsidR="00DF7329" w:rsidRPr="001A5A73" w:rsidTr="00283E9A">
        <w:trPr>
          <w:trHeight w:val="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7329" w:rsidRPr="001A5A73" w:rsidTr="00283E9A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-численность занятых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крупных и средних предприятиях по данным отдела Госстатистики на конец года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306168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</w:tr>
      <w:tr w:rsidR="00DF7329" w:rsidRPr="001A5A73" w:rsidTr="00283E9A">
        <w:trPr>
          <w:trHeight w:val="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-численность занятых в малых и микропредприятиях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100,85</w:t>
            </w:r>
          </w:p>
        </w:tc>
      </w:tr>
      <w:tr w:rsidR="00DF7329" w:rsidRPr="001A5A73" w:rsidTr="00283E9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-численность занятых индивидуальным предпринимательством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104,46</w:t>
            </w:r>
          </w:p>
        </w:tc>
      </w:tr>
      <w:tr w:rsidR="00DF7329" w:rsidRPr="001A5A73" w:rsidTr="00283E9A">
        <w:trPr>
          <w:trHeight w:val="2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-численность наёмных работников индивидуальных предпринимателей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101,29</w:t>
            </w:r>
          </w:p>
        </w:tc>
      </w:tr>
      <w:tr w:rsidR="00DF7329" w:rsidRPr="001A5A73" w:rsidTr="00283E9A">
        <w:trPr>
          <w:trHeight w:val="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1A5A7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-неучтённый сектор</w:t>
            </w:r>
          </w:p>
          <w:p w:rsidR="00DF7329" w:rsidRPr="001A5A73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(численность работающих в иногородних организациях, дислоцированных на территории городского округа город Мегион численность работающих в других городах вахтовым методом, работающие без заключения договора и т.д.)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1A5A73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F624BE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F624BE" w:rsidRDefault="00DF7329" w:rsidP="00283E9A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97,07</w:t>
            </w:r>
          </w:p>
        </w:tc>
      </w:tr>
    </w:tbl>
    <w:p w:rsidR="00DF7329" w:rsidRPr="00D84324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Default="00DF7329" w:rsidP="00DF7329">
      <w:pPr>
        <w:tabs>
          <w:tab w:val="left" w:pos="8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занятости населения значительных изменений не претерпели за исключением роста на 4,46% числа зарегистрированных индивидуальных предпринимателей. </w:t>
      </w:r>
    </w:p>
    <w:p w:rsidR="00DF7329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06" w:rsidRDefault="008A6606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06" w:rsidRDefault="008A6606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C83DA9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Поотраслевая численность работников среднесписочного состава</w:t>
      </w:r>
    </w:p>
    <w:p w:rsidR="00DF7329" w:rsidRPr="00C83DA9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 и средних предприятий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3DA9">
        <w:rPr>
          <w:rFonts w:ascii="Times New Roman" w:eastAsia="Times New Roman" w:hAnsi="Times New Roman" w:cs="Times New Roman"/>
          <w:sz w:val="24"/>
          <w:szCs w:val="24"/>
          <w:lang w:eastAsia="ru-RU"/>
        </w:rPr>
        <w:t>-2013 годы</w:t>
      </w:r>
    </w:p>
    <w:p w:rsidR="00DF7329" w:rsidRPr="00D84324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3959"/>
        <w:gridCol w:w="2334"/>
        <w:gridCol w:w="1622"/>
        <w:gridCol w:w="1621"/>
      </w:tblGrid>
      <w:tr w:rsidR="00DF7329" w:rsidRPr="00D84324" w:rsidTr="00283E9A">
        <w:trPr>
          <w:trHeight w:val="208"/>
          <w:tblHeader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Отрасли</w:t>
            </w:r>
          </w:p>
        </w:tc>
        <w:tc>
          <w:tcPr>
            <w:tcW w:w="3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7329" w:rsidRPr="00FF3E25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средне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списочного состава на 01.01.2013</w:t>
            </w:r>
            <w:r w:rsidRPr="00FF3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01.01.201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F3E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человек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F7329" w:rsidRPr="00FF3E25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 2013 к 2012</w:t>
            </w:r>
          </w:p>
        </w:tc>
      </w:tr>
      <w:tr w:rsidR="00DF7329" w:rsidRPr="00D84324" w:rsidTr="00283E9A">
        <w:trPr>
          <w:trHeight w:val="35"/>
          <w:tblHeader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29" w:rsidRPr="00FF3E25" w:rsidRDefault="00DF7329" w:rsidP="0028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62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7329" w:rsidRPr="00D84324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F7329" w:rsidRPr="00D84324" w:rsidTr="00283E9A">
        <w:trPr>
          <w:trHeight w:val="1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59">
              <w:rPr>
                <w:rFonts w:ascii="Times New Roman" w:hAnsi="Times New Roman" w:cs="Times New Roman"/>
                <w:sz w:val="24"/>
                <w:szCs w:val="24"/>
              </w:rPr>
              <w:t>24064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0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DF7329" w:rsidRPr="00D84324" w:rsidTr="00283E9A">
        <w:trPr>
          <w:trHeight w:val="1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Сельское и лесное хозяйство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7329" w:rsidRPr="00D84324" w:rsidTr="00283E9A">
        <w:trPr>
          <w:trHeight w:val="1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109,25</w:t>
            </w:r>
          </w:p>
        </w:tc>
      </w:tr>
      <w:tr w:rsidR="00DF7329" w:rsidRPr="00D84324" w:rsidTr="00283E9A">
        <w:trPr>
          <w:trHeight w:val="1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95,46</w:t>
            </w:r>
          </w:p>
        </w:tc>
      </w:tr>
      <w:tr w:rsidR="00DF7329" w:rsidRPr="00D84324" w:rsidTr="00283E9A">
        <w:trPr>
          <w:trHeight w:val="21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96,54</w:t>
            </w:r>
          </w:p>
        </w:tc>
      </w:tr>
      <w:tr w:rsidR="00DF7329" w:rsidRPr="00D84324" w:rsidTr="00283E9A">
        <w:trPr>
          <w:trHeight w:val="181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94,48</w:t>
            </w:r>
          </w:p>
        </w:tc>
      </w:tr>
      <w:tr w:rsidR="00DF7329" w:rsidRPr="00D84324" w:rsidTr="00283E9A">
        <w:trPr>
          <w:trHeight w:val="13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103,06</w:t>
            </w:r>
          </w:p>
        </w:tc>
      </w:tr>
      <w:tr w:rsidR="00DF7329" w:rsidRPr="00D84324" w:rsidTr="00283E9A">
        <w:trPr>
          <w:trHeight w:val="13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Сфера гостиниц и ресторанов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106,42</w:t>
            </w:r>
          </w:p>
        </w:tc>
      </w:tr>
      <w:tr w:rsidR="00DF7329" w:rsidRPr="00D84324" w:rsidTr="00283E9A">
        <w:trPr>
          <w:trHeight w:val="13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80,69</w:t>
            </w:r>
          </w:p>
        </w:tc>
      </w:tr>
      <w:tr w:rsidR="00DF7329" w:rsidRPr="00D84324" w:rsidTr="00283E9A">
        <w:trPr>
          <w:trHeight w:val="13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94,02</w:t>
            </w:r>
          </w:p>
        </w:tc>
      </w:tr>
      <w:tr w:rsidR="00DF7329" w:rsidRPr="00D84324" w:rsidTr="00283E9A">
        <w:trPr>
          <w:trHeight w:val="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 xml:space="preserve">Сфера операций с недвижимым имуществом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102,93</w:t>
            </w:r>
          </w:p>
        </w:tc>
      </w:tr>
      <w:tr w:rsidR="00DF7329" w:rsidRPr="00D84324" w:rsidTr="00283E9A">
        <w:trPr>
          <w:trHeight w:val="10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управление, социальное страхование, военная безопасность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104,24</w:t>
            </w:r>
          </w:p>
        </w:tc>
      </w:tr>
      <w:tr w:rsidR="00DF7329" w:rsidRPr="00D84324" w:rsidTr="00283E9A">
        <w:trPr>
          <w:trHeight w:val="7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114,20</w:t>
            </w:r>
          </w:p>
        </w:tc>
      </w:tr>
      <w:tr w:rsidR="00DF7329" w:rsidRPr="00D84324" w:rsidTr="00283E9A">
        <w:trPr>
          <w:trHeight w:val="7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94,39</w:t>
            </w:r>
          </w:p>
        </w:tc>
      </w:tr>
      <w:tr w:rsidR="00DF7329" w:rsidRPr="00D84324" w:rsidTr="00283E9A">
        <w:trPr>
          <w:trHeight w:val="10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FF3E25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E25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3F1859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0D0D0F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96,84</w:t>
            </w:r>
          </w:p>
        </w:tc>
      </w:tr>
    </w:tbl>
    <w:p w:rsidR="00DF7329" w:rsidRPr="00D84324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Pr="00AD7ECC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7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численности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вполне укладывающиеся в рамки естественного движения рабочей силы,</w:t>
      </w:r>
      <w:r w:rsidRPr="00AD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продиктованывнутриотраслевыми требованиями, необходимостью оптимизации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содержания штата работниковв соответствии с локальными нормативными актами, вследствие внесения изменений в коллективные договоры и т.д.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количественного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кадров произошёл в отрасли «д</w:t>
      </w:r>
      <w:r w:rsidRPr="00AD7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 полезных ископаемых»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«торговля», «сфера гостиниц и ресторанов», «ф</w:t>
      </w:r>
      <w:r w:rsidRPr="00AD7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деятельность», «операции с недвижимым имуществом и предоставления услуг», «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F3E25">
        <w:rPr>
          <w:rFonts w:ascii="Times New Roman" w:hAnsi="Times New Roman" w:cs="Times New Roman"/>
          <w:sz w:val="24"/>
          <w:szCs w:val="24"/>
        </w:rPr>
        <w:t>осударственное управление, социальное страхование, военная безопасность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числа работников наблюдается в отраслях «строительство», «обрабатывающие производства», «транспорт и связь», «производство и распределение электроэнергии, газа и воды», «образование», «здравоохранение», «предоставление коммунальных,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социальных, персональных услуг», «сельское и лесное хозяйство».</w:t>
      </w:r>
    </w:p>
    <w:p w:rsidR="00DF7329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06" w:rsidRDefault="008A6606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06" w:rsidRDefault="008A6606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06" w:rsidRDefault="008A6606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06" w:rsidRDefault="008A6606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606" w:rsidRDefault="008A6606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E12CD3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Поотраслевая численность работников муниципальных учреждений</w:t>
      </w:r>
    </w:p>
    <w:p w:rsidR="00DF7329" w:rsidRPr="00E12CD3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2012-2013 годы</w:t>
      </w:r>
    </w:p>
    <w:p w:rsidR="00DF7329" w:rsidRPr="00E12CD3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4344"/>
        <w:gridCol w:w="2373"/>
        <w:gridCol w:w="1676"/>
        <w:gridCol w:w="1178"/>
      </w:tblGrid>
      <w:tr w:rsidR="00DF7329" w:rsidRPr="00E12CD3" w:rsidTr="00283E9A">
        <w:trPr>
          <w:trHeight w:val="251"/>
        </w:trPr>
        <w:tc>
          <w:tcPr>
            <w:tcW w:w="4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E12CD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Отрасли</w:t>
            </w:r>
          </w:p>
        </w:tc>
        <w:tc>
          <w:tcPr>
            <w:tcW w:w="4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среднесписочного состава на конец года, человек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</w:t>
            </w:r>
          </w:p>
          <w:p w:rsidR="00DF7329" w:rsidRPr="0002615A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61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к 2012</w:t>
            </w:r>
          </w:p>
        </w:tc>
      </w:tr>
      <w:tr w:rsidR="00DF7329" w:rsidRPr="00E12CD3" w:rsidTr="00283E9A">
        <w:trPr>
          <w:trHeight w:val="141"/>
        </w:trPr>
        <w:tc>
          <w:tcPr>
            <w:tcW w:w="4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7329" w:rsidRPr="00E12CD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E12CD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329" w:rsidRPr="00E12CD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17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329" w:rsidRPr="00E12CD3" w:rsidTr="00283E9A">
        <w:trPr>
          <w:trHeight w:val="231"/>
        </w:trPr>
        <w:tc>
          <w:tcPr>
            <w:tcW w:w="4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2046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F7329" w:rsidRPr="00E12CD3" w:rsidTr="00283E9A">
        <w:trPr>
          <w:trHeight w:val="231"/>
        </w:trPr>
        <w:tc>
          <w:tcPr>
            <w:tcW w:w="4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DF7329" w:rsidRPr="00E12CD3" w:rsidTr="00283E9A">
        <w:trPr>
          <w:trHeight w:val="231"/>
        </w:trPr>
        <w:tc>
          <w:tcPr>
            <w:tcW w:w="4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DF7329" w:rsidRPr="00E12CD3" w:rsidTr="00283E9A">
        <w:trPr>
          <w:trHeight w:val="231"/>
        </w:trPr>
        <w:tc>
          <w:tcPr>
            <w:tcW w:w="4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DF7329" w:rsidRPr="00E12CD3" w:rsidTr="00283E9A">
        <w:trPr>
          <w:trHeight w:val="231"/>
        </w:trPr>
        <w:tc>
          <w:tcPr>
            <w:tcW w:w="4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Молодёжная политика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DF7329" w:rsidRPr="00E12CD3" w:rsidTr="00283E9A">
        <w:trPr>
          <w:trHeight w:val="339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Прочие учреждения бюджетной сферы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DF7329" w:rsidRPr="00E12CD3" w:rsidTr="00283E9A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C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329" w:rsidRPr="00E12CD3" w:rsidRDefault="00DF7329" w:rsidP="00283E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</w:tbl>
    <w:p w:rsidR="00DF7329" w:rsidRPr="00D84324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Среднесписочная численность работников бюджетной сферы снизилась на 2,1-6,7% вследствие проведенной оптимизации численности в связи с модернизацией оплаты труда.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BC3268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Прогноз трудовых ресурсов</w:t>
      </w:r>
    </w:p>
    <w:p w:rsidR="00DF7329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C6F">
        <w:rPr>
          <w:rFonts w:ascii="Times New Roman" w:hAnsi="Times New Roman" w:cs="Times New Roman"/>
          <w:sz w:val="24"/>
          <w:szCs w:val="24"/>
        </w:rPr>
        <w:t>Оценочная и прогнозная численность трудовых ресурсов рассчитана с учётом повозрастного смещения численности поколений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329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50C6F">
        <w:rPr>
          <w:rFonts w:ascii="Times New Roman" w:hAnsi="Times New Roman" w:cs="Times New Roman"/>
          <w:sz w:val="24"/>
          <w:szCs w:val="24"/>
        </w:rPr>
        <w:t xml:space="preserve">о оценке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трудовых ресурсов </w:t>
      </w:r>
      <w:r w:rsidRPr="00850C6F">
        <w:rPr>
          <w:rFonts w:ascii="Times New Roman" w:hAnsi="Times New Roman" w:cs="Times New Roman"/>
          <w:sz w:val="24"/>
          <w:szCs w:val="24"/>
        </w:rPr>
        <w:t>2014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0C6F">
        <w:rPr>
          <w:rFonts w:ascii="Times New Roman" w:hAnsi="Times New Roman" w:cs="Times New Roman"/>
          <w:sz w:val="24"/>
          <w:szCs w:val="24"/>
        </w:rPr>
        <w:t xml:space="preserve"> сохранится на уровне показателя 2013 года.</w:t>
      </w:r>
    </w:p>
    <w:p w:rsidR="00DF7329" w:rsidRPr="00850C6F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прогнозные периоды существенного изменения численности трудовых ресурсов не ожидается, несмотря на увеличение численности населения. Прирастать будет численность населения младше трудоспособного и старше трудоспособного возрастов. Увеличение численности населения в трудоспособном возрасте может произойти за счёт миграционного притока лиц в данном возрасте.</w:t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54">
        <w:rPr>
          <w:rFonts w:ascii="Times New Roman" w:hAnsi="Times New Roman" w:cs="Times New Roman"/>
          <w:sz w:val="24"/>
          <w:szCs w:val="24"/>
        </w:rPr>
        <w:t>С учётом данного фактора прогнозируемая численность трудовых ресурсов по I варианту развития составит:</w:t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54">
        <w:rPr>
          <w:rFonts w:ascii="Times New Roman" w:hAnsi="Times New Roman" w:cs="Times New Roman"/>
          <w:sz w:val="24"/>
          <w:szCs w:val="24"/>
        </w:rPr>
        <w:t>-в 2015 году 397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0822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54">
        <w:rPr>
          <w:rFonts w:ascii="Times New Roman" w:hAnsi="Times New Roman" w:cs="Times New Roman"/>
          <w:sz w:val="24"/>
          <w:szCs w:val="24"/>
        </w:rPr>
        <w:t>-в 2016 году 39882 человека;</w:t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2254">
        <w:rPr>
          <w:rFonts w:ascii="Times New Roman" w:hAnsi="Times New Roman" w:cs="Times New Roman"/>
          <w:sz w:val="24"/>
          <w:szCs w:val="24"/>
        </w:rPr>
        <w:t>в 2017 году 401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82254">
        <w:rPr>
          <w:rFonts w:ascii="Times New Roman" w:hAnsi="Times New Roman" w:cs="Times New Roman"/>
          <w:sz w:val="24"/>
          <w:szCs w:val="24"/>
        </w:rPr>
        <w:t>9 человек.</w:t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54">
        <w:rPr>
          <w:rFonts w:ascii="Times New Roman" w:hAnsi="Times New Roman" w:cs="Times New Roman"/>
          <w:sz w:val="24"/>
          <w:szCs w:val="24"/>
        </w:rPr>
        <w:tab/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54">
        <w:rPr>
          <w:rFonts w:ascii="Times New Roman" w:hAnsi="Times New Roman" w:cs="Times New Roman"/>
          <w:sz w:val="24"/>
          <w:szCs w:val="24"/>
        </w:rPr>
        <w:t>По II варианту развития:</w:t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54">
        <w:rPr>
          <w:rFonts w:ascii="Times New Roman" w:hAnsi="Times New Roman" w:cs="Times New Roman"/>
          <w:sz w:val="24"/>
          <w:szCs w:val="24"/>
        </w:rPr>
        <w:t>-в 2015 году 39</w:t>
      </w:r>
      <w:r>
        <w:rPr>
          <w:rFonts w:ascii="Times New Roman" w:hAnsi="Times New Roman" w:cs="Times New Roman"/>
          <w:sz w:val="24"/>
          <w:szCs w:val="24"/>
        </w:rPr>
        <w:t>841</w:t>
      </w:r>
      <w:r w:rsidRPr="0008225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2254">
        <w:rPr>
          <w:rFonts w:ascii="Times New Roman" w:hAnsi="Times New Roman" w:cs="Times New Roman"/>
          <w:sz w:val="24"/>
          <w:szCs w:val="24"/>
        </w:rPr>
        <w:t xml:space="preserve">в 2016 году </w:t>
      </w:r>
      <w:r>
        <w:rPr>
          <w:rFonts w:ascii="Times New Roman" w:hAnsi="Times New Roman" w:cs="Times New Roman"/>
          <w:sz w:val="24"/>
          <w:szCs w:val="24"/>
        </w:rPr>
        <w:t>40084</w:t>
      </w:r>
      <w:r w:rsidRPr="00082254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DF7329" w:rsidRPr="00082254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254">
        <w:rPr>
          <w:rFonts w:ascii="Times New Roman" w:hAnsi="Times New Roman" w:cs="Times New Roman"/>
          <w:sz w:val="24"/>
          <w:szCs w:val="24"/>
        </w:rPr>
        <w:t>-в 2017 году 40</w:t>
      </w:r>
      <w:r>
        <w:rPr>
          <w:rFonts w:ascii="Times New Roman" w:hAnsi="Times New Roman" w:cs="Times New Roman"/>
          <w:sz w:val="24"/>
          <w:szCs w:val="24"/>
        </w:rPr>
        <w:t>439</w:t>
      </w:r>
      <w:r w:rsidRPr="0008225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F7329" w:rsidRPr="004C50DD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D3E">
        <w:rPr>
          <w:rFonts w:ascii="Times New Roman" w:hAnsi="Times New Roman" w:cs="Times New Roman"/>
          <w:sz w:val="24"/>
          <w:szCs w:val="24"/>
        </w:rPr>
        <w:t>В оценочном году численность занятого в экономике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D3E">
        <w:rPr>
          <w:rFonts w:ascii="Times New Roman" w:hAnsi="Times New Roman" w:cs="Times New Roman"/>
          <w:sz w:val="24"/>
          <w:szCs w:val="24"/>
        </w:rPr>
        <w:t>возрастёт на 0,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5D3E">
        <w:rPr>
          <w:rFonts w:ascii="Times New Roman" w:hAnsi="Times New Roman" w:cs="Times New Roman"/>
          <w:sz w:val="24"/>
          <w:szCs w:val="24"/>
        </w:rPr>
        <w:t>% и составит 3</w:t>
      </w:r>
      <w:r>
        <w:rPr>
          <w:rFonts w:ascii="Times New Roman" w:hAnsi="Times New Roman" w:cs="Times New Roman"/>
          <w:sz w:val="24"/>
          <w:szCs w:val="24"/>
        </w:rPr>
        <w:t>3958</w:t>
      </w:r>
      <w:r w:rsidRPr="000C5D3E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D3E">
        <w:rPr>
          <w:rFonts w:ascii="Times New Roman" w:hAnsi="Times New Roman" w:cs="Times New Roman"/>
          <w:sz w:val="24"/>
          <w:szCs w:val="24"/>
        </w:rPr>
        <w:t xml:space="preserve">За прогнозируемые 2015-2017 годы численность </w:t>
      </w:r>
      <w:r>
        <w:rPr>
          <w:rFonts w:ascii="Times New Roman" w:hAnsi="Times New Roman" w:cs="Times New Roman"/>
          <w:sz w:val="24"/>
          <w:szCs w:val="24"/>
        </w:rPr>
        <w:t xml:space="preserve">занятого в экономике населения </w:t>
      </w:r>
      <w:r w:rsidRPr="000C5D3E">
        <w:rPr>
          <w:rFonts w:ascii="Times New Roman" w:hAnsi="Times New Roman" w:cs="Times New Roman"/>
          <w:sz w:val="24"/>
          <w:szCs w:val="24"/>
        </w:rPr>
        <w:t xml:space="preserve">возрастёт на 120 человек по первому базовому варианту развития и на 253 </w:t>
      </w:r>
      <w:r w:rsidRPr="004C50DD">
        <w:rPr>
          <w:rFonts w:ascii="Times New Roman" w:hAnsi="Times New Roman" w:cs="Times New Roman"/>
          <w:sz w:val="24"/>
          <w:szCs w:val="24"/>
        </w:rPr>
        <w:t>человека по умеренно оптимистичному варианту.</w:t>
      </w:r>
    </w:p>
    <w:p w:rsidR="00DF7329" w:rsidRPr="004C50DD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D">
        <w:rPr>
          <w:rFonts w:ascii="Times New Roman" w:hAnsi="Times New Roman" w:cs="Times New Roman"/>
          <w:sz w:val="24"/>
          <w:szCs w:val="24"/>
        </w:rPr>
        <w:tab/>
        <w:t>На прогнозируемый период по I варианту развития  рост численности занятых в экономике будет незначительным и по годам составит:</w:t>
      </w:r>
    </w:p>
    <w:p w:rsidR="00DF7329" w:rsidRPr="004C50DD" w:rsidRDefault="00DF7329" w:rsidP="00DF7329">
      <w:pPr>
        <w:widowControl w:val="0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982"/>
        <w:gridCol w:w="1980"/>
        <w:gridCol w:w="1982"/>
      </w:tblGrid>
      <w:tr w:rsidR="00DF7329" w:rsidRPr="004C50DD" w:rsidTr="00283E9A">
        <w:trPr>
          <w:trHeight w:val="785"/>
        </w:trPr>
        <w:tc>
          <w:tcPr>
            <w:tcW w:w="1980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DD">
              <w:rPr>
                <w:rFonts w:ascii="Times New Roman" w:hAnsi="Times New Roman" w:cs="Times New Roman"/>
                <w:sz w:val="20"/>
                <w:szCs w:val="20"/>
              </w:rPr>
              <w:t>2015 год прогноз,</w:t>
            </w:r>
          </w:p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DD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DD">
              <w:rPr>
                <w:rFonts w:ascii="Times New Roman" w:hAnsi="Times New Roman" w:cs="Times New Roman"/>
                <w:sz w:val="20"/>
                <w:szCs w:val="20"/>
              </w:rPr>
              <w:t>2016 год прогноз, тыс. человек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DD">
              <w:rPr>
                <w:rFonts w:ascii="Times New Roman" w:hAnsi="Times New Roman" w:cs="Times New Roman"/>
                <w:sz w:val="20"/>
                <w:szCs w:val="20"/>
              </w:rPr>
              <w:t>%, 2016 к 2015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DD">
              <w:rPr>
                <w:rFonts w:ascii="Times New Roman" w:hAnsi="Times New Roman" w:cs="Times New Roman"/>
                <w:sz w:val="20"/>
                <w:szCs w:val="20"/>
              </w:rPr>
              <w:t>2017 год прогноз, тыс. человек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0DD">
              <w:rPr>
                <w:rFonts w:ascii="Times New Roman" w:hAnsi="Times New Roman" w:cs="Times New Roman"/>
                <w:sz w:val="20"/>
                <w:szCs w:val="20"/>
              </w:rPr>
              <w:t>%,  2017 к 2016</w:t>
            </w:r>
          </w:p>
        </w:tc>
      </w:tr>
      <w:tr w:rsidR="00DF7329" w:rsidRPr="004C50DD" w:rsidTr="00283E9A">
        <w:trPr>
          <w:trHeight w:val="515"/>
        </w:trPr>
        <w:tc>
          <w:tcPr>
            <w:tcW w:w="1980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33,979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34,015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34,099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DF7329" w:rsidRPr="004C50DD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</w:tbl>
    <w:p w:rsidR="00DF7329" w:rsidRPr="00834B3D" w:rsidRDefault="00DF7329" w:rsidP="00DF732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7329" w:rsidRPr="00766C66" w:rsidRDefault="00DF7329" w:rsidP="00DF732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C66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766C6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6C66">
        <w:rPr>
          <w:rFonts w:ascii="Times New Roman" w:hAnsi="Times New Roman" w:cs="Times New Roman"/>
          <w:sz w:val="24"/>
          <w:szCs w:val="24"/>
        </w:rPr>
        <w:t xml:space="preserve"> варианту развития предполагается более благоприятное развитие ситуации, численность прогнозируется в следующих параметрах:</w:t>
      </w:r>
    </w:p>
    <w:p w:rsidR="00DF7329" w:rsidRPr="00766C66" w:rsidRDefault="00DF7329" w:rsidP="00DF7329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66C66">
        <w:rPr>
          <w:rFonts w:ascii="Times New Roman" w:hAnsi="Times New Roman" w:cs="Times New Roman"/>
          <w:sz w:val="20"/>
          <w:szCs w:val="20"/>
        </w:rPr>
        <w:lastRenderedPageBreak/>
        <w:t>тыс. человек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983"/>
        <w:gridCol w:w="1985"/>
        <w:gridCol w:w="1983"/>
        <w:gridCol w:w="1985"/>
      </w:tblGrid>
      <w:tr w:rsidR="00DF7329" w:rsidRPr="00766C66" w:rsidTr="00283E9A">
        <w:trPr>
          <w:trHeight w:val="843"/>
        </w:trPr>
        <w:tc>
          <w:tcPr>
            <w:tcW w:w="1983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66">
              <w:rPr>
                <w:rFonts w:ascii="Times New Roman" w:hAnsi="Times New Roman" w:cs="Times New Roman"/>
                <w:sz w:val="20"/>
                <w:szCs w:val="20"/>
              </w:rPr>
              <w:t>2015 год прогноз,</w:t>
            </w:r>
          </w:p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66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66">
              <w:rPr>
                <w:rFonts w:ascii="Times New Roman" w:hAnsi="Times New Roman" w:cs="Times New Roman"/>
                <w:sz w:val="20"/>
                <w:szCs w:val="20"/>
              </w:rPr>
              <w:t>2016 год прогноз, тыс.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66">
              <w:rPr>
                <w:rFonts w:ascii="Times New Roman" w:hAnsi="Times New Roman" w:cs="Times New Roman"/>
                <w:sz w:val="20"/>
                <w:szCs w:val="20"/>
              </w:rPr>
              <w:t>%, 2016 к 2015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66">
              <w:rPr>
                <w:rFonts w:ascii="Times New Roman" w:hAnsi="Times New Roman" w:cs="Times New Roman"/>
                <w:sz w:val="20"/>
                <w:szCs w:val="20"/>
              </w:rPr>
              <w:t>2017 год прогноз, тыс.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66">
              <w:rPr>
                <w:rFonts w:ascii="Times New Roman" w:hAnsi="Times New Roman" w:cs="Times New Roman"/>
                <w:sz w:val="20"/>
                <w:szCs w:val="20"/>
              </w:rPr>
              <w:t>%,  2017 к 2016</w:t>
            </w:r>
          </w:p>
        </w:tc>
      </w:tr>
      <w:tr w:rsidR="00DF7329" w:rsidRPr="00766C66" w:rsidTr="00283E9A">
        <w:trPr>
          <w:trHeight w:val="581"/>
        </w:trPr>
        <w:tc>
          <w:tcPr>
            <w:tcW w:w="1983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34,027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7329" w:rsidRPr="00766C66" w:rsidRDefault="00DF7329" w:rsidP="00283E9A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</w:tbl>
    <w:p w:rsidR="00DF7329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Pr="00BC3268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Безработица</w:t>
      </w:r>
    </w:p>
    <w:p w:rsidR="00DF7329" w:rsidRPr="00252A4D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4D">
        <w:rPr>
          <w:rFonts w:ascii="Times New Roman" w:hAnsi="Times New Roman" w:cs="Times New Roman"/>
          <w:sz w:val="24"/>
          <w:szCs w:val="24"/>
        </w:rPr>
        <w:t xml:space="preserve">Одним из основных факторов при характеристике рынка труда любой территории является  уровень безработицы. </w:t>
      </w:r>
    </w:p>
    <w:p w:rsidR="00DF7329" w:rsidRPr="00252A4D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A4D">
        <w:rPr>
          <w:rFonts w:ascii="Times New Roman" w:hAnsi="Times New Roman" w:cs="Times New Roman"/>
          <w:sz w:val="24"/>
          <w:szCs w:val="24"/>
        </w:rPr>
        <w:t>Городской округ город Мегион в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52A4D">
        <w:rPr>
          <w:rFonts w:ascii="Times New Roman" w:hAnsi="Times New Roman" w:cs="Times New Roman"/>
          <w:sz w:val="24"/>
          <w:szCs w:val="24"/>
        </w:rPr>
        <w:t xml:space="preserve"> году имеет позитивные сдвиги в области занятости населения со значительным снижением уровня зарегистрированной безработицы.</w:t>
      </w:r>
    </w:p>
    <w:p w:rsidR="00DF7329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52A4D">
        <w:rPr>
          <w:rFonts w:ascii="Times New Roman" w:eastAsia="Calibri" w:hAnsi="Times New Roman" w:cs="Times New Roman"/>
          <w:sz w:val="24"/>
        </w:rPr>
        <w:t xml:space="preserve">Основные показатели безработицы - численность обратившихся в службу занятости населения и численность безработных граждан-за анализируемый период постепенно </w:t>
      </w:r>
      <w:r>
        <w:rPr>
          <w:rFonts w:ascii="Times New Roman" w:eastAsia="Calibri" w:hAnsi="Times New Roman" w:cs="Times New Roman"/>
          <w:sz w:val="24"/>
        </w:rPr>
        <w:t>снижаются, свидетельствуя о достаточно стабильном положении на рынке труда.</w:t>
      </w:r>
    </w:p>
    <w:p w:rsidR="00DF7329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 2013 год число обратившихся в службу занятости за услугами сократилось на 0,6%. Не все обратившиеся за услугами  являются безработными. В данную строку включается число обращений за оказанием любых видов профильных услуг – это обращения хозяйствующих субъектов по подбору персонала, обращения о размещении заявок с вакансиями, за консультацией по выбору наиболее востребованных видов профессий и т.д.</w:t>
      </w:r>
    </w:p>
    <w:p w:rsidR="00DF7329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Из всех обратившихся только 41,8% являлись безработными (47,8% в 2012 году), целью обращения которых являлось трудоустройство.</w:t>
      </w:r>
    </w:p>
    <w:p w:rsidR="00DF7329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Имевших юридическое основание быть официально признанными «безработным» и признанных таковыми в 2013 году стали 724 человека, что ниже аналогичного показателя 2012 года на 21,2%.</w:t>
      </w:r>
    </w:p>
    <w:p w:rsidR="00DF7329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Уровень безработицы на 01.01.2014 составляет 0,59 против 0,85 на 01.01.2013. Показатель снизился на 30,6%.</w:t>
      </w:r>
    </w:p>
    <w:p w:rsidR="00DF7329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DF7329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8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показателей по безработице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438D2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DF7329" w:rsidRPr="009300C6" w:rsidRDefault="00DF7329" w:rsidP="00DF7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7329" w:rsidRPr="008F4919" w:rsidRDefault="00DF7329" w:rsidP="00DF73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98"/>
        <w:gridCol w:w="1198"/>
        <w:gridCol w:w="1199"/>
      </w:tblGrid>
      <w:tr w:rsidR="00DF7329" w:rsidRPr="008F4919" w:rsidTr="00283E9A">
        <w:trPr>
          <w:trHeight w:val="283"/>
          <w:tblHeader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</w:t>
            </w:r>
          </w:p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к 2012</w:t>
            </w:r>
          </w:p>
        </w:tc>
      </w:tr>
      <w:tr w:rsidR="00DF7329" w:rsidRPr="008F4919" w:rsidTr="00283E9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обратившихся за услугами службы занятости населения, </w:t>
            </w: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DF7329" w:rsidRPr="008F4919" w:rsidTr="00283E9A">
        <w:trPr>
          <w:trHeight w:val="3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 них незанятых трудом на момент обращения, </w:t>
            </w: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</w:tr>
      <w:tr w:rsidR="00DF7329" w:rsidRPr="008F4919" w:rsidTr="00283E9A">
        <w:trPr>
          <w:trHeight w:val="3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 признаны безработными, </w:t>
            </w: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DF7329" w:rsidRPr="008F4919" w:rsidTr="00283E9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официальный статус безработного на конец отчётного года, </w:t>
            </w: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DF7329" w:rsidRPr="008F4919" w:rsidTr="00283E9A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</w:t>
            </w:r>
            <w:r w:rsidRPr="008F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 от численности экономически активного населения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29" w:rsidRPr="008F4919" w:rsidRDefault="00DF7329" w:rsidP="0028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</w:tbl>
    <w:p w:rsidR="00DF7329" w:rsidRPr="00D84324" w:rsidRDefault="00DF7329" w:rsidP="00DF7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безработных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2013 год изменилась 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образом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4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уровню образования: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43,3% снизилось число лиц, имеющих высшее образование;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18,6% сократилось число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37,0% сократилось число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26,1</w:t>
      </w: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сократилось число лиц, имеющих общее образование;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4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возрасту: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30,2% сократилось число молодёжи в возрасте 18-29 лет;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8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24,6% сократилось число людей в остальных возрастных категориях;</w:t>
      </w:r>
    </w:p>
    <w:p w:rsidR="00DF7329" w:rsidRPr="009D458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испытывающих трудности в поиске работы</w:t>
      </w:r>
      <w:r w:rsidRPr="009D45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F7329" w:rsidRPr="006961F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33,3% снизилось число многодетных родителей;</w:t>
      </w:r>
    </w:p>
    <w:p w:rsidR="00DF7329" w:rsidRPr="006961F2" w:rsidRDefault="00DF7329" w:rsidP="00DF7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-наполовину сократилось число одиноких родителей;</w:t>
      </w:r>
    </w:p>
    <w:p w:rsidR="00DF7329" w:rsidRPr="006961F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33,3% сократилось число желающих возобновить трудовую деятельность после длительного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</w:t>
      </w:r>
      <w:r w:rsidRPr="00696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перерыва;</w:t>
      </w:r>
    </w:p>
    <w:p w:rsidR="00DF7329" w:rsidRPr="006961F2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14,8% сократилось число впервые ищущих работу;</w:t>
      </w:r>
    </w:p>
    <w:p w:rsidR="00DF7329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71,4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696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выросло число инвалидов, испытывающих трудности в трудоустройстве </w:t>
      </w:r>
    </w:p>
    <w:p w:rsidR="00DF7329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40% выросло число лиц, не имеющих профессии и специальности.</w:t>
      </w:r>
    </w:p>
    <w:p w:rsidR="00DF7329" w:rsidRDefault="00DF7329" w:rsidP="00DF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Неизменным осталось число лиц, освобождённых из учреждний исполнения наказаний, по 2 человека за каждый год.</w:t>
      </w:r>
    </w:p>
    <w:p w:rsidR="00DF7329" w:rsidRPr="006279A3" w:rsidRDefault="00DF7329" w:rsidP="00DF7329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9A3">
        <w:rPr>
          <w:rFonts w:ascii="Times New Roman" w:hAnsi="Times New Roman" w:cs="Times New Roman"/>
          <w:sz w:val="24"/>
          <w:szCs w:val="24"/>
        </w:rPr>
        <w:t>В целях предоставления государственных услуг в области содействия занятости населения реализуются мероприятия программы «Содействие занятости населения на 2011-2013 годы и на период до 2015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329" w:rsidRPr="00C963A5" w:rsidRDefault="00DF7329" w:rsidP="00DF7329">
      <w:pPr>
        <w:widowControl w:val="0"/>
        <w:tabs>
          <w:tab w:val="left" w:pos="709"/>
        </w:tabs>
        <w:autoSpaceDE w:val="0"/>
        <w:autoSpaceDN w:val="0"/>
        <w:adjustRightInd w:val="0"/>
        <w:spacing w:after="4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рамках мероприятий программы тр</w:t>
      </w:r>
      <w:r w:rsidRPr="006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удоустроены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 постоянно </w:t>
      </w:r>
      <w:r w:rsidRPr="006279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644</w:t>
      </w:r>
      <w:r w:rsidRPr="0062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 том числе  1473 подростка, устроенных на временную занятость и 171 человек из числа безработных и </w:t>
      </w:r>
      <w:r w:rsidRPr="00C963A5">
        <w:rPr>
          <w:rFonts w:ascii="Times New Roman" w:eastAsia="Calibri" w:hAnsi="Times New Roman" w:cs="Times New Roman"/>
          <w:sz w:val="24"/>
        </w:rPr>
        <w:t>89</w:t>
      </w:r>
      <w:r>
        <w:rPr>
          <w:rFonts w:ascii="Times New Roman" w:eastAsia="Calibri" w:hAnsi="Times New Roman" w:cs="Times New Roman"/>
          <w:sz w:val="24"/>
        </w:rPr>
        <w:t xml:space="preserve"> человек получили у</w:t>
      </w:r>
      <w:r w:rsidRPr="00C963A5">
        <w:rPr>
          <w:rFonts w:ascii="Times New Roman" w:eastAsia="Calibri" w:hAnsi="Times New Roman" w:cs="Times New Roman"/>
          <w:sz w:val="24"/>
        </w:rPr>
        <w:t>слуги по профориентации, подготовке, переподготовке кадров и повышению уровня квалификации</w:t>
      </w:r>
      <w:r>
        <w:rPr>
          <w:rFonts w:ascii="Times New Roman" w:eastAsia="Calibri" w:hAnsi="Times New Roman" w:cs="Times New Roman"/>
          <w:sz w:val="24"/>
        </w:rPr>
        <w:t>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329" w:rsidRPr="006279A3" w:rsidRDefault="00DF7329" w:rsidP="00DF7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9A3">
        <w:rPr>
          <w:rFonts w:ascii="Times New Roman" w:eastAsia="Calibri" w:hAnsi="Times New Roman" w:cs="Times New Roman"/>
          <w:sz w:val="24"/>
          <w:szCs w:val="24"/>
        </w:rPr>
        <w:t>Информация по трудоустройству безработных граждан за 201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279A3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279A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</w:p>
    <w:p w:rsidR="00DF7329" w:rsidRPr="00D558D0" w:rsidRDefault="00DF7329" w:rsidP="00DF732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558D0">
        <w:rPr>
          <w:rFonts w:ascii="Times New Roman" w:eastAsia="Calibri" w:hAnsi="Times New Roman" w:cs="Times New Roman"/>
          <w:sz w:val="20"/>
          <w:szCs w:val="20"/>
        </w:rPr>
        <w:t>человек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2"/>
        <w:gridCol w:w="1157"/>
        <w:gridCol w:w="1157"/>
        <w:gridCol w:w="1158"/>
      </w:tblGrid>
      <w:tr w:rsidR="00DF7329" w:rsidRPr="006279A3" w:rsidTr="00283E9A">
        <w:trPr>
          <w:trHeight w:val="82"/>
          <w:tblHeader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9A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9A3">
              <w:rPr>
                <w:rFonts w:ascii="Times New Roman" w:eastAsia="Calibri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9A3">
              <w:rPr>
                <w:rFonts w:ascii="Times New Roman" w:eastAsia="Calibri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9A3">
              <w:rPr>
                <w:rFonts w:ascii="Times New Roman" w:eastAsia="Calibri" w:hAnsi="Times New Roman" w:cs="Times New Roman"/>
                <w:sz w:val="20"/>
                <w:szCs w:val="20"/>
              </w:rPr>
              <w:t>%,</w:t>
            </w:r>
          </w:p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79A3">
              <w:rPr>
                <w:rFonts w:ascii="Times New Roman" w:eastAsia="Calibri" w:hAnsi="Times New Roman" w:cs="Times New Roman"/>
                <w:sz w:val="16"/>
                <w:szCs w:val="16"/>
              </w:rPr>
              <w:t>2013 к 2012</w:t>
            </w:r>
          </w:p>
        </w:tc>
      </w:tr>
      <w:tr w:rsidR="00DF7329" w:rsidRPr="006279A3" w:rsidTr="00283E9A">
        <w:trPr>
          <w:trHeight w:val="110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самозанятости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94,8</w:t>
            </w:r>
          </w:p>
        </w:tc>
      </w:tr>
      <w:tr w:rsidR="00DF7329" w:rsidRPr="006279A3" w:rsidTr="00283E9A">
        <w:trPr>
          <w:trHeight w:val="245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 трудоустройство  несовершеннолетних граждан 14-18 лет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1473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111,0</w:t>
            </w:r>
          </w:p>
        </w:tc>
      </w:tr>
      <w:tr w:rsidR="00DF7329" w:rsidRPr="006279A3" w:rsidTr="00283E9A">
        <w:trPr>
          <w:trHeight w:val="99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Трудоустройство инвалидов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</w:tr>
      <w:tr w:rsidR="00DF7329" w:rsidRPr="006279A3" w:rsidTr="00283E9A">
        <w:trPr>
          <w:trHeight w:val="198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Трудоустройство граждан,  отбывших срок наказания 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46,2</w:t>
            </w:r>
          </w:p>
        </w:tc>
      </w:tr>
      <w:tr w:rsidR="00DF7329" w:rsidRPr="006279A3" w:rsidTr="00283E9A">
        <w:trPr>
          <w:trHeight w:val="104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DF7329" w:rsidRPr="006279A3" w:rsidTr="00283E9A">
        <w:trPr>
          <w:trHeight w:val="291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временного трудоустройства безработных граждан, испытывающих трудности в поиске работы 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73,7</w:t>
            </w:r>
          </w:p>
        </w:tc>
      </w:tr>
      <w:tr w:rsidR="00DF7329" w:rsidRPr="006279A3" w:rsidTr="00283E9A">
        <w:trPr>
          <w:trHeight w:val="202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 безработных  граждан в возрасте от 18 до 20 лет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F7329" w:rsidRPr="006279A3" w:rsidTr="00283E9A">
        <w:trPr>
          <w:trHeight w:val="158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9A3">
              <w:rPr>
                <w:rFonts w:ascii="Times New Roman" w:eastAsia="Calibri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105,6</w:t>
            </w:r>
          </w:p>
        </w:tc>
      </w:tr>
      <w:tr w:rsidR="00DF7329" w:rsidRPr="006279A3" w:rsidTr="00283E9A">
        <w:trPr>
          <w:trHeight w:val="158"/>
        </w:trPr>
        <w:tc>
          <w:tcPr>
            <w:tcW w:w="6312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без подростков</w:t>
            </w:r>
          </w:p>
        </w:tc>
        <w:tc>
          <w:tcPr>
            <w:tcW w:w="1157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58" w:type="dxa"/>
            <w:vAlign w:val="center"/>
          </w:tcPr>
          <w:p w:rsidR="00DF7329" w:rsidRPr="006279A3" w:rsidRDefault="00DF7329" w:rsidP="0028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71,9</w:t>
            </w:r>
          </w:p>
        </w:tc>
      </w:tr>
    </w:tbl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DF7329" w:rsidRPr="003A5C3E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 23,8% выросло число заявленных вакансий и составило 6098, что, в свою очередь способствует сокращению численности безработных тоже.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5C3E">
        <w:rPr>
          <w:rFonts w:ascii="Times New Roman" w:eastAsia="Calibri" w:hAnsi="Times New Roman" w:cs="Times New Roman"/>
          <w:sz w:val="24"/>
        </w:rPr>
        <w:t>Значительный спрос на рабочую силу вырос в отраслях:</w:t>
      </w:r>
    </w:p>
    <w:p w:rsidR="00DF7329" w:rsidRPr="003A5C3E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5C3E">
        <w:rPr>
          <w:rFonts w:ascii="Times New Roman" w:eastAsia="Calibri" w:hAnsi="Times New Roman" w:cs="Times New Roman"/>
          <w:sz w:val="24"/>
        </w:rPr>
        <w:t>-«добыча полезных ископаемых» на 25,4%;</w:t>
      </w:r>
    </w:p>
    <w:p w:rsidR="00DF7329" w:rsidRPr="003A5C3E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5C3E">
        <w:rPr>
          <w:rFonts w:ascii="Times New Roman" w:eastAsia="Calibri" w:hAnsi="Times New Roman" w:cs="Times New Roman"/>
          <w:sz w:val="24"/>
        </w:rPr>
        <w:t>-«производство и распределение электроэнергии, газа и воды» на  72,7%;</w:t>
      </w:r>
    </w:p>
    <w:p w:rsidR="00DF7329" w:rsidRPr="003A5C3E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5C3E">
        <w:rPr>
          <w:rFonts w:ascii="Times New Roman" w:eastAsia="Calibri" w:hAnsi="Times New Roman" w:cs="Times New Roman"/>
          <w:sz w:val="24"/>
        </w:rPr>
        <w:t>-«строительство» на 31,7%;</w:t>
      </w:r>
    </w:p>
    <w:p w:rsidR="00DF7329" w:rsidRPr="003A5C3E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5C3E">
        <w:rPr>
          <w:rFonts w:ascii="Times New Roman" w:eastAsia="Calibri" w:hAnsi="Times New Roman" w:cs="Times New Roman"/>
          <w:sz w:val="24"/>
        </w:rPr>
        <w:t>-«операции с недвижимым имуществом, аренда и предоставление услуг» более, чем в 2 раза;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A5C3E">
        <w:rPr>
          <w:rFonts w:ascii="Times New Roman" w:eastAsia="Calibri" w:hAnsi="Times New Roman" w:cs="Times New Roman"/>
          <w:sz w:val="24"/>
        </w:rPr>
        <w:t>-«предоставление прочих коммунальных, социальных и персональных услуг» на 66,7%.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Наличие такого значительного количества заявленной потребности в рабочей силе объясняется несовпадением между существующей квалификацией безработного и квалификационными требованиями вакансий. Хозяйствующие субъекты всех отраслей в соответствии с современными требованиями модернизируют процесс производства, в связи с этим возрастает необходимость в более высоком уровне квалификации рабочей силы, которым обладает не каждый безработный.</w:t>
      </w:r>
    </w:p>
    <w:p w:rsidR="00DF7329" w:rsidRDefault="00DF7329" w:rsidP="00DF7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На сокращение уровня безработицы также повлияло количество вновь созданных рабочих мест. </w:t>
      </w:r>
      <w:r w:rsidRPr="002C4C78">
        <w:rPr>
          <w:rFonts w:ascii="Times New Roman" w:eastAsia="Calibri" w:hAnsi="Times New Roman" w:cs="Times New Roman"/>
          <w:sz w:val="24"/>
        </w:rPr>
        <w:t xml:space="preserve">За 2013 год создано 108 новых рабочих мест </w:t>
      </w:r>
      <w:r>
        <w:rPr>
          <w:rFonts w:ascii="Times New Roman" w:eastAsia="Calibri" w:hAnsi="Times New Roman" w:cs="Times New Roman"/>
          <w:sz w:val="24"/>
        </w:rPr>
        <w:t xml:space="preserve">во вновь созданных муниципальных учреждениях </w:t>
      </w:r>
      <w:r w:rsidRPr="002C4C78">
        <w:rPr>
          <w:rFonts w:ascii="Times New Roman" w:eastAsia="Calibri" w:hAnsi="Times New Roman" w:cs="Times New Roman"/>
          <w:sz w:val="24"/>
        </w:rPr>
        <w:t>и 55 создано гражданами в р</w:t>
      </w:r>
      <w:r>
        <w:rPr>
          <w:rFonts w:ascii="Times New Roman" w:eastAsia="Calibri" w:hAnsi="Times New Roman" w:cs="Times New Roman"/>
          <w:sz w:val="24"/>
        </w:rPr>
        <w:t>амках организации самозанятости.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033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затрат на организацию содействия занятости производится из средств консолидированного бюджета. З</w:t>
      </w:r>
      <w:r w:rsidRPr="00F0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атраты на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программных </w:t>
      </w:r>
      <w:r w:rsidRPr="00F0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за 2013 год, в сравнении с теми же показателями 2012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сократились на 13,8% на фоне снижения численности обслуживаемого контингента, и составили 14592,6 тыс. рублей</w:t>
      </w:r>
      <w:r w:rsidRPr="0082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7329" w:rsidRPr="0082591B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относительный показатель - сумма затрат на организацию занятости одного безработного - за 2013 год выросла на 9,5%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20156 рубл</w:t>
      </w:r>
      <w:r w:rsidRPr="0082591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против 18400 рублей за 2012 год.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Материальная поддержка безработных граждан в рамках государственных социальных программ производится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 </w:t>
      </w:r>
      <w:r w:rsidRPr="00826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пособий, стипендий на время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,профессиональной подготовки,</w:t>
      </w:r>
      <w:r w:rsidRPr="0082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переподготовки и материальной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</w:t>
      </w:r>
      <w:r w:rsidRPr="0082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нуждающимся. 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ежегодно изменяются в прямой зависимости от качественной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количественной характеристики контингента-ч</w:t>
      </w:r>
      <w:r w:rsidRPr="008267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 получателе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пособий по циклам, наличие или отсутствие снижающих факторов в виде нарушений определённых требований,  и т.д. </w:t>
      </w:r>
    </w:p>
    <w:p w:rsidR="00DF7329" w:rsidRPr="005E336F" w:rsidRDefault="00DF7329" w:rsidP="00DF73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5E336F">
        <w:rPr>
          <w:rFonts w:ascii="Times New Roman" w:eastAsia="Calibri" w:hAnsi="Times New Roman" w:cs="Times New Roman"/>
          <w:sz w:val="24"/>
        </w:rPr>
        <w:t>Службой занятости населения</w:t>
      </w:r>
      <w:r>
        <w:rPr>
          <w:rFonts w:ascii="Times New Roman" w:eastAsia="Calibri" w:hAnsi="Times New Roman" w:cs="Times New Roman"/>
          <w:sz w:val="24"/>
        </w:rPr>
        <w:t xml:space="preserve"> совместно с  органами</w:t>
      </w:r>
      <w:r w:rsidRPr="005E336F">
        <w:rPr>
          <w:rFonts w:ascii="Times New Roman" w:eastAsia="Calibri" w:hAnsi="Times New Roman" w:cs="Times New Roman"/>
          <w:sz w:val="24"/>
        </w:rPr>
        <w:t xml:space="preserve"> местного самоуправления,  в течение года организовывалось систематическое информирование о возможных формах трудоустройства, органи</w:t>
      </w:r>
      <w:r>
        <w:rPr>
          <w:rFonts w:ascii="Times New Roman" w:eastAsia="Calibri" w:hAnsi="Times New Roman" w:cs="Times New Roman"/>
          <w:sz w:val="24"/>
        </w:rPr>
        <w:t>зации переобучения, стажировки и т.д.</w:t>
      </w:r>
    </w:p>
    <w:p w:rsidR="00DF7329" w:rsidRPr="00091783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783">
        <w:rPr>
          <w:rFonts w:ascii="Times New Roman" w:hAnsi="Times New Roman" w:cs="Times New Roman"/>
          <w:sz w:val="24"/>
          <w:szCs w:val="24"/>
        </w:rPr>
        <w:t xml:space="preserve">Развитие ситуации на рынке труда на прогнозируемый период целиком и полностью будет зависеть от равновесия спроса и предложения рабочей </w:t>
      </w:r>
      <w:r>
        <w:rPr>
          <w:rFonts w:ascii="Times New Roman" w:hAnsi="Times New Roman" w:cs="Times New Roman"/>
          <w:sz w:val="24"/>
          <w:szCs w:val="24"/>
        </w:rPr>
        <w:t xml:space="preserve">силы на рынке труда и комплексного </w:t>
      </w:r>
      <w:r w:rsidRPr="00091783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1783">
        <w:rPr>
          <w:rFonts w:ascii="Times New Roman" w:hAnsi="Times New Roman" w:cs="Times New Roman"/>
          <w:sz w:val="24"/>
          <w:szCs w:val="24"/>
        </w:rPr>
        <w:t xml:space="preserve"> проблем занятости в интересах полного и эффективного  использования трудового потенциала.</w:t>
      </w:r>
    </w:p>
    <w:p w:rsidR="00DF7329" w:rsidRPr="005E336F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реализация мер по сокращению объёмов безработицы останется актуальной, и рациональное регулирование рынка труда будет иметь цели:</w:t>
      </w:r>
    </w:p>
    <w:p w:rsidR="00DF7329" w:rsidRPr="005E336F" w:rsidRDefault="00DF7329" w:rsidP="00DF73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F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-трудоустройства незанятого населения и оказание помощи в профессиональной подготовке и переподготовке;</w:t>
      </w:r>
    </w:p>
    <w:p w:rsidR="00DF7329" w:rsidRPr="005E336F" w:rsidRDefault="00DF7329" w:rsidP="00DF7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-стимулирование образования гибкого рынка труда; </w:t>
      </w:r>
    </w:p>
    <w:p w:rsidR="00DF7329" w:rsidRPr="005E336F" w:rsidRDefault="00DF7329" w:rsidP="00DF7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36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-социальная защита безработных граждан.</w:t>
      </w:r>
    </w:p>
    <w:p w:rsidR="00DF7329" w:rsidRPr="005E336F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3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E33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предопределяют задачи реализации мероприятий по предупреждению массового сокращения рабочих мест, задержек выплат заработной платы, содействию занятости населения  и стабилизации ситуации на рынке труда.</w:t>
      </w:r>
    </w:p>
    <w:p w:rsidR="00DF7329" w:rsidRPr="005E336F" w:rsidRDefault="00DF7329" w:rsidP="00DF7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Default="00DF7329" w:rsidP="00DF73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4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Поступления доходов в бюджетную систему </w:t>
      </w: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Прогноз поступления доходов в бюджетную систему Российской Федерации от налогоплательщиков городского округа город Мегион составлен на основе фактических данных об исполнении консолидированного бюджета за предыдущий год и предполагаемых условий социально-экономического развития страны до 2017 года, ожидаемых итогов в текущем году и основных прогнозных параметров социально-экономического развития городского округа город Мегион на 2015-2017 годы, а также с учетом реформирования налоговой и бюджетной системы.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налоговых и иных обязательных платежей в бюджетную систему Российской Федерации с территории города в оцениваемом 2014 году ожидаются в сумме 75374,1 млн.рублей, что на 6,1% выше аналогичного периода 2013 года. В 2015-2017 годы объемы поступлений прогнозируются с ростом 100,5-108,3% по первому варианту и 100,9-112,9% по второму варианту.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налоговых поступлений в 2014 году оценивается с ростом 6,4% к 2013 году и составит 71139,5 млн.рублей. Общая сумма налоговых поступлений и других обязательных платежей во все уровни бюджета (к предыдущему году) по </w:t>
      </w:r>
      <w:r w:rsidRPr="00621C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</w:t>
      </w:r>
      <w:r w:rsidRPr="00621C6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вариантам прогноза по годам составит: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в 2015 году – 75819,9 млн.рублей (106,6%) и 79214,9 млн.рублей (111,4%);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2016 году – 78200,2 млн.рублей (103,1%) и 82135,4 млн.рублей (103,7%);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в 2017 году – 78197,6 млн.рублей (100,0%) и 82355,2 млн.рублей (100,3%).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налогом в структуре налоговых поступлений остается налог на добычу полезных ископаемых – 71,3% (2013 год). Учитывая уровень цен текущего года согласно сценарным условиям, сумма поступлений налога в 2014 году оценивается на уровне 53459,7 млн.рублей, с ростом 12,2% к 2013 году. В 2015 году темп роста поступлений налога на добычу полезных ископаемых по первому варианту составит 108,4%, по второму варианту – 114,5%. В 2017 году поступление налога прогнозируется с незначительным снижением, что связано с прогнозируемым снижением темпов добычи нефти и газа нефтегазодобывающего предприятия города.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Налог на добавленную стоимость оценивается в сумме 13712,3 млн.рублей, доля которого в общей сумме налоговых поступлений составляет 19,3%. Рост поступлений налога на добавленную стоимость в 2015-2017 годах прогнозируется на уровне 100,2-100,4% по первому варианту и 101,0-101,1% по второму варианту.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и крупнейшими плательщиками налога на прибыль на территории городского округа город Мегион являются предприятия нефтегазового комплекса. В 2013 году сумма поступлений налога на прибыль организаций снизилась на 57,4%, что в основном обусловлено результатами финансовой деятельности предприятий и организаций нефтегазовой деятельности, на долю которых приходится более 80% прибыли организаций территории. Ожидаемое поступление данного налога рассчитано исходя из ценовой конъюнктуры нефти согласно сценарным условиям.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В дальнейшем поступления налога на прибыль  организаций прогнозируются на уровне 2014 года.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налога на доходы физических лиц в 2014 году оцениваются в сумме 1639,7 млн.рублей, рост к уровню 2013 года составит 1,4%, его доля составляет 2,3%. Прогнозируется, что рост поступлений данного налога будет сохранен на весь период до 2017 года.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Имущественные виды налогов в 2014 году оцениваются с незначительным увеличением к уровню 2013 года и составят 444,3 млн.рублей. В дальнейшем темп роста прогнозируется на уровне 101,0-101,3% по первому варианту, 101,6-101,7% по второму варианту развития.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налогов, сборов и иных обязательных платежей в бюджет городского округа город Мегион в 2014 году оцениваются в сумме 1048,4 млн.рублей, или 84,4% к уровню 2013 года.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источником собственных доходов городского округа город Мегион является налог на доходы физических лиц, доля которого составляет 58,6% (2013 год) собственных доходов бюджета. В 2014 году сумма налога на доходы физических лиц по оценке составит 631,3 млн.рублей, или 86,7% к уровню 2013 года. С 2014 года в связи с внесением изменений в Бюджетный кодекс Российской Федерации сокращен норматив отчислений от налога на доходы физических лиц в местные бюджеты с 20,0% до 15,0%. Одновременно, Правительством Ханты-Мансийского автономного округа – Югры принято решение об уменьшении единого норматива отчислений от данного налога, передаваемого в бюджеты муниципальных образований за счет региональной доли с 25,0% до 23,5%. Таким образом, единый норматив отчислений от налога на доходы физических лиц в бюджет городского округа город Мегион с 2014 года составляет 38,5%.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дальнейшем, на 2015-2017 годы, прогнозируется рост поступлений налога на доходы физических лиц: по первому варианту на уровне 107,5%, по второму варианту 108,5%. Данный прогноз рассчитан исходя из складывающихся изменений средней заработной платы и динамики численности работников организаций и предприятий городского округа город Мегион. Поступления от налога спрогнозированы исходя из изменений фонда оплаты труда предприятий города. Прогноз поступлений суммы налога на </w:t>
      </w: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доходы физических лиц в местный бюджет на 2015-2017 годы был произведен исходя из норматива зачисления налога в бюджеты муниципальных образований в размере 38,5%. 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Налоги на совокупный доход в 2014 году по оценке составят 118,4 млн.рублей, что на 1,4% ниже поступлений в 2013 году.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Рост субъектов малого и среднего бизнеса, а также их финансовая поддержка, в рамках действующих и принимаемых программ всех уровней власти, позволяет прогнозировать положительную динамику поступления налогов на совокупный доход. Так в 2015-2017 годах прогнозируются поступления налога на совокупный доход на уровне 100,5-100,8% по первому варианту, 101,0-101,2% - по второму варианту.</w:t>
      </w:r>
    </w:p>
    <w:p w:rsidR="00DF7329" w:rsidRPr="00621C64" w:rsidRDefault="00DF7329" w:rsidP="00DF732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Налоговым кодексом Российской Федерации и Бюджетным кодексом Российской Федерации, транспортный налог является  региональным налогом и до 2014 года передавался из бюджета  Ханты-Мансийского автономного округа-Югры в бюджет города в размере 100%.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01.01.2014 транспортный налог не передается в бюджет городского округа город Мегион, что, соответственно, отразится на уменьшении поступлений налоговых доходов. </w:t>
      </w:r>
    </w:p>
    <w:p w:rsidR="00DF7329" w:rsidRPr="00621C64" w:rsidRDefault="00DF7329" w:rsidP="00DF73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Начиная с 2014 года из бюджета Ханты-Мансийского автономного округа - Югры в бюджет городского округа город Мегион, подлежит передача по дифференцированным нормативам отчислений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рассчитываемые исходя из протяженности автомобильных дорог местного значения. В прогнозный период 2014-2017 годы данные отчисления в бюджет городского округа город Мегион составят 11,4 млн.рублей в год.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земельного налога в 2014 году оценивается в сумме 16,2 млн.рублей, и снизится к уровню 2013 года на 17,3%. Прогнозируется, что поступления данного налога  будут сохранены на период до 2017 года на уровне 2014 года.</w:t>
      </w:r>
    </w:p>
    <w:p w:rsidR="00DF7329" w:rsidRPr="00621C64" w:rsidRDefault="00DF7329" w:rsidP="00DF732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Оценочное поступление налога на имущество физических лиц в 2014 году составит 10,2 млн.рублей, и снизится на 3,8% по отношению к 2013 году. В последующие годы поступления данного налога прогнозируются на уровне 2014 года и составят 10,3-10,4 млн.рублей по первому варианту, 10,5-10,6 млн.рублей – по второму варианту.</w:t>
      </w:r>
    </w:p>
    <w:p w:rsidR="00DF7329" w:rsidRPr="00621C64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>Неналоговые доходы включают в себя доходы от имущества, находящегося в муниципальной собственности, или от деятельности муниципальных организаций, административные платежи и сборы, штрафные санкции и прочие неналоговые доходы. Наибольшую долю неналоговых доходов в 2013 году составили доходы от использования имущества, находящегося в государственной и муниципальной собственности – 68,1%, доходы от продажи материальных и нематериальных активов составили 25,6%. По оценке в 2014  году ожидается снижение неналоговых доходов - на 7,2%. В 2015-2017 годах прогнозируется снижение неналоговых доходов (доходы от использования муниципального имущества, от продажи активов и прочие неналоговые доходы), что обусловлено уменьшением стоимости муниципальных активов.</w:t>
      </w:r>
    </w:p>
    <w:p w:rsidR="00DF7329" w:rsidRPr="00621C64" w:rsidRDefault="00DF7329" w:rsidP="00DF73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мобилизации и увеличения доходной части бюджета городского округа на территории муниципального образования на постоянной основе осуществляет свою деятельность комиссия по мобилизации доходов в бюджет. В состав комиссии вошли представители налоговых органов и органов муниципальной власти. Основными задачами комиссии по мобилизации доходов в бюджет города является принятие мер по сокращению налоговой недоимки, повышение собираемости налоговых и неналоговых платежей, а также разрешение проблемных вопросов уплаты и исчисления налогов и сборов на территории муниципального образования. </w:t>
      </w:r>
    </w:p>
    <w:p w:rsidR="00DF7329" w:rsidRPr="00621C64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329" w:rsidRDefault="00DF7329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606" w:rsidRDefault="008A6606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606" w:rsidRDefault="008A6606" w:rsidP="00DF7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F2" w:rsidRPr="0080274A" w:rsidRDefault="006A68F2" w:rsidP="008027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274A">
        <w:rPr>
          <w:rFonts w:ascii="Times New Roman" w:hAnsi="Times New Roman"/>
          <w:b/>
          <w:sz w:val="24"/>
          <w:szCs w:val="24"/>
        </w:rPr>
        <w:lastRenderedPageBreak/>
        <w:t>Развитие социальной сферы</w:t>
      </w:r>
    </w:p>
    <w:p w:rsidR="006A68F2" w:rsidRPr="00C54159" w:rsidRDefault="006A68F2" w:rsidP="006A68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540C" w:rsidRPr="00C55513" w:rsidRDefault="0025540C" w:rsidP="0025540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55513"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25540C" w:rsidRPr="00061871" w:rsidRDefault="0025540C" w:rsidP="0025540C">
      <w:pPr>
        <w:pStyle w:val="ConsPlusNormal"/>
        <w:tabs>
          <w:tab w:val="left" w:pos="28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В течение нескольких лет в отрасль образования городского округа города Мегион внедряются системные изменения, направленные на обеспечение его соответствия, как требованиям современной экономики, так и запросам общества.</w:t>
      </w:r>
    </w:p>
    <w:p w:rsidR="0025540C" w:rsidRPr="00061871" w:rsidRDefault="0025540C" w:rsidP="0025540C">
      <w:pPr>
        <w:pStyle w:val="a8"/>
        <w:ind w:firstLine="709"/>
        <w:rPr>
          <w:sz w:val="24"/>
          <w:szCs w:val="24"/>
        </w:rPr>
      </w:pPr>
      <w:r w:rsidRPr="00061871">
        <w:rPr>
          <w:sz w:val="24"/>
          <w:szCs w:val="24"/>
        </w:rPr>
        <w:t>Развитие интеллектуального потенциала населения, во многом определяющееся образованием, будут способствовать устойчивому экономическому росту городского округа в средне- и долгосрочной перспективе.</w:t>
      </w:r>
    </w:p>
    <w:p w:rsidR="0025540C" w:rsidRPr="00061871" w:rsidRDefault="0025540C" w:rsidP="0025540C">
      <w:pPr>
        <w:pStyle w:val="a8"/>
        <w:ind w:firstLine="709"/>
        <w:rPr>
          <w:sz w:val="24"/>
          <w:szCs w:val="24"/>
        </w:rPr>
      </w:pPr>
      <w:r w:rsidRPr="00061871">
        <w:rPr>
          <w:sz w:val="24"/>
          <w:szCs w:val="24"/>
        </w:rPr>
        <w:t>Вклад образования в достижение социально-экономических целей осуществляется, прежде всего, при условии:</w:t>
      </w:r>
    </w:p>
    <w:p w:rsidR="0025540C" w:rsidRPr="00061871" w:rsidRDefault="0025540C" w:rsidP="0025540C">
      <w:pPr>
        <w:pStyle w:val="a8"/>
        <w:ind w:firstLine="709"/>
        <w:rPr>
          <w:sz w:val="24"/>
          <w:szCs w:val="24"/>
        </w:rPr>
      </w:pPr>
      <w:r w:rsidRPr="00061871">
        <w:rPr>
          <w:sz w:val="24"/>
          <w:szCs w:val="24"/>
        </w:rPr>
        <w:t>-развити</w:t>
      </w:r>
      <w:r>
        <w:rPr>
          <w:sz w:val="24"/>
          <w:szCs w:val="24"/>
        </w:rPr>
        <w:t>я</w:t>
      </w:r>
      <w:r w:rsidRPr="00061871">
        <w:rPr>
          <w:sz w:val="24"/>
          <w:szCs w:val="24"/>
        </w:rPr>
        <w:t xml:space="preserve"> сети различных видов образовательных учреждений с учетом потребностей населения города;</w:t>
      </w:r>
    </w:p>
    <w:p w:rsidR="0025540C" w:rsidRPr="00061871" w:rsidRDefault="0025540C" w:rsidP="0025540C">
      <w:pPr>
        <w:pStyle w:val="a8"/>
        <w:ind w:firstLine="709"/>
        <w:rPr>
          <w:sz w:val="24"/>
          <w:szCs w:val="24"/>
        </w:rPr>
      </w:pPr>
      <w:r w:rsidRPr="00061871">
        <w:rPr>
          <w:sz w:val="24"/>
          <w:szCs w:val="24"/>
        </w:rPr>
        <w:t>-обеспечени</w:t>
      </w:r>
      <w:r>
        <w:rPr>
          <w:sz w:val="24"/>
          <w:szCs w:val="24"/>
        </w:rPr>
        <w:t>я</w:t>
      </w:r>
      <w:r w:rsidRPr="00061871">
        <w:rPr>
          <w:sz w:val="24"/>
          <w:szCs w:val="24"/>
        </w:rPr>
        <w:t xml:space="preserve"> деятельности муниципальных образовательных учреждений, расширени</w:t>
      </w:r>
      <w:r>
        <w:rPr>
          <w:sz w:val="24"/>
          <w:szCs w:val="24"/>
        </w:rPr>
        <w:t>я</w:t>
      </w:r>
      <w:r w:rsidRPr="00061871">
        <w:rPr>
          <w:sz w:val="24"/>
          <w:szCs w:val="24"/>
        </w:rPr>
        <w:t xml:space="preserve"> сферы муниципальных услуг в области образования;</w:t>
      </w:r>
    </w:p>
    <w:p w:rsidR="0025540C" w:rsidRPr="00061871" w:rsidRDefault="0025540C" w:rsidP="0025540C">
      <w:pPr>
        <w:pStyle w:val="a8"/>
        <w:ind w:firstLine="709"/>
        <w:rPr>
          <w:sz w:val="24"/>
          <w:szCs w:val="24"/>
        </w:rPr>
      </w:pPr>
      <w:r w:rsidRPr="00061871">
        <w:rPr>
          <w:sz w:val="24"/>
          <w:szCs w:val="24"/>
        </w:rPr>
        <w:t>-повышени</w:t>
      </w:r>
      <w:r>
        <w:rPr>
          <w:sz w:val="24"/>
          <w:szCs w:val="24"/>
        </w:rPr>
        <w:t>я</w:t>
      </w:r>
      <w:r w:rsidRPr="00061871">
        <w:rPr>
          <w:sz w:val="24"/>
          <w:szCs w:val="24"/>
        </w:rPr>
        <w:t xml:space="preserve"> эффективности воспитательной системы, вовлечени</w:t>
      </w:r>
      <w:r>
        <w:rPr>
          <w:sz w:val="24"/>
          <w:szCs w:val="24"/>
        </w:rPr>
        <w:t>я</w:t>
      </w:r>
      <w:r w:rsidRPr="00061871">
        <w:rPr>
          <w:sz w:val="24"/>
          <w:szCs w:val="24"/>
        </w:rPr>
        <w:t xml:space="preserve"> родителей и общественности в деятельность развития муниципальной системы образования;</w:t>
      </w:r>
    </w:p>
    <w:p w:rsidR="0025540C" w:rsidRPr="00061871" w:rsidRDefault="0025540C" w:rsidP="0025540C">
      <w:pPr>
        <w:pStyle w:val="a8"/>
        <w:ind w:firstLine="709"/>
        <w:rPr>
          <w:sz w:val="24"/>
          <w:szCs w:val="24"/>
        </w:rPr>
      </w:pPr>
      <w:r w:rsidRPr="00061871">
        <w:rPr>
          <w:sz w:val="24"/>
          <w:szCs w:val="24"/>
        </w:rPr>
        <w:t>-сохранени</w:t>
      </w:r>
      <w:r>
        <w:rPr>
          <w:sz w:val="24"/>
          <w:szCs w:val="24"/>
        </w:rPr>
        <w:t>я</w:t>
      </w:r>
      <w:r w:rsidRPr="00061871">
        <w:rPr>
          <w:sz w:val="24"/>
          <w:szCs w:val="24"/>
        </w:rPr>
        <w:t xml:space="preserve"> и укреплени</w:t>
      </w:r>
      <w:r>
        <w:rPr>
          <w:sz w:val="24"/>
          <w:szCs w:val="24"/>
        </w:rPr>
        <w:t>я</w:t>
      </w:r>
      <w:r w:rsidRPr="00061871">
        <w:rPr>
          <w:sz w:val="24"/>
          <w:szCs w:val="24"/>
        </w:rPr>
        <w:t xml:space="preserve"> здоровья детей и подростков;</w:t>
      </w:r>
    </w:p>
    <w:p w:rsidR="0025540C" w:rsidRPr="00061871" w:rsidRDefault="0025540C" w:rsidP="0025540C">
      <w:pPr>
        <w:pStyle w:val="a8"/>
        <w:ind w:firstLine="709"/>
        <w:rPr>
          <w:sz w:val="24"/>
          <w:szCs w:val="24"/>
        </w:rPr>
      </w:pPr>
      <w:r w:rsidRPr="00061871">
        <w:rPr>
          <w:sz w:val="24"/>
          <w:szCs w:val="24"/>
        </w:rPr>
        <w:t>-повышени</w:t>
      </w:r>
      <w:r>
        <w:rPr>
          <w:sz w:val="24"/>
          <w:szCs w:val="24"/>
        </w:rPr>
        <w:t>я</w:t>
      </w:r>
      <w:r w:rsidRPr="00061871">
        <w:rPr>
          <w:sz w:val="24"/>
          <w:szCs w:val="24"/>
        </w:rPr>
        <w:t xml:space="preserve"> профессионального уровня педагогических и управленческих кадров;</w:t>
      </w:r>
    </w:p>
    <w:p w:rsidR="0025540C" w:rsidRPr="00061871" w:rsidRDefault="0025540C" w:rsidP="0025540C">
      <w:pPr>
        <w:pStyle w:val="a8"/>
        <w:ind w:firstLine="709"/>
        <w:rPr>
          <w:sz w:val="24"/>
          <w:szCs w:val="24"/>
        </w:rPr>
      </w:pPr>
      <w:r w:rsidRPr="00061871">
        <w:rPr>
          <w:sz w:val="24"/>
          <w:szCs w:val="24"/>
        </w:rPr>
        <w:t>-обновлени</w:t>
      </w:r>
      <w:r>
        <w:rPr>
          <w:sz w:val="24"/>
          <w:szCs w:val="24"/>
        </w:rPr>
        <w:t>я и укрепления</w:t>
      </w:r>
      <w:r w:rsidRPr="00061871">
        <w:rPr>
          <w:sz w:val="24"/>
          <w:szCs w:val="24"/>
        </w:rPr>
        <w:t xml:space="preserve"> материально-технической базы муниципальных учреждений образования.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 xml:space="preserve">В целом система образования города отличается стабильностью, наличием конструктивных связей с другими смежными отраслями. Во многих образовательных учреждениях развивается инновационная деятельность, направленная на решение актуальных задач образования. 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В прогнозный период стоят следующие задачи: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-предоставление возможности для развития интеллектуального и творческого потенциала одаренных и талантливых детей, обеспечение их адресной поддержки;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-информатизация системы общего образования, переход на комплексное использование современных информационных и педагогических технологий, обеспечивающих единое образовательное пространство;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-повышение эффективности воспитательной системы, вовлечение родителей и общественности в деятельность развития муниципальной системы образования;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-совершенствование профилактической работы среди несовершеннолетних и родителей по вопросам безнадзорности и правонарушений;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-создание системы внеурочной работы, дополнительного образования учащихся;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-развитие массовых, групповых и индивидуальных форм внеурочной деятельности;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-организация системы исследовательской работы учащихся;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871">
        <w:rPr>
          <w:rFonts w:ascii="Times New Roman" w:hAnsi="Times New Roman" w:cs="Times New Roman"/>
          <w:sz w:val="24"/>
          <w:szCs w:val="24"/>
        </w:rPr>
        <w:t>-повышение эффективности расходования бюджетных средств путем целевого финансирования мероприятий.</w:t>
      </w:r>
    </w:p>
    <w:p w:rsidR="0025540C" w:rsidRPr="00061871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40C" w:rsidRPr="00DF7329" w:rsidRDefault="0025540C" w:rsidP="0025540C">
      <w:pPr>
        <w:pStyle w:val="2"/>
        <w:spacing w:after="0" w:line="240" w:lineRule="auto"/>
        <w:ind w:firstLine="709"/>
        <w:rPr>
          <w:i/>
          <w:sz w:val="24"/>
          <w:szCs w:val="24"/>
        </w:rPr>
      </w:pPr>
      <w:r w:rsidRPr="00DF7329">
        <w:rPr>
          <w:i/>
          <w:sz w:val="24"/>
          <w:szCs w:val="24"/>
        </w:rPr>
        <w:t>Дошкольное образование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Структуру образовательных учреждений дошкольного образования составляют: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-1 детский сад компенсирующего вида;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-12 детских садов комбинированного вида;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-1 детский сад - структурное подразделение общеобразовательного учреждения «Улыбка».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 детских дошкольных образовательных учреждениях на 01.01.2014 воспитывается              3 057 детей, из них: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-в 13 детских садах 2 761 ребёнок;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-в детском саду «Улыбка» 236 детей;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-в трёх пришкольных группах для дошкольников 60 детей;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lastRenderedPageBreak/>
        <w:t>В октябре 2013 года в детском саду «Сказка» открыта группа кратковременного пребывания в расчёте на 12 детей.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Помимо муниципальных дошкольных образовательных учреждений на территории городского округа город Мегион функционируют 4 коммерческие группы по уходу и присмотру</w:t>
      </w:r>
      <w:r w:rsidR="005A46C9">
        <w:rPr>
          <w:rFonts w:ascii="Times New Roman" w:hAnsi="Times New Roman" w:cs="Times New Roman"/>
          <w:sz w:val="24"/>
          <w:szCs w:val="24"/>
        </w:rPr>
        <w:t xml:space="preserve"> за детьми дошкольного возраста и 1 частный детский сад с правом ведения образовательной деятельности.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Ведутся работы по реконструкции в детском саду «Теремок» на 1</w:t>
      </w:r>
      <w:r w:rsidR="008A703F">
        <w:rPr>
          <w:rFonts w:ascii="Times New Roman" w:hAnsi="Times New Roman" w:cs="Times New Roman"/>
          <w:sz w:val="24"/>
          <w:szCs w:val="24"/>
        </w:rPr>
        <w:t>6</w:t>
      </w:r>
      <w:r w:rsidRPr="0025540C">
        <w:rPr>
          <w:rFonts w:ascii="Times New Roman" w:hAnsi="Times New Roman" w:cs="Times New Roman"/>
          <w:sz w:val="24"/>
          <w:szCs w:val="24"/>
        </w:rPr>
        <w:t>0 мест.</w:t>
      </w:r>
    </w:p>
    <w:p w:rsidR="0025540C" w:rsidRPr="0025540C" w:rsidRDefault="0025540C" w:rsidP="0025540C">
      <w:pPr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125" w:rsidRPr="0025540C" w:rsidRDefault="00863125" w:rsidP="0086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 xml:space="preserve">В четвёртом квартале 2013 года введены 2 детских дошкольных учреждения комбинированного вида с общей мощностью 350 мест, что позволило повысить уровень обеспеченности  с 64,2% на 01.10.2013 до </w:t>
      </w:r>
      <w:r w:rsidR="005A3301">
        <w:rPr>
          <w:rFonts w:ascii="Times New Roman" w:hAnsi="Times New Roman" w:cs="Times New Roman"/>
          <w:sz w:val="24"/>
          <w:szCs w:val="24"/>
        </w:rPr>
        <w:t>71,6</w:t>
      </w:r>
      <w:r w:rsidRPr="0025540C">
        <w:rPr>
          <w:rFonts w:ascii="Times New Roman" w:hAnsi="Times New Roman" w:cs="Times New Roman"/>
          <w:sz w:val="24"/>
          <w:szCs w:val="24"/>
        </w:rPr>
        <w:t>% на 01.01.2014 и снизить численность детей, ожидающих распределения в детские сады на 7,4%.</w:t>
      </w:r>
    </w:p>
    <w:p w:rsidR="0025540C" w:rsidRPr="0025540C" w:rsidRDefault="0025540C" w:rsidP="002554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>После капитального ремонта введен в действие детский сад «Рябинка» на 150 мест.</w:t>
      </w:r>
    </w:p>
    <w:p w:rsidR="0025540C" w:rsidRPr="00C54159" w:rsidRDefault="0025540C" w:rsidP="0025540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25540C" w:rsidRPr="00735D2D" w:rsidRDefault="0025540C" w:rsidP="0025540C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 w:rsidRPr="00735D2D">
        <w:t>Показатели обеспеченности дошкольными учреждениями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534"/>
        <w:gridCol w:w="1193"/>
        <w:gridCol w:w="1311"/>
        <w:gridCol w:w="1210"/>
        <w:gridCol w:w="1139"/>
        <w:gridCol w:w="1149"/>
      </w:tblGrid>
      <w:tr w:rsidR="0025540C" w:rsidRPr="00735D2D" w:rsidTr="0025540C">
        <w:trPr>
          <w:trHeight w:val="225"/>
          <w:tblHeader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Социальные нормативы 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Показатели обеспеченности </w:t>
            </w:r>
          </w:p>
        </w:tc>
      </w:tr>
      <w:tr w:rsidR="0025540C" w:rsidRPr="00735D2D" w:rsidTr="0025540C">
        <w:trPr>
          <w:trHeight w:val="187"/>
          <w:tblHeader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 w:rsidRPr="00735D2D">
              <w:rPr>
                <w:rFonts w:ascii="Times New Roman" w:hAnsi="Times New Roman"/>
                <w:sz w:val="24"/>
                <w:szCs w:val="24"/>
              </w:rPr>
              <w:t>3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 w:rsidRPr="00735D2D">
              <w:rPr>
                <w:rFonts w:ascii="Times New Roman" w:hAnsi="Times New Roman"/>
                <w:sz w:val="24"/>
                <w:szCs w:val="24"/>
              </w:rPr>
              <w:t>4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 w:rsidRPr="00735D2D">
              <w:rPr>
                <w:rFonts w:ascii="Times New Roman" w:hAnsi="Times New Roman"/>
                <w:sz w:val="24"/>
                <w:szCs w:val="24"/>
              </w:rPr>
              <w:t>5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 w:rsidRPr="00735D2D">
              <w:rPr>
                <w:rFonts w:ascii="Times New Roman" w:hAnsi="Times New Roman"/>
                <w:sz w:val="24"/>
                <w:szCs w:val="24"/>
              </w:rPr>
              <w:t>6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 w:rsidRPr="00735D2D">
              <w:rPr>
                <w:rFonts w:ascii="Times New Roman" w:hAnsi="Times New Roman"/>
                <w:sz w:val="24"/>
                <w:szCs w:val="24"/>
              </w:rPr>
              <w:t>7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5540C" w:rsidRPr="0025540C" w:rsidTr="0025540C">
        <w:trPr>
          <w:trHeight w:val="416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Численность детей дошкольного возраста, человек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5540C" w:rsidRDefault="00345C86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5C86">
              <w:rPr>
                <w:rFonts w:ascii="Times New Roman" w:hAnsi="Times New Roman"/>
                <w:sz w:val="24"/>
                <w:szCs w:val="24"/>
              </w:rPr>
              <w:t>6 154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6 154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6 258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6 334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6 351</w:t>
            </w:r>
          </w:p>
        </w:tc>
      </w:tr>
      <w:tr w:rsidR="0025540C" w:rsidRPr="0025540C" w:rsidTr="0025540C">
        <w:trPr>
          <w:trHeight w:val="350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</w:t>
            </w:r>
          </w:p>
        </w:tc>
      </w:tr>
      <w:tr w:rsidR="0025540C" w:rsidRPr="0025540C" w:rsidTr="0025540C">
        <w:trPr>
          <w:trHeight w:val="562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необходимая мощность по нормативу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70 мест </w:t>
            </w:r>
          </w:p>
          <w:p w:rsidR="0025540C" w:rsidRPr="00735D2D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на 100 детей дошкольного возраста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5540C" w:rsidRDefault="00345C86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5C8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45C8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C86" w:rsidRPr="00F3779A" w:rsidRDefault="00F3779A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4 308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86" w:rsidRPr="00F3779A" w:rsidRDefault="00F3779A" w:rsidP="00345C8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4 381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4 434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4 446</w:t>
            </w:r>
          </w:p>
        </w:tc>
      </w:tr>
      <w:tr w:rsidR="0025540C" w:rsidRPr="0025540C" w:rsidTr="0025540C">
        <w:trPr>
          <w:trHeight w:val="184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* фактически располагаемые мощности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345C86" w:rsidRDefault="00345C86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C86">
              <w:rPr>
                <w:rFonts w:ascii="Times New Roman" w:hAnsi="Times New Roman"/>
                <w:sz w:val="24"/>
                <w:szCs w:val="24"/>
              </w:rPr>
              <w:t>3 085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5540C" w:rsidRDefault="00F3779A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3 245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40873" w:rsidRDefault="00940873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73">
              <w:rPr>
                <w:rFonts w:ascii="Times New Roman" w:hAnsi="Times New Roman"/>
                <w:sz w:val="24"/>
                <w:szCs w:val="24"/>
              </w:rPr>
              <w:t>3 245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40873" w:rsidRDefault="0025540C" w:rsidP="0094087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7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40873" w:rsidRPr="00940873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40873" w:rsidRDefault="0025540C" w:rsidP="0094087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73">
              <w:rPr>
                <w:rFonts w:ascii="Times New Roman" w:hAnsi="Times New Roman"/>
                <w:sz w:val="24"/>
                <w:szCs w:val="24"/>
              </w:rPr>
              <w:t>3 8</w:t>
            </w:r>
            <w:r w:rsidR="00940873" w:rsidRPr="009408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5540C" w:rsidRPr="00C54159" w:rsidTr="0025540C">
        <w:trPr>
          <w:trHeight w:val="183"/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345C86" w:rsidRDefault="00940873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22F09" w:rsidRDefault="00940873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22F09" w:rsidRDefault="00940873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22F09" w:rsidRDefault="00940873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22F09" w:rsidRDefault="00940873" w:rsidP="0025540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</w:tbl>
    <w:p w:rsidR="0025540C" w:rsidRPr="00C54159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A46C9" w:rsidRDefault="005A46C9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Указу Президента Российской Федерации от 7 мая 2012 года №599                                  «О мерах по реализации государственной политики в области образования и науки» к 2016 году планируется за счет ввода объектов дошкольного образования планируется достижение 100,0% доступности дошкольного образования для детей в возрасте от 3-х до 7-и лет.</w:t>
      </w:r>
    </w:p>
    <w:p w:rsidR="0025540C" w:rsidRPr="000F15B6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15B6">
        <w:rPr>
          <w:rFonts w:ascii="Times New Roman" w:hAnsi="Times New Roman"/>
          <w:sz w:val="24"/>
          <w:szCs w:val="24"/>
        </w:rPr>
        <w:t xml:space="preserve">В прогнозируемый период численность детей дошкольного возраста имеет положительную динамику, повышается необходимость увеличения мест в дошкольных образовательных учреждениях. За счет вновь вводимых объектов уровень обеспеченности местами в дошкольных образовательных учреждениях значительно возрастет. </w:t>
      </w:r>
    </w:p>
    <w:p w:rsidR="0025540C" w:rsidRPr="00C54159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5540C" w:rsidRPr="00DF7329" w:rsidRDefault="0025540C" w:rsidP="0025540C">
      <w:pPr>
        <w:pStyle w:val="af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DF7329">
        <w:rPr>
          <w:i/>
        </w:rPr>
        <w:t>Общее образование</w:t>
      </w:r>
    </w:p>
    <w:p w:rsidR="0025540C" w:rsidRPr="00FF7F6B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F6B">
        <w:rPr>
          <w:rFonts w:ascii="Times New Roman" w:hAnsi="Times New Roman" w:cs="Times New Roman"/>
          <w:sz w:val="24"/>
          <w:szCs w:val="24"/>
        </w:rPr>
        <w:t>Развитие системы общего образования предусматривает ориентацию на практические навыки и фундаментальные умения, расширение сферы дополнительного образования.</w:t>
      </w:r>
    </w:p>
    <w:p w:rsidR="0025540C" w:rsidRPr="00ED05CB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5CB">
        <w:rPr>
          <w:rFonts w:ascii="Times New Roman" w:hAnsi="Times New Roman"/>
          <w:sz w:val="24"/>
          <w:szCs w:val="24"/>
        </w:rPr>
        <w:t xml:space="preserve">Общеобразовательная деятельность на территории городского округа осуществляется общеобразовательными школами, гимназией, школой с углубленным изучением отдельных предметов, коррекционной школой </w:t>
      </w:r>
      <w:r w:rsidRPr="00ED05CB">
        <w:rPr>
          <w:rFonts w:ascii="Times New Roman" w:hAnsi="Times New Roman"/>
          <w:sz w:val="24"/>
          <w:szCs w:val="24"/>
          <w:lang w:val="en-US"/>
        </w:rPr>
        <w:t>V</w:t>
      </w:r>
      <w:r w:rsidRPr="00ED05CB">
        <w:rPr>
          <w:rFonts w:ascii="Times New Roman" w:hAnsi="Times New Roman"/>
          <w:sz w:val="24"/>
          <w:szCs w:val="24"/>
        </w:rPr>
        <w:t>III вида</w:t>
      </w:r>
      <w:r>
        <w:rPr>
          <w:rFonts w:ascii="Times New Roman" w:hAnsi="Times New Roman"/>
          <w:sz w:val="24"/>
          <w:szCs w:val="24"/>
        </w:rPr>
        <w:t>.</w:t>
      </w:r>
    </w:p>
    <w:p w:rsidR="0025540C" w:rsidRPr="0025540C" w:rsidRDefault="0025540C" w:rsidP="0025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 xml:space="preserve">Система общего образования городского округа включает в себя 6 муниципальных бюджетных и 2 муниципальных автономных общеобразовательных учреждений. </w:t>
      </w:r>
    </w:p>
    <w:p w:rsidR="0025540C" w:rsidRPr="0025540C" w:rsidRDefault="0025540C" w:rsidP="00255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ab/>
        <w:t xml:space="preserve">Обеспеченность ученическими местами составляет </w:t>
      </w:r>
      <w:r w:rsidR="005A3301">
        <w:rPr>
          <w:rFonts w:ascii="Times New Roman" w:hAnsi="Times New Roman" w:cs="Times New Roman"/>
          <w:sz w:val="24"/>
          <w:szCs w:val="24"/>
        </w:rPr>
        <w:t>102,7</w:t>
      </w:r>
      <w:r w:rsidRPr="0025540C">
        <w:rPr>
          <w:rFonts w:ascii="Times New Roman" w:hAnsi="Times New Roman" w:cs="Times New Roman"/>
          <w:sz w:val="24"/>
          <w:szCs w:val="24"/>
        </w:rPr>
        <w:t>%.</w:t>
      </w:r>
    </w:p>
    <w:p w:rsidR="0025540C" w:rsidRPr="0025540C" w:rsidRDefault="0025540C" w:rsidP="00255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540C">
        <w:rPr>
          <w:rFonts w:ascii="Times New Roman" w:hAnsi="Times New Roman" w:cs="Times New Roman"/>
          <w:sz w:val="24"/>
          <w:szCs w:val="24"/>
        </w:rPr>
        <w:t>Численность обучающихся на 01.01.2014 года 6795 человек, из которых 5247 или 77,</w:t>
      </w:r>
      <w:r w:rsidR="005A3301">
        <w:rPr>
          <w:rFonts w:ascii="Times New Roman" w:hAnsi="Times New Roman" w:cs="Times New Roman"/>
          <w:sz w:val="24"/>
          <w:szCs w:val="24"/>
        </w:rPr>
        <w:t>2</w:t>
      </w:r>
      <w:r w:rsidRPr="0025540C">
        <w:rPr>
          <w:rFonts w:ascii="Times New Roman" w:hAnsi="Times New Roman" w:cs="Times New Roman"/>
          <w:sz w:val="24"/>
          <w:szCs w:val="24"/>
        </w:rPr>
        <w:t xml:space="preserve">% обучаются в первую смену. </w:t>
      </w:r>
      <w:r w:rsidR="005A3301">
        <w:rPr>
          <w:rFonts w:ascii="Times New Roman" w:hAnsi="Times New Roman" w:cs="Times New Roman"/>
          <w:sz w:val="24"/>
          <w:szCs w:val="24"/>
        </w:rPr>
        <w:t>Доля</w:t>
      </w:r>
      <w:r w:rsidRPr="0025540C">
        <w:rPr>
          <w:rFonts w:ascii="Times New Roman" w:hAnsi="Times New Roman" w:cs="Times New Roman"/>
          <w:sz w:val="24"/>
          <w:szCs w:val="24"/>
        </w:rPr>
        <w:t xml:space="preserve"> обучающихся во вторую смену составляет 22,</w:t>
      </w:r>
      <w:r w:rsidR="005A3301">
        <w:rPr>
          <w:rFonts w:ascii="Times New Roman" w:hAnsi="Times New Roman" w:cs="Times New Roman"/>
          <w:sz w:val="24"/>
          <w:szCs w:val="24"/>
        </w:rPr>
        <w:t>8</w:t>
      </w:r>
      <w:r w:rsidRPr="0025540C">
        <w:rPr>
          <w:rFonts w:ascii="Times New Roman" w:hAnsi="Times New Roman" w:cs="Times New Roman"/>
          <w:sz w:val="24"/>
          <w:szCs w:val="24"/>
        </w:rPr>
        <w:t>%.</w:t>
      </w:r>
    </w:p>
    <w:p w:rsidR="0025540C" w:rsidRPr="00C54159" w:rsidRDefault="0025540C" w:rsidP="00255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25540C" w:rsidRPr="00735D2D" w:rsidRDefault="0025540C" w:rsidP="002554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5D2D">
        <w:rPr>
          <w:rFonts w:ascii="Times New Roman" w:hAnsi="Times New Roman"/>
          <w:sz w:val="24"/>
          <w:szCs w:val="24"/>
        </w:rPr>
        <w:t>Показатели обеспеченности общеобразовательными учреждениями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87"/>
        <w:gridCol w:w="1184"/>
        <w:gridCol w:w="1110"/>
        <w:gridCol w:w="1267"/>
        <w:gridCol w:w="1208"/>
        <w:gridCol w:w="1164"/>
      </w:tblGrid>
      <w:tr w:rsidR="0025540C" w:rsidRPr="00735D2D" w:rsidTr="0025540C">
        <w:trPr>
          <w:trHeight w:val="193"/>
          <w:tblHeader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Социальные нормативы </w:t>
            </w:r>
          </w:p>
        </w:tc>
        <w:tc>
          <w:tcPr>
            <w:tcW w:w="5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left="-38" w:firstLine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Показатели обеспеченности </w:t>
            </w:r>
          </w:p>
        </w:tc>
      </w:tr>
      <w:tr w:rsidR="0025540C" w:rsidRPr="00735D2D" w:rsidTr="0025540C">
        <w:trPr>
          <w:trHeight w:val="183"/>
          <w:tblHeader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3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4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5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6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735D2D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7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5540C" w:rsidRPr="0025540C" w:rsidTr="0025540C">
        <w:trPr>
          <w:trHeight w:val="281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Численность детей школьного возраста, человек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F3779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3779A" w:rsidRPr="00F3779A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F3779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3779A" w:rsidRPr="00F3779A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F3779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F3779A" w:rsidRPr="00F3779A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F3779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79A" w:rsidRPr="00F3779A">
              <w:rPr>
                <w:rFonts w:ascii="Times New Roman" w:hAnsi="Times New Roman"/>
                <w:sz w:val="24"/>
                <w:szCs w:val="24"/>
              </w:rPr>
              <w:t>7 927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F3779A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3779A" w:rsidRPr="00F3779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25540C" w:rsidRPr="0025540C" w:rsidTr="0025540C">
        <w:trPr>
          <w:trHeight w:val="415"/>
          <w:jc w:val="center"/>
        </w:trPr>
        <w:tc>
          <w:tcPr>
            <w:tcW w:w="9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Общеобразовательные учреждения </w:t>
            </w:r>
          </w:p>
        </w:tc>
      </w:tr>
      <w:tr w:rsidR="0025540C" w:rsidRPr="0025540C" w:rsidTr="0025540C">
        <w:trPr>
          <w:trHeight w:val="81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необходимая мощность по нормативу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90 мест на 100 детей школьного возраста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5540C" w:rsidRDefault="0025540C" w:rsidP="00A104DB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104DB" w:rsidRPr="00A104DB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5540C" w:rsidRDefault="00A104DB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6 847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5540C" w:rsidRDefault="00A104DB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6 965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DB" w:rsidRPr="0025540C" w:rsidRDefault="00A104DB" w:rsidP="00A104DB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7 134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DB" w:rsidRPr="0025540C" w:rsidRDefault="00A104DB" w:rsidP="00A104DB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7 341</w:t>
            </w:r>
          </w:p>
        </w:tc>
      </w:tr>
      <w:tr w:rsidR="0025540C" w:rsidRPr="0025540C" w:rsidTr="0025540C">
        <w:trPr>
          <w:trHeight w:val="98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фактически располагаемые мощности в одну смену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7 032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7 032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7 032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A104DB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A104DB" w:rsidRPr="00A104DB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A104DB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A104DB" w:rsidRPr="00A104DB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 w:rsidR="0025540C" w:rsidRPr="0025540C" w:rsidTr="0025540C">
        <w:trPr>
          <w:trHeight w:val="9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</w:tbl>
    <w:p w:rsidR="0025540C" w:rsidRPr="0025540C" w:rsidRDefault="0025540C" w:rsidP="002554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40C" w:rsidRPr="00FF7F6B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7F6B">
        <w:rPr>
          <w:rFonts w:ascii="Times New Roman" w:hAnsi="Times New Roman"/>
          <w:sz w:val="24"/>
          <w:szCs w:val="24"/>
        </w:rPr>
        <w:t>В прогнозируемом периоде в связи с ростом численности детей школьного возраста предполагается рост численности учащихся в общеобразовательных учреждениях города, в связи с этим возрастет необходимость строительства новых школ.</w:t>
      </w:r>
    </w:p>
    <w:p w:rsidR="0025540C" w:rsidRP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40C">
        <w:rPr>
          <w:rFonts w:ascii="Times New Roman" w:hAnsi="Times New Roman" w:cs="Times New Roman"/>
          <w:sz w:val="24"/>
          <w:szCs w:val="24"/>
        </w:rPr>
        <w:t xml:space="preserve">В целях увеличения обеспеченности ученическими местами и улучшения условий обучения </w:t>
      </w:r>
      <w:r w:rsidR="005A3301">
        <w:rPr>
          <w:rFonts w:ascii="Times New Roman" w:hAnsi="Times New Roman" w:cs="Times New Roman"/>
          <w:sz w:val="24"/>
          <w:szCs w:val="24"/>
        </w:rPr>
        <w:t>планируется к 2016 году строительство</w:t>
      </w:r>
      <w:r w:rsidRPr="0025540C">
        <w:rPr>
          <w:rFonts w:ascii="Times New Roman" w:hAnsi="Times New Roman" w:cs="Times New Roman"/>
          <w:sz w:val="24"/>
          <w:szCs w:val="24"/>
        </w:rPr>
        <w:t xml:space="preserve"> «Школ</w:t>
      </w:r>
      <w:r w:rsidR="005A3301">
        <w:rPr>
          <w:rFonts w:ascii="Times New Roman" w:hAnsi="Times New Roman" w:cs="Times New Roman"/>
          <w:sz w:val="24"/>
          <w:szCs w:val="24"/>
        </w:rPr>
        <w:t>ы</w:t>
      </w:r>
      <w:r w:rsidRPr="0025540C">
        <w:rPr>
          <w:rFonts w:ascii="Times New Roman" w:hAnsi="Times New Roman" w:cs="Times New Roman"/>
          <w:sz w:val="24"/>
          <w:szCs w:val="24"/>
        </w:rPr>
        <w:t xml:space="preserve"> на 300 мест в посёлке Высокий».</w:t>
      </w:r>
    </w:p>
    <w:p w:rsidR="0025540C" w:rsidRDefault="0025540C" w:rsidP="0025540C">
      <w:pPr>
        <w:pStyle w:val="a6"/>
        <w:tabs>
          <w:tab w:val="left" w:pos="3780"/>
        </w:tabs>
        <w:ind w:firstLine="709"/>
      </w:pPr>
    </w:p>
    <w:p w:rsidR="0025540C" w:rsidRPr="00DF7329" w:rsidRDefault="0025540C" w:rsidP="0025540C">
      <w:pPr>
        <w:pStyle w:val="a6"/>
        <w:tabs>
          <w:tab w:val="left" w:pos="3780"/>
        </w:tabs>
        <w:ind w:firstLine="709"/>
        <w:rPr>
          <w:i/>
          <w:sz w:val="24"/>
          <w:szCs w:val="24"/>
        </w:rPr>
      </w:pPr>
      <w:r w:rsidRPr="00DF7329">
        <w:rPr>
          <w:i/>
          <w:sz w:val="24"/>
          <w:szCs w:val="24"/>
        </w:rPr>
        <w:t>Профессиональное образование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город Мегион начальное профессиональное обучение осуществляется на базе бюджетного учреждения среднего профессионального образования Ханты-Мансийского автономного округа - Югры «Мегионский профессиональный колледж». 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53991">
        <w:rPr>
          <w:rFonts w:ascii="Times New Roman" w:hAnsi="Times New Roman" w:cs="Times New Roman"/>
          <w:sz w:val="24"/>
          <w:szCs w:val="24"/>
        </w:rPr>
        <w:t>Наиболее востребованными специальностями являются: оператор нефтяных и газовых скважин, разработка нефтяных и газовых месторождений, автомеханик, электромонтер, секретарь-референт, программист.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53991">
        <w:rPr>
          <w:rFonts w:ascii="Times New Roman" w:hAnsi="Times New Roman" w:cs="Times New Roman"/>
          <w:sz w:val="24"/>
          <w:szCs w:val="24"/>
        </w:rPr>
        <w:t xml:space="preserve">Численность обучающихся на 01.01.2014 в 10 группах начального профессионального образования и в 18 группах среднего профессионального образования составляет 627 человек.                                                                                                 </w:t>
      </w:r>
    </w:p>
    <w:p w:rsidR="0025540C" w:rsidRPr="006A68F2" w:rsidRDefault="0025540C" w:rsidP="0025540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8F2">
        <w:rPr>
          <w:rFonts w:ascii="Times New Roman" w:hAnsi="Times New Roman"/>
          <w:sz w:val="24"/>
          <w:szCs w:val="24"/>
        </w:rPr>
        <w:t xml:space="preserve">Решение поставленных задач в области образования даст возможность целенаправленно формировать человеческий и квалификационный капитал населения. </w:t>
      </w:r>
    </w:p>
    <w:p w:rsidR="0025540C" w:rsidRPr="006A68F2" w:rsidRDefault="0025540C" w:rsidP="0025540C">
      <w:pPr>
        <w:pStyle w:val="a6"/>
        <w:tabs>
          <w:tab w:val="left" w:pos="3780"/>
        </w:tabs>
        <w:ind w:firstLine="709"/>
        <w:jc w:val="both"/>
        <w:rPr>
          <w:sz w:val="24"/>
          <w:szCs w:val="24"/>
          <w:highlight w:val="yellow"/>
        </w:rPr>
      </w:pPr>
      <w:r w:rsidRPr="006A68F2">
        <w:rPr>
          <w:sz w:val="24"/>
          <w:szCs w:val="24"/>
        </w:rPr>
        <w:t>К 201</w:t>
      </w:r>
      <w:r w:rsidR="00853991">
        <w:rPr>
          <w:sz w:val="24"/>
          <w:szCs w:val="24"/>
        </w:rPr>
        <w:t>7</w:t>
      </w:r>
      <w:r w:rsidRPr="006A68F2">
        <w:rPr>
          <w:sz w:val="24"/>
          <w:szCs w:val="24"/>
        </w:rPr>
        <w:t xml:space="preserve"> году прогнозируется рост числа обучающихся, получающих профессиональное образование, в сравнении с уровнем 201</w:t>
      </w:r>
      <w:r w:rsidR="00853991">
        <w:rPr>
          <w:sz w:val="24"/>
          <w:szCs w:val="24"/>
        </w:rPr>
        <w:t>3 года на 6,2</w:t>
      </w:r>
      <w:r w:rsidRPr="006A68F2">
        <w:rPr>
          <w:sz w:val="24"/>
          <w:szCs w:val="24"/>
        </w:rPr>
        <w:t>%.</w:t>
      </w:r>
    </w:p>
    <w:p w:rsidR="0025540C" w:rsidRDefault="0025540C" w:rsidP="00255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540C" w:rsidRPr="00C55513" w:rsidRDefault="0025540C" w:rsidP="0025540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55513">
        <w:rPr>
          <w:rFonts w:ascii="Times New Roman" w:hAnsi="Times New Roman"/>
          <w:b/>
          <w:i/>
          <w:sz w:val="24"/>
          <w:szCs w:val="24"/>
        </w:rPr>
        <w:t>Физическая культура и спорт</w:t>
      </w:r>
    </w:p>
    <w:p w:rsidR="00853991" w:rsidRPr="00735D2D" w:rsidRDefault="00853991" w:rsidP="00735D2D">
      <w:pPr>
        <w:pStyle w:val="30"/>
        <w:tabs>
          <w:tab w:val="left" w:pos="0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35D2D">
        <w:rPr>
          <w:rFonts w:ascii="Times New Roman" w:hAnsi="Times New Roman" w:cs="Times New Roman"/>
          <w:sz w:val="24"/>
          <w:szCs w:val="24"/>
        </w:rPr>
        <w:t>Развитие физкультурно-спортивного движения в городском округе город Мегион основывается на сети спортивных сооружений организаций и учреждений физкультурно-спортивной направленности, системы проведения спортивно-массовых мероприятий, охватывающей соревновательной деятельностью все категории и возрастные группы населения городского округа.</w:t>
      </w:r>
    </w:p>
    <w:p w:rsidR="00853991" w:rsidRPr="00853991" w:rsidRDefault="00853991" w:rsidP="00735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Сеть учреждений физической культуры и спорта включает в себя:</w:t>
      </w:r>
    </w:p>
    <w:p w:rsidR="00853991" w:rsidRPr="00853991" w:rsidRDefault="00853991" w:rsidP="00735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бюджетное учреждение «Центр спортивной подготовки «Спорт-Альтаир»;</w:t>
      </w:r>
    </w:p>
    <w:p w:rsidR="00853991" w:rsidRPr="00853991" w:rsidRDefault="00853991" w:rsidP="00735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автономное учреждение «Спортивный комплекс «Дельфин»;</w:t>
      </w:r>
    </w:p>
    <w:p w:rsidR="00853991" w:rsidRPr="00853991" w:rsidRDefault="00853991" w:rsidP="00735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бюджетное образовательное учреждение дополнительного образования детей «Детско-юношеская спортивная школа №1»;</w:t>
      </w:r>
    </w:p>
    <w:p w:rsidR="00853991" w:rsidRPr="00853991" w:rsidRDefault="00853991" w:rsidP="00735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бюджетное образовательное учреждение дополнительного образования детей «Детско-юношеская спортивная школа №2»;</w:t>
      </w:r>
    </w:p>
    <w:p w:rsidR="00853991" w:rsidRPr="00853991" w:rsidRDefault="00853991" w:rsidP="00735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автономное образовательное учреждение дополнительного образования детей «Детско-юношеская спортивная школа №3».</w:t>
      </w:r>
    </w:p>
    <w:p w:rsidR="00853991" w:rsidRPr="00853991" w:rsidRDefault="00853991" w:rsidP="00735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91" w:rsidRPr="00853991" w:rsidRDefault="00853991" w:rsidP="0073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 xml:space="preserve">Обеспеченность спортивными объектами низкая и по видам объектов составляет: </w:t>
      </w:r>
    </w:p>
    <w:p w:rsidR="00853991" w:rsidRPr="00853991" w:rsidRDefault="00853991" w:rsidP="0073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-спортивными сооружениями 17,2% от федерального норматива;</w:t>
      </w:r>
    </w:p>
    <w:p w:rsidR="00853991" w:rsidRPr="00853991" w:rsidRDefault="005A3301" w:rsidP="0073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-бассейнами 18,3</w:t>
      </w:r>
      <w:r w:rsidR="00853991" w:rsidRPr="00853991">
        <w:rPr>
          <w:rFonts w:ascii="Times New Roman" w:hAnsi="Times New Roman" w:cs="Times New Roman"/>
          <w:sz w:val="24"/>
          <w:szCs w:val="24"/>
        </w:rPr>
        <w:t>%;</w:t>
      </w:r>
    </w:p>
    <w:p w:rsidR="00853991" w:rsidRPr="00853991" w:rsidRDefault="00853991" w:rsidP="0073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-учреждениями дополнительного образования детей 48,1%.</w:t>
      </w:r>
    </w:p>
    <w:p w:rsidR="00853991" w:rsidRPr="00853991" w:rsidRDefault="00853991" w:rsidP="0073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Со вводом в конце 2013 года второй очереди спортивного комплекса  «Олимп» на  0,3 процентных пунктов возросла обеспеченность объектами спорта и составила 17,2%.</w:t>
      </w:r>
    </w:p>
    <w:p w:rsidR="00853991" w:rsidRPr="00853991" w:rsidRDefault="00853991" w:rsidP="00853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Помимо муниципальных объектов физической культуры и спорта на территории имеются и ведомственные мощности-</w:t>
      </w:r>
      <w:r w:rsidRPr="00853991">
        <w:rPr>
          <w:rFonts w:ascii="Times New Roman" w:hAnsi="Times New Roman" w:cs="Times New Roman"/>
          <w:color w:val="000000"/>
          <w:sz w:val="24"/>
          <w:szCs w:val="24"/>
        </w:rPr>
        <w:t>открытое акционерное общество</w:t>
      </w:r>
      <w:r w:rsidRPr="00853991">
        <w:rPr>
          <w:rFonts w:ascii="Times New Roman" w:hAnsi="Times New Roman" w:cs="Times New Roman"/>
          <w:sz w:val="24"/>
          <w:szCs w:val="24"/>
        </w:rPr>
        <w:t xml:space="preserve"> «Славнефть-Мегионнефтегаз» располагает своей спортивной материально-технической базой, которая включает в себя следующие объекты: </w:t>
      </w:r>
    </w:p>
    <w:p w:rsidR="00853991" w:rsidRPr="00853991" w:rsidRDefault="00853991" w:rsidP="00853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 xml:space="preserve">-спортивно-оздоровительный комплекс «Жемчужина», который является единственным на сегодняшний день в городе спортивным сооружением, отвечающим современным требованиям для организации спортивной и оздоровительной работы. Спортивный комплекс оснащен всем необходимым современным инвентарем и оборудованием для занятий различными видами спорта: баскетболом, теннисом, плаванием, рукопашным боем, аэробикой, аквааэробикой, бодибилдингом, лечебной физкультурой. В нем расположены 4 спортивных зала и 25 метровый бассейн с пятью дорожками. </w:t>
      </w:r>
    </w:p>
    <w:p w:rsidR="00853991" w:rsidRPr="00853991" w:rsidRDefault="00853991" w:rsidP="008539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Еще один спортивный зал функционирует на базе общества с ограниченной ответственностью «Автотранссервис».</w:t>
      </w:r>
      <w:r w:rsidRPr="008539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город Мегион на конец 2013 года </w:t>
      </w:r>
      <w:r w:rsidR="005A3301">
        <w:rPr>
          <w:rFonts w:ascii="Times New Roman" w:hAnsi="Times New Roman" w:cs="Times New Roman"/>
          <w:sz w:val="24"/>
          <w:szCs w:val="24"/>
        </w:rPr>
        <w:t xml:space="preserve">увеличилось до </w:t>
      </w:r>
      <w:r w:rsidRPr="00853991">
        <w:rPr>
          <w:rFonts w:ascii="Times New Roman" w:hAnsi="Times New Roman" w:cs="Times New Roman"/>
          <w:sz w:val="24"/>
          <w:szCs w:val="24"/>
        </w:rPr>
        <w:t>65</w:t>
      </w:r>
      <w:r w:rsidRPr="008539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3991">
        <w:rPr>
          <w:rFonts w:ascii="Times New Roman" w:hAnsi="Times New Roman" w:cs="Times New Roman"/>
          <w:sz w:val="24"/>
          <w:szCs w:val="24"/>
        </w:rPr>
        <w:t>спортивных сооружений в связи со вводом в эксплуатацию нового детского сада с имеющимися в нём спортивными объектами.</w:t>
      </w:r>
    </w:p>
    <w:p w:rsidR="0025540C" w:rsidRPr="00D00AAF" w:rsidRDefault="0025540C" w:rsidP="00853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К 201</w:t>
      </w:r>
      <w:r w:rsidR="00853991" w:rsidRPr="00853991">
        <w:rPr>
          <w:rFonts w:ascii="Times New Roman" w:hAnsi="Times New Roman" w:cs="Times New Roman"/>
          <w:sz w:val="24"/>
          <w:szCs w:val="24"/>
        </w:rPr>
        <w:t>7</w:t>
      </w:r>
      <w:r w:rsidRPr="00853991">
        <w:rPr>
          <w:rFonts w:ascii="Times New Roman" w:hAnsi="Times New Roman" w:cs="Times New Roman"/>
          <w:sz w:val="24"/>
          <w:szCs w:val="24"/>
        </w:rPr>
        <w:t xml:space="preserve"> году планируется увеличить удельный</w:t>
      </w:r>
      <w:r w:rsidRPr="00D00AAF">
        <w:rPr>
          <w:rFonts w:ascii="Times New Roman" w:hAnsi="Times New Roman"/>
          <w:sz w:val="24"/>
          <w:szCs w:val="24"/>
        </w:rPr>
        <w:t xml:space="preserve"> вес населения, занимающегося физической культурой и спортом до </w:t>
      </w:r>
      <w:r w:rsidR="00853991">
        <w:rPr>
          <w:rFonts w:ascii="Times New Roman" w:hAnsi="Times New Roman"/>
          <w:sz w:val="24"/>
          <w:szCs w:val="24"/>
        </w:rPr>
        <w:t>25,1</w:t>
      </w:r>
      <w:r w:rsidRPr="00D00AAF">
        <w:rPr>
          <w:rFonts w:ascii="Times New Roman" w:hAnsi="Times New Roman"/>
          <w:sz w:val="24"/>
          <w:szCs w:val="24"/>
        </w:rPr>
        <w:t>%. Основным направлением деятельности в области физической культуры и спорта являются эффективное использование возможностей физической культуры и спорта во всестороннем физическом и культурном развитии жителей, в том числе формирование здорового образа жизни населения, развитие массового, детско-юношеского спорта и спорта высших достижений.</w:t>
      </w:r>
    </w:p>
    <w:p w:rsidR="00853991" w:rsidRPr="00C54159" w:rsidRDefault="00853991" w:rsidP="00F3779A">
      <w:pPr>
        <w:pStyle w:val="a6"/>
        <w:rPr>
          <w:highlight w:val="yellow"/>
        </w:rPr>
      </w:pPr>
    </w:p>
    <w:p w:rsidR="0025540C" w:rsidRPr="00863125" w:rsidRDefault="0025540C" w:rsidP="00863125">
      <w:pPr>
        <w:pStyle w:val="a6"/>
        <w:ind w:firstLine="709"/>
        <w:jc w:val="center"/>
        <w:rPr>
          <w:sz w:val="24"/>
          <w:szCs w:val="24"/>
        </w:rPr>
      </w:pPr>
      <w:r w:rsidRPr="006A68F2">
        <w:rPr>
          <w:sz w:val="24"/>
          <w:szCs w:val="24"/>
        </w:rPr>
        <w:t>Показатели обеспечен</w:t>
      </w:r>
      <w:r w:rsidR="00863125">
        <w:rPr>
          <w:sz w:val="24"/>
          <w:szCs w:val="24"/>
        </w:rPr>
        <w:t xml:space="preserve">ности спортивными сооружениями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800"/>
        <w:gridCol w:w="1045"/>
        <w:gridCol w:w="983"/>
        <w:gridCol w:w="1047"/>
        <w:gridCol w:w="993"/>
        <w:gridCol w:w="1039"/>
      </w:tblGrid>
      <w:tr w:rsidR="0025540C" w:rsidRPr="00DB48AE" w:rsidTr="0025540C">
        <w:trPr>
          <w:trHeight w:val="111"/>
          <w:tblHeader/>
          <w:jc w:val="center"/>
        </w:trPr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853991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 xml:space="preserve">Социальные нормативы 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 xml:space="preserve">Показатели обеспеченности </w:t>
            </w:r>
          </w:p>
        </w:tc>
      </w:tr>
      <w:tr w:rsidR="0025540C" w:rsidRPr="00DB48AE" w:rsidTr="0025540C">
        <w:trPr>
          <w:trHeight w:val="284"/>
          <w:tblHeader/>
          <w:jc w:val="center"/>
        </w:trPr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853991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735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8A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735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4</w:t>
            </w:r>
            <w:r w:rsidRPr="00DB48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735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8A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735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6</w:t>
            </w:r>
            <w:r w:rsidRPr="00DB48A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735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8A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5540C" w:rsidRPr="00C54159" w:rsidTr="0025540C">
        <w:trPr>
          <w:trHeight w:val="200"/>
          <w:jc w:val="center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Численность населения на конец года, человек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55 980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56 657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57 150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58 343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F3779A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59 587</w:t>
            </w:r>
          </w:p>
        </w:tc>
      </w:tr>
      <w:tr w:rsidR="0025540C" w:rsidRPr="00C54159" w:rsidTr="0025540C">
        <w:trPr>
          <w:trHeight w:val="178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Спортивные сооружения</w:t>
            </w:r>
          </w:p>
        </w:tc>
      </w:tr>
      <w:tr w:rsidR="0025540C" w:rsidRPr="00C54159" w:rsidTr="0025540C">
        <w:trPr>
          <w:trHeight w:val="130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* необходимая мощность по нормативу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1 900 человек единовременного посещения человек на 10 000 населения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A1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A104DB" w:rsidRPr="00A104DB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10 765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10 859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11 085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11 322</w:t>
            </w:r>
          </w:p>
        </w:tc>
      </w:tr>
      <w:tr w:rsidR="0025540C" w:rsidRPr="00C54159" w:rsidTr="0025540C">
        <w:trPr>
          <w:trHeight w:val="775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* фактически располагаемые мощности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1 827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A1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A104DB" w:rsidRPr="00A104DB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A1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A1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2 327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2 327</w:t>
            </w:r>
          </w:p>
        </w:tc>
      </w:tr>
      <w:tr w:rsidR="0025540C" w:rsidRPr="00C54159" w:rsidTr="0025540C">
        <w:trPr>
          <w:trHeight w:val="231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A1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17,</w:t>
            </w:r>
            <w:r w:rsidR="00A104DB" w:rsidRPr="00A104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A104DB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25540C" w:rsidRPr="00C54159" w:rsidTr="0025540C">
        <w:trPr>
          <w:trHeight w:val="82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Бассейны</w:t>
            </w:r>
          </w:p>
        </w:tc>
      </w:tr>
      <w:tr w:rsidR="0025540C" w:rsidRPr="00C54159" w:rsidTr="0025540C">
        <w:trPr>
          <w:trHeight w:val="324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необходимая мощность по нормативу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50 м²"/>
              </w:smartTagPr>
              <w:r w:rsidRPr="00DB48AE">
                <w:rPr>
                  <w:rFonts w:ascii="Times New Roman" w:hAnsi="Times New Roman"/>
                  <w:sz w:val="24"/>
                  <w:szCs w:val="24"/>
                </w:rPr>
                <w:t>750 м²</w:t>
              </w:r>
            </w:smartTag>
            <w:r w:rsidRPr="00DB48AE">
              <w:rPr>
                <w:rFonts w:ascii="Times New Roman" w:hAnsi="Times New Roman"/>
                <w:sz w:val="24"/>
                <w:szCs w:val="24"/>
              </w:rPr>
              <w:t xml:space="preserve"> на 10 000 населения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>4 1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</w:tr>
      <w:tr w:rsidR="0025540C" w:rsidRPr="00C54159" w:rsidTr="0025540C">
        <w:trPr>
          <w:trHeight w:val="200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фактически располагаемые мощности</w:t>
            </w:r>
          </w:p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(с учетом ведомственных мощностей и спортсооружений школ)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40C" w:rsidRPr="00A104DB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770</w:t>
            </w:r>
          </w:p>
          <w:p w:rsidR="0025540C" w:rsidRPr="00A104DB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A104DB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B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</w:tr>
      <w:tr w:rsidR="0025540C" w:rsidRPr="00C54159" w:rsidTr="0025540C">
        <w:trPr>
          <w:trHeight w:val="358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DB48AE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8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>18,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>1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7</w:t>
            </w:r>
            <w:r w:rsidRPr="009A08BD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</w:tbl>
    <w:p w:rsidR="0025540C" w:rsidRPr="00C54159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5540C" w:rsidRPr="00F93668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668">
        <w:rPr>
          <w:rFonts w:ascii="Times New Roman" w:hAnsi="Times New Roman"/>
          <w:sz w:val="24"/>
          <w:szCs w:val="24"/>
        </w:rPr>
        <w:t>В настоящее время назрела необходимость создания благоприятных условий для оздоровления населения городского округа город Мегион в трудовых коллективах, по месту жительства, а также в местах отдыха.</w:t>
      </w:r>
    </w:p>
    <w:p w:rsidR="0025540C" w:rsidRPr="00F93668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668">
        <w:rPr>
          <w:rFonts w:ascii="Times New Roman" w:hAnsi="Times New Roman"/>
          <w:sz w:val="24"/>
          <w:szCs w:val="24"/>
        </w:rPr>
        <w:t>Решению указанных, а также других задач сферы физической культуры и спорта способствует реализация городской целевой программы «</w:t>
      </w:r>
      <w:r w:rsidR="00853991" w:rsidRPr="00853991">
        <w:rPr>
          <w:rFonts w:ascii="Times New Roman" w:hAnsi="Times New Roman"/>
          <w:sz w:val="24"/>
          <w:szCs w:val="24"/>
        </w:rPr>
        <w:t>Развитие физической культуры и спорта в муниципальном образовании город Мегион на 2014-2020 годы</w:t>
      </w:r>
      <w:r w:rsidRPr="00F93668">
        <w:rPr>
          <w:rFonts w:ascii="Times New Roman" w:hAnsi="Times New Roman"/>
          <w:sz w:val="24"/>
          <w:szCs w:val="24"/>
        </w:rPr>
        <w:t xml:space="preserve">», целью которой является </w:t>
      </w:r>
      <w:r w:rsidR="00853991">
        <w:rPr>
          <w:color w:val="000000"/>
        </w:rPr>
        <w:t>с</w:t>
      </w:r>
      <w:r w:rsidR="00853991" w:rsidRPr="00141404">
        <w:rPr>
          <w:color w:val="000000"/>
        </w:rPr>
        <w:t>озда</w:t>
      </w:r>
      <w:r w:rsidR="00853991" w:rsidRPr="00853991">
        <w:rPr>
          <w:rFonts w:ascii="Times New Roman" w:hAnsi="Times New Roman" w:cs="Times New Roman"/>
          <w:color w:val="000000"/>
          <w:sz w:val="24"/>
          <w:szCs w:val="24"/>
        </w:rPr>
        <w:t>ние условий населению городского округа для регулярных занятий физической культурой и спортом, увеличение количества занимающихся физической культурой и спортом, повышение качества оказания услуг в сфере физической культуры и спорта. Обеспечение подготовки спортивного резерва сборных команд городского округа.</w:t>
      </w:r>
    </w:p>
    <w:p w:rsidR="00853991" w:rsidRDefault="0025540C" w:rsidP="00853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668">
        <w:rPr>
          <w:rFonts w:ascii="Times New Roman" w:hAnsi="Times New Roman"/>
          <w:sz w:val="24"/>
          <w:szCs w:val="24"/>
        </w:rPr>
        <w:t>Реализация мероприятий целевой программы «</w:t>
      </w:r>
      <w:r w:rsidR="00853991" w:rsidRPr="00853991">
        <w:rPr>
          <w:rFonts w:ascii="Times New Roman" w:hAnsi="Times New Roman"/>
          <w:sz w:val="24"/>
          <w:szCs w:val="24"/>
        </w:rPr>
        <w:t>Развитие физической культуры и спорта в муниципальном образовании город Мегион на 2014-2020 годы</w:t>
      </w:r>
      <w:r w:rsidRPr="00F93668">
        <w:rPr>
          <w:rFonts w:ascii="Times New Roman" w:hAnsi="Times New Roman"/>
          <w:sz w:val="24"/>
          <w:szCs w:val="24"/>
        </w:rPr>
        <w:t>», позволит</w:t>
      </w:r>
      <w:r>
        <w:rPr>
          <w:rFonts w:ascii="Times New Roman" w:hAnsi="Times New Roman"/>
          <w:sz w:val="24"/>
          <w:szCs w:val="24"/>
        </w:rPr>
        <w:t xml:space="preserve"> увеличить</w:t>
      </w:r>
      <w:r w:rsidR="00853991">
        <w:rPr>
          <w:rFonts w:ascii="Times New Roman" w:hAnsi="Times New Roman"/>
          <w:sz w:val="24"/>
          <w:szCs w:val="24"/>
        </w:rPr>
        <w:t>: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A3301">
        <w:rPr>
          <w:rFonts w:ascii="Times New Roman" w:hAnsi="Times New Roman" w:cs="Times New Roman"/>
          <w:sz w:val="24"/>
          <w:szCs w:val="24"/>
        </w:rPr>
        <w:t>е</w:t>
      </w:r>
      <w:r w:rsidR="00863125">
        <w:rPr>
          <w:rFonts w:ascii="Times New Roman" w:hAnsi="Times New Roman" w:cs="Times New Roman"/>
          <w:sz w:val="24"/>
          <w:szCs w:val="24"/>
        </w:rPr>
        <w:t>дин</w:t>
      </w:r>
      <w:r w:rsidR="005A3301">
        <w:rPr>
          <w:rFonts w:ascii="Times New Roman" w:hAnsi="Times New Roman" w:cs="Times New Roman"/>
          <w:sz w:val="24"/>
          <w:szCs w:val="24"/>
        </w:rPr>
        <w:t>ую</w:t>
      </w:r>
      <w:r w:rsidR="00863125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5A3301">
        <w:rPr>
          <w:rFonts w:ascii="Times New Roman" w:hAnsi="Times New Roman" w:cs="Times New Roman"/>
          <w:sz w:val="24"/>
          <w:szCs w:val="24"/>
        </w:rPr>
        <w:t>ую</w:t>
      </w:r>
      <w:r w:rsidR="00863125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5A3301">
        <w:rPr>
          <w:rFonts w:ascii="Times New Roman" w:hAnsi="Times New Roman" w:cs="Times New Roman"/>
          <w:sz w:val="24"/>
          <w:szCs w:val="24"/>
        </w:rPr>
        <w:t>ь</w:t>
      </w:r>
      <w:r w:rsidRPr="00853991">
        <w:rPr>
          <w:rFonts w:ascii="Times New Roman" w:hAnsi="Times New Roman" w:cs="Times New Roman"/>
          <w:sz w:val="24"/>
          <w:szCs w:val="24"/>
        </w:rPr>
        <w:t xml:space="preserve"> спортивных сооружений до 1925 человек в час;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-количеств</w:t>
      </w:r>
      <w:r w:rsidR="005A3301">
        <w:rPr>
          <w:rFonts w:ascii="Times New Roman" w:hAnsi="Times New Roman" w:cs="Times New Roman"/>
          <w:sz w:val="24"/>
          <w:szCs w:val="24"/>
        </w:rPr>
        <w:t>о</w:t>
      </w:r>
      <w:r w:rsidRPr="00853991">
        <w:rPr>
          <w:rFonts w:ascii="Times New Roman" w:hAnsi="Times New Roman" w:cs="Times New Roman"/>
          <w:sz w:val="24"/>
          <w:szCs w:val="24"/>
        </w:rPr>
        <w:t xml:space="preserve"> занимающихся физической культурой и спортом до 14000 человек;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</w:t>
      </w:r>
      <w:r w:rsidR="005A3301">
        <w:rPr>
          <w:rFonts w:ascii="Times New Roman" w:hAnsi="Times New Roman" w:cs="Times New Roman"/>
          <w:sz w:val="24"/>
          <w:szCs w:val="24"/>
        </w:rPr>
        <w:t>количество</w:t>
      </w:r>
      <w:r w:rsidRPr="00853991">
        <w:rPr>
          <w:rFonts w:ascii="Times New Roman" w:hAnsi="Times New Roman" w:cs="Times New Roman"/>
          <w:sz w:val="24"/>
          <w:szCs w:val="24"/>
        </w:rPr>
        <w:t xml:space="preserve"> тренеров-преподавателей до 125 человек;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</w:t>
      </w:r>
      <w:r w:rsidR="005A3301">
        <w:rPr>
          <w:rFonts w:ascii="Times New Roman" w:hAnsi="Times New Roman" w:cs="Times New Roman"/>
          <w:sz w:val="24"/>
          <w:szCs w:val="24"/>
        </w:rPr>
        <w:t>площади</w:t>
      </w:r>
      <w:r w:rsidRPr="00853991">
        <w:rPr>
          <w:rFonts w:ascii="Times New Roman" w:hAnsi="Times New Roman" w:cs="Times New Roman"/>
          <w:sz w:val="24"/>
          <w:szCs w:val="24"/>
        </w:rPr>
        <w:t xml:space="preserve"> спортивных залов до 10747,3 м</w:t>
      </w:r>
      <w:r w:rsidRPr="008539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3991">
        <w:rPr>
          <w:rFonts w:ascii="Times New Roman" w:hAnsi="Times New Roman" w:cs="Times New Roman"/>
          <w:sz w:val="24"/>
          <w:szCs w:val="24"/>
        </w:rPr>
        <w:t>;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 xml:space="preserve">-участие в официальных окружных, всероссийских и международных соревнованиях по видам спорта </w:t>
      </w:r>
      <w:r w:rsidR="005A3301">
        <w:rPr>
          <w:rFonts w:ascii="Times New Roman" w:hAnsi="Times New Roman" w:cs="Times New Roman"/>
          <w:sz w:val="24"/>
          <w:szCs w:val="24"/>
        </w:rPr>
        <w:t>до</w:t>
      </w:r>
      <w:r w:rsidRPr="00853991">
        <w:rPr>
          <w:rFonts w:ascii="Times New Roman" w:hAnsi="Times New Roman" w:cs="Times New Roman"/>
          <w:sz w:val="24"/>
          <w:szCs w:val="24"/>
        </w:rPr>
        <w:t xml:space="preserve"> 220 человек.</w:t>
      </w:r>
    </w:p>
    <w:p w:rsidR="00863125" w:rsidRDefault="00863125" w:rsidP="002554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5540C" w:rsidRPr="00C55513" w:rsidRDefault="0025540C" w:rsidP="0025540C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55513">
        <w:rPr>
          <w:rFonts w:ascii="Times New Roman" w:hAnsi="Times New Roman"/>
          <w:b/>
          <w:i/>
          <w:sz w:val="24"/>
          <w:szCs w:val="24"/>
        </w:rPr>
        <w:t>Культура</w:t>
      </w:r>
    </w:p>
    <w:p w:rsidR="0025540C" w:rsidRPr="00061871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871">
        <w:rPr>
          <w:rFonts w:ascii="Times New Roman" w:hAnsi="Times New Roman"/>
          <w:sz w:val="24"/>
          <w:szCs w:val="24"/>
        </w:rPr>
        <w:t xml:space="preserve">Городской округ город Мегион обладает обширным культурным потенциалом для удовлетворения духовных и культурных потребностей населения территории. 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 xml:space="preserve">Сфера культуры городского округа представлена следующими культурно - просветительскими, досуговыми учреждениями: </w:t>
      </w:r>
    </w:p>
    <w:p w:rsidR="00853991" w:rsidRPr="00853991" w:rsidRDefault="00853991" w:rsidP="00853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автономное учреждение «Центр культуры и досуга» с домом культуры «Прометей» в городе Мегионе на 377 посадочных мест и домом культуры «Сибирь» на 196 посадочных мест в посёлке городского типа Высокий;</w:t>
      </w:r>
    </w:p>
    <w:p w:rsidR="00853991" w:rsidRPr="00853991" w:rsidRDefault="00853991" w:rsidP="00853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бюджетное учреждение «Дворец искусств» на 750 посадочных мест;</w:t>
      </w:r>
    </w:p>
    <w:p w:rsidR="00853991" w:rsidRPr="00853991" w:rsidRDefault="00853991" w:rsidP="00853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автономное учреждение «Региональный историко-культурный и экологический центр»;</w:t>
      </w:r>
    </w:p>
    <w:p w:rsidR="00853991" w:rsidRPr="00853991" w:rsidRDefault="00853991" w:rsidP="00853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-муниципальное бюджетное учреждение «Централизованная библиотечная система»;</w:t>
      </w:r>
    </w:p>
    <w:p w:rsidR="00853991" w:rsidRPr="00853991" w:rsidRDefault="00853991" w:rsidP="00853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-4 учреждения дополнительного образования детей в сфере культуры:  «Детская школа искусств имени А.М.Кузьмина», «Детская школа искусств №2» в поселке Высоком, «Детская художественная школа», школа искусств «Камертон» при МБОУ СОШ №4.</w:t>
      </w:r>
    </w:p>
    <w:p w:rsidR="00853991" w:rsidRPr="00853991" w:rsidRDefault="00853991" w:rsidP="008539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 муниципальное автономное учреждение «Театр музыки».</w:t>
      </w:r>
    </w:p>
    <w:p w:rsidR="00853991" w:rsidRPr="00853991" w:rsidRDefault="00853991" w:rsidP="008539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Обеспеченность населения объектами культуры недостаточная и по видам объектов составляет:</w:t>
      </w:r>
    </w:p>
    <w:p w:rsidR="00853991" w:rsidRPr="00853991" w:rsidRDefault="005A330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-клубными учреждениями 72</w:t>
      </w:r>
      <w:r w:rsidR="00853991" w:rsidRPr="00853991">
        <w:rPr>
          <w:rFonts w:ascii="Times New Roman" w:hAnsi="Times New Roman" w:cs="Times New Roman"/>
          <w:color w:val="000000" w:themeColor="text1"/>
          <w:sz w:val="24"/>
          <w:szCs w:val="24"/>
        </w:rPr>
        <w:t>,8%;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3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-библиотечными учреждениями </w:t>
      </w:r>
      <w:r w:rsidR="005A3301">
        <w:rPr>
          <w:rFonts w:ascii="Times New Roman" w:hAnsi="Times New Roman" w:cs="Times New Roman"/>
          <w:color w:val="000000" w:themeColor="text1"/>
          <w:sz w:val="24"/>
          <w:szCs w:val="24"/>
        </w:rPr>
        <w:t>95,9</w:t>
      </w:r>
      <w:r w:rsidRPr="00853991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-музеями 50%;</w:t>
      </w:r>
    </w:p>
    <w:p w:rsidR="00853991" w:rsidRPr="00853991" w:rsidRDefault="00853991" w:rsidP="0085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91">
        <w:rPr>
          <w:rFonts w:ascii="Times New Roman" w:hAnsi="Times New Roman" w:cs="Times New Roman"/>
          <w:sz w:val="24"/>
          <w:szCs w:val="24"/>
        </w:rPr>
        <w:t>-учреждениями дополнительного образования детей 92,6%.</w:t>
      </w:r>
    </w:p>
    <w:p w:rsidR="00853991" w:rsidRPr="00853991" w:rsidRDefault="00853991" w:rsidP="00853991">
      <w:pPr>
        <w:pStyle w:val="af2"/>
        <w:ind w:firstLine="720"/>
        <w:rPr>
          <w:b w:val="0"/>
        </w:rPr>
      </w:pPr>
    </w:p>
    <w:p w:rsidR="0025540C" w:rsidRPr="00735D2D" w:rsidRDefault="0025540C" w:rsidP="008539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D2D">
        <w:rPr>
          <w:rFonts w:ascii="Times New Roman" w:hAnsi="Times New Roman" w:cs="Times New Roman"/>
          <w:sz w:val="24"/>
          <w:szCs w:val="24"/>
        </w:rPr>
        <w:t>В прогнозируемый период предполагается развитие сферы культуры путем создания условий для развития отрасли культуры, увеличения</w:t>
      </w:r>
      <w:r w:rsidRPr="00735D2D">
        <w:rPr>
          <w:rFonts w:ascii="Times New Roman" w:hAnsi="Times New Roman"/>
          <w:sz w:val="24"/>
          <w:szCs w:val="24"/>
        </w:rPr>
        <w:t xml:space="preserve"> библиотечных и музейных фондов, а также других движимых культурных ценностей, обладающих культу</w:t>
      </w:r>
      <w:r w:rsidR="00735D2D" w:rsidRPr="00735D2D">
        <w:rPr>
          <w:rFonts w:ascii="Times New Roman" w:hAnsi="Times New Roman"/>
          <w:sz w:val="24"/>
          <w:szCs w:val="24"/>
        </w:rPr>
        <w:t>рной и исторической значимостью в рамках реализации муниципальной программы «Развитие культуры и туризма в муниципальном образовании город Мегион на 2014-2017 годы».</w:t>
      </w:r>
    </w:p>
    <w:p w:rsidR="00283E9A" w:rsidRPr="00283E9A" w:rsidRDefault="00283E9A" w:rsidP="00283E9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3E9A">
        <w:rPr>
          <w:rFonts w:ascii="Times New Roman" w:hAnsi="Times New Roman" w:cs="Times New Roman"/>
          <w:sz w:val="24"/>
          <w:szCs w:val="24"/>
        </w:rPr>
        <w:t xml:space="preserve">В 2013 году в городском округе город Мегион действовало два учреждения культурно-досугового типа: муниципальное бюджетное учреждение «Дворец искусств» муниципальное автономное учреждение «Центр культуры и досуга», в  структуру которого входят городской дом культуры «Прометей» с летней эстрадой, городской Парк аттракционов, Дом культуры «Сибирь». </w:t>
      </w:r>
    </w:p>
    <w:p w:rsidR="00283E9A" w:rsidRPr="00283E9A" w:rsidRDefault="00283E9A" w:rsidP="00283E9A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3E9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2013 году</w:t>
      </w:r>
      <w:r w:rsidRPr="00283E9A">
        <w:rPr>
          <w:rFonts w:ascii="Times New Roman" w:hAnsi="Times New Roman"/>
          <w:sz w:val="24"/>
          <w:szCs w:val="24"/>
        </w:rPr>
        <w:t xml:space="preserve"> периоде проведено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E9A">
        <w:rPr>
          <w:rFonts w:ascii="Times New Roman" w:hAnsi="Times New Roman"/>
          <w:sz w:val="24"/>
          <w:szCs w:val="24"/>
        </w:rPr>
        <w:t xml:space="preserve">536  культурно-массовых мероприятий, в том числе 628  для детей. </w:t>
      </w:r>
    </w:p>
    <w:p w:rsidR="00283E9A" w:rsidRPr="00283E9A" w:rsidRDefault="00283E9A" w:rsidP="00283E9A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83E9A">
        <w:rPr>
          <w:rFonts w:ascii="Times New Roman" w:hAnsi="Times New Roman"/>
          <w:sz w:val="24"/>
          <w:szCs w:val="24"/>
        </w:rPr>
        <w:t>Число посещений за 2013 год 136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E9A">
        <w:rPr>
          <w:rFonts w:ascii="Times New Roman" w:hAnsi="Times New Roman"/>
          <w:sz w:val="24"/>
          <w:szCs w:val="24"/>
        </w:rPr>
        <w:t>837 человек, в том числе детей 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E9A">
        <w:rPr>
          <w:rFonts w:ascii="Times New Roman" w:hAnsi="Times New Roman"/>
          <w:sz w:val="24"/>
          <w:szCs w:val="24"/>
        </w:rPr>
        <w:t>141 человек.</w:t>
      </w:r>
    </w:p>
    <w:p w:rsidR="0025540C" w:rsidRPr="00283E9A" w:rsidRDefault="0025540C" w:rsidP="00283E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9A">
        <w:rPr>
          <w:rFonts w:ascii="Times New Roman" w:hAnsi="Times New Roman" w:cs="Times New Roman"/>
          <w:sz w:val="24"/>
          <w:szCs w:val="24"/>
        </w:rPr>
        <w:t xml:space="preserve">Библиотечная сеть городского округа представлена муниципальным учреждением «Централизованная библиотечная система». </w:t>
      </w:r>
    </w:p>
    <w:p w:rsidR="0025540C" w:rsidRPr="00283E9A" w:rsidRDefault="0025540C" w:rsidP="00283E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9A">
        <w:rPr>
          <w:rFonts w:ascii="Times New Roman" w:hAnsi="Times New Roman" w:cs="Times New Roman"/>
          <w:sz w:val="24"/>
          <w:szCs w:val="24"/>
        </w:rPr>
        <w:t>Структура муниципального учреждения состоит из Центральной городской библиотеки, Центральной детской библиотеки и 5 филиалов, расположенных в городском округе город Мегион.</w:t>
      </w:r>
    </w:p>
    <w:p w:rsidR="0025540C" w:rsidRPr="00283E9A" w:rsidRDefault="0025540C" w:rsidP="00283E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9A">
        <w:rPr>
          <w:rFonts w:ascii="Times New Roman" w:hAnsi="Times New Roman" w:cs="Times New Roman"/>
          <w:sz w:val="24"/>
          <w:szCs w:val="24"/>
        </w:rPr>
        <w:t>Помимо библиотек массового посещения на территории городского округа действуют школьные библиотеки и библиотеки учреждений профобразования.</w:t>
      </w:r>
    </w:p>
    <w:p w:rsidR="00853991" w:rsidRPr="00283E9A" w:rsidRDefault="0025540C" w:rsidP="00283E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9A">
        <w:rPr>
          <w:rFonts w:ascii="Times New Roman" w:hAnsi="Times New Roman" w:cs="Times New Roman"/>
          <w:sz w:val="24"/>
          <w:szCs w:val="24"/>
        </w:rPr>
        <w:t>Фактическая обеспеченность мощностями библиотек на 01.01.201</w:t>
      </w:r>
      <w:r w:rsidR="00735D2D" w:rsidRPr="00283E9A">
        <w:rPr>
          <w:rFonts w:ascii="Times New Roman" w:hAnsi="Times New Roman" w:cs="Times New Roman"/>
          <w:sz w:val="24"/>
          <w:szCs w:val="24"/>
        </w:rPr>
        <w:t>4</w:t>
      </w:r>
      <w:r w:rsidRPr="00283E9A">
        <w:rPr>
          <w:rFonts w:ascii="Times New Roman" w:hAnsi="Times New Roman" w:cs="Times New Roman"/>
          <w:sz w:val="24"/>
          <w:szCs w:val="24"/>
        </w:rPr>
        <w:t xml:space="preserve"> го</w:t>
      </w:r>
      <w:r w:rsidR="00735D2D" w:rsidRPr="00283E9A">
        <w:rPr>
          <w:rFonts w:ascii="Times New Roman" w:hAnsi="Times New Roman" w:cs="Times New Roman"/>
          <w:sz w:val="24"/>
          <w:szCs w:val="24"/>
        </w:rPr>
        <w:t>да превышает нормативные на 21,2</w:t>
      </w:r>
      <w:r w:rsidRPr="00283E9A">
        <w:rPr>
          <w:rFonts w:ascii="Times New Roman" w:hAnsi="Times New Roman" w:cs="Times New Roman"/>
          <w:sz w:val="24"/>
          <w:szCs w:val="24"/>
        </w:rPr>
        <w:t>%, но это не снимает вопроса строительства этих объектов, так как 4 филиала библиотек размещены</w:t>
      </w:r>
      <w:r w:rsidR="00735D2D" w:rsidRPr="00283E9A">
        <w:rPr>
          <w:rFonts w:ascii="Times New Roman" w:hAnsi="Times New Roman" w:cs="Times New Roman"/>
          <w:sz w:val="24"/>
          <w:szCs w:val="24"/>
        </w:rPr>
        <w:t xml:space="preserve"> в приспособленных помещениях.</w:t>
      </w:r>
    </w:p>
    <w:p w:rsidR="00283E9A" w:rsidRPr="00283E9A" w:rsidRDefault="00283E9A" w:rsidP="00283E9A">
      <w:pPr>
        <w:pStyle w:val="a8"/>
        <w:ind w:firstLine="709"/>
        <w:rPr>
          <w:sz w:val="24"/>
          <w:szCs w:val="24"/>
        </w:rPr>
      </w:pPr>
      <w:r w:rsidRPr="00283E9A">
        <w:rPr>
          <w:sz w:val="24"/>
          <w:szCs w:val="24"/>
        </w:rPr>
        <w:t xml:space="preserve">Музейное собрание </w:t>
      </w:r>
      <w:r>
        <w:rPr>
          <w:sz w:val="24"/>
          <w:szCs w:val="24"/>
        </w:rPr>
        <w:t xml:space="preserve">в 2013 году </w:t>
      </w:r>
      <w:r w:rsidRPr="00283E9A">
        <w:rPr>
          <w:sz w:val="24"/>
          <w:szCs w:val="24"/>
        </w:rPr>
        <w:t>увеличилось на 476 предметов по сравнению с 2012 годом и составило 15846 единиц хранения,  в том числе основной фонд составил 11</w:t>
      </w:r>
      <w:r>
        <w:rPr>
          <w:sz w:val="24"/>
          <w:szCs w:val="24"/>
        </w:rPr>
        <w:t xml:space="preserve"> </w:t>
      </w:r>
      <w:r w:rsidRPr="00283E9A">
        <w:rPr>
          <w:sz w:val="24"/>
          <w:szCs w:val="24"/>
        </w:rPr>
        <w:t>533 единицы хранения. В течение года из основного фонда экспонировалось 2</w:t>
      </w:r>
      <w:r>
        <w:rPr>
          <w:sz w:val="24"/>
          <w:szCs w:val="24"/>
        </w:rPr>
        <w:t xml:space="preserve"> </w:t>
      </w:r>
      <w:r w:rsidRPr="00283E9A">
        <w:rPr>
          <w:sz w:val="24"/>
          <w:szCs w:val="24"/>
        </w:rPr>
        <w:t xml:space="preserve">175 единиц музейных предметов. </w:t>
      </w:r>
    </w:p>
    <w:p w:rsidR="00283E9A" w:rsidRPr="00283E9A" w:rsidRDefault="00283E9A" w:rsidP="00283E9A">
      <w:pPr>
        <w:pStyle w:val="a8"/>
        <w:ind w:firstLine="709"/>
        <w:rPr>
          <w:sz w:val="24"/>
          <w:szCs w:val="24"/>
        </w:rPr>
      </w:pPr>
      <w:r w:rsidRPr="00283E9A">
        <w:rPr>
          <w:sz w:val="24"/>
          <w:szCs w:val="24"/>
        </w:rPr>
        <w:t xml:space="preserve">В </w:t>
      </w:r>
      <w:r>
        <w:rPr>
          <w:sz w:val="24"/>
          <w:szCs w:val="24"/>
        </w:rPr>
        <w:t>2013</w:t>
      </w:r>
      <w:r w:rsidRPr="00283E9A">
        <w:rPr>
          <w:sz w:val="24"/>
          <w:szCs w:val="24"/>
        </w:rPr>
        <w:t xml:space="preserve"> году музей посетили  21</w:t>
      </w:r>
      <w:r>
        <w:rPr>
          <w:sz w:val="24"/>
          <w:szCs w:val="24"/>
        </w:rPr>
        <w:t xml:space="preserve"> </w:t>
      </w:r>
      <w:r w:rsidRPr="00283E9A">
        <w:rPr>
          <w:sz w:val="24"/>
          <w:szCs w:val="24"/>
        </w:rPr>
        <w:t>873 человека, это на 513 человек, или 2,3%, меньше, чем в 2012 году, проведена 871 экскурсия,  открыто 29 выставок.</w:t>
      </w:r>
    </w:p>
    <w:p w:rsidR="00283E9A" w:rsidRDefault="00283E9A" w:rsidP="00283E9A">
      <w:pPr>
        <w:pStyle w:val="a8"/>
        <w:ind w:firstLine="709"/>
        <w:rPr>
          <w:bCs/>
          <w:sz w:val="24"/>
          <w:szCs w:val="24"/>
        </w:rPr>
      </w:pPr>
      <w:r w:rsidRPr="00283E9A">
        <w:rPr>
          <w:bCs/>
          <w:sz w:val="24"/>
          <w:szCs w:val="24"/>
        </w:rPr>
        <w:t>В 2013 году проведены по традиции музейные уроки по экологии, краеведению, этнографии на базе школ и дошкольных учреждений, которые в 2013 году посетили 10</w:t>
      </w:r>
      <w:r w:rsidR="00CE2B4B">
        <w:rPr>
          <w:bCs/>
          <w:sz w:val="24"/>
          <w:szCs w:val="24"/>
        </w:rPr>
        <w:t xml:space="preserve"> </w:t>
      </w:r>
      <w:r w:rsidRPr="00283E9A">
        <w:rPr>
          <w:bCs/>
          <w:sz w:val="24"/>
          <w:szCs w:val="24"/>
        </w:rPr>
        <w:t>610 человек, в 2012 году 4</w:t>
      </w:r>
      <w:r w:rsidR="00CE2B4B">
        <w:rPr>
          <w:bCs/>
          <w:sz w:val="24"/>
          <w:szCs w:val="24"/>
        </w:rPr>
        <w:t xml:space="preserve"> </w:t>
      </w:r>
      <w:r w:rsidRPr="00283E9A">
        <w:rPr>
          <w:bCs/>
          <w:sz w:val="24"/>
          <w:szCs w:val="24"/>
        </w:rPr>
        <w:t>940 человек</w:t>
      </w:r>
      <w:r>
        <w:rPr>
          <w:bCs/>
          <w:sz w:val="24"/>
          <w:szCs w:val="24"/>
        </w:rPr>
        <w:t>.</w:t>
      </w:r>
    </w:p>
    <w:p w:rsidR="00CE2B4B" w:rsidRDefault="00391647" w:rsidP="00283E9A">
      <w:pPr>
        <w:pStyle w:val="a8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На территории городского округа город Мегион функционируют следующие муниципальные учреждения дополнительного образования:</w:t>
      </w:r>
    </w:p>
    <w:p w:rsidR="00391647" w:rsidRDefault="00391647" w:rsidP="00283E9A">
      <w:pPr>
        <w:pStyle w:val="a8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-муниципальное бюджетное общеобразовательное учреждение дополнительного образования детей «Детская школа искусств им. А.М.Кузьмина»;</w:t>
      </w:r>
    </w:p>
    <w:p w:rsidR="00391647" w:rsidRDefault="00391647" w:rsidP="00283E9A">
      <w:pPr>
        <w:pStyle w:val="a8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-муниципальное бюджетное общеобразовательное учреждение дополнительного образования детей «Детская школа искусств №2»;</w:t>
      </w:r>
    </w:p>
    <w:p w:rsidR="00391647" w:rsidRDefault="00391647" w:rsidP="00283E9A">
      <w:pPr>
        <w:pStyle w:val="a8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-муниципальное бюджетное общеобразовательное учреждение дополнительного образования детей «Детская художественная школа»;</w:t>
      </w:r>
    </w:p>
    <w:p w:rsidR="00391647" w:rsidRDefault="00391647" w:rsidP="00283E9A">
      <w:pPr>
        <w:pStyle w:val="a8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-структурное </w:t>
      </w:r>
      <w:r w:rsidR="009F5155">
        <w:rPr>
          <w:bCs/>
          <w:sz w:val="24"/>
          <w:szCs w:val="24"/>
        </w:rPr>
        <w:t>подразделение муниципального общеобразовательного учреждения «Средняя общеобразовательная школа №3»</w:t>
      </w:r>
      <w:r w:rsidR="00E82480">
        <w:rPr>
          <w:bCs/>
          <w:sz w:val="24"/>
          <w:szCs w:val="24"/>
        </w:rPr>
        <w:t xml:space="preserve"> школа искусств «Камертон»;</w:t>
      </w:r>
    </w:p>
    <w:p w:rsidR="00E82480" w:rsidRDefault="00E82480" w:rsidP="00283E9A">
      <w:pPr>
        <w:pStyle w:val="a8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-муниципальное бюджетное общеобразовательное учреждение дополнительного образования детей «Детско-юношеская спортивная школа №1»;</w:t>
      </w:r>
    </w:p>
    <w:p w:rsidR="00E82480" w:rsidRDefault="00E82480" w:rsidP="00E82480">
      <w:pPr>
        <w:pStyle w:val="a8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-муниципальное бюджетное общеобразовательное учреждение дополнительного образования детей «Детско-юношеская спортивная школа №2»;</w:t>
      </w:r>
    </w:p>
    <w:p w:rsidR="00E82480" w:rsidRPr="00E82480" w:rsidRDefault="00E82480" w:rsidP="00E82480">
      <w:pPr>
        <w:pStyle w:val="a8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-муниципальное бюджетное общеобразовательное учреждение дополнительного обра</w:t>
      </w:r>
      <w:r w:rsidRPr="00E82480">
        <w:rPr>
          <w:bCs/>
          <w:sz w:val="24"/>
          <w:szCs w:val="24"/>
        </w:rPr>
        <w:t>зования детей «Детско-юношеская спортивная школа №3».</w:t>
      </w:r>
    </w:p>
    <w:p w:rsidR="00E82480" w:rsidRPr="00E82480" w:rsidRDefault="00E82480" w:rsidP="00E82480">
      <w:pPr>
        <w:pStyle w:val="a6"/>
        <w:ind w:firstLine="709"/>
        <w:jc w:val="both"/>
        <w:rPr>
          <w:sz w:val="24"/>
          <w:szCs w:val="24"/>
        </w:rPr>
      </w:pPr>
      <w:r w:rsidRPr="00E82480">
        <w:rPr>
          <w:sz w:val="24"/>
          <w:szCs w:val="24"/>
        </w:rPr>
        <w:t xml:space="preserve">Численность учащихся в детской школе искусств имени А.М.Кузьмина за 2013 год по сравнению с 2012 годом увеличилось на 17 человек и составила 583 учащихся. В 2013 году в первый класс принято 109 детей против 107 в 2012 году. </w:t>
      </w:r>
    </w:p>
    <w:p w:rsidR="00E82480" w:rsidRPr="00E82480" w:rsidRDefault="00E82480" w:rsidP="00E82480">
      <w:pPr>
        <w:pStyle w:val="a6"/>
        <w:ind w:firstLine="709"/>
        <w:jc w:val="both"/>
        <w:rPr>
          <w:sz w:val="24"/>
          <w:szCs w:val="24"/>
        </w:rPr>
      </w:pPr>
      <w:r w:rsidRPr="00E82480">
        <w:rPr>
          <w:sz w:val="24"/>
          <w:szCs w:val="24"/>
        </w:rPr>
        <w:t xml:space="preserve">Количество выпускников по сравнению с прошлым годом увеличилось на 1 человека и составило 45 выпускника против 44 в 2012 году. </w:t>
      </w:r>
    </w:p>
    <w:p w:rsidR="00E82480" w:rsidRPr="00E82480" w:rsidRDefault="00E82480" w:rsidP="00E8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E82480">
        <w:rPr>
          <w:rFonts w:ascii="Times New Roman" w:hAnsi="Times New Roman" w:cs="Times New Roman"/>
          <w:sz w:val="24"/>
          <w:szCs w:val="24"/>
        </w:rPr>
        <w:t xml:space="preserve">Численность учащихся в детской школе искусств №2 за 2013 год по сравнению с 2012 годом сократилась на 20 человек и составила 330 детей. </w:t>
      </w:r>
    </w:p>
    <w:p w:rsidR="00E82480" w:rsidRDefault="00E82480" w:rsidP="00E8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>За 2013 год организовано и проведено 68 концертно-выставочных мероприятий, учащиеся школы приняли участие в 31 конкурсах, выставках, фестивалях и олимпиадах, за год лауреатами и дипломантами стали</w:t>
      </w:r>
      <w:r w:rsidRPr="00E824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2480">
        <w:rPr>
          <w:rFonts w:ascii="Times New Roman" w:hAnsi="Times New Roman" w:cs="Times New Roman"/>
          <w:sz w:val="24"/>
          <w:szCs w:val="24"/>
        </w:rPr>
        <w:t>60 человека. В учреждении функционирует 17 творческих коллективов – это вокальные коллективы, хореографические, инструментальные ансамбли.</w:t>
      </w:r>
    </w:p>
    <w:p w:rsidR="00E82480" w:rsidRPr="00E82480" w:rsidRDefault="00E82480" w:rsidP="00E8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 xml:space="preserve">В муниципальном учреждении дополнительного образования детей «Детская художественная школа»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82480">
        <w:rPr>
          <w:rFonts w:ascii="Times New Roman" w:hAnsi="Times New Roman" w:cs="Times New Roman"/>
          <w:sz w:val="24"/>
          <w:szCs w:val="24"/>
        </w:rPr>
        <w:t>а 01.01.2014 обучается 400 человек и их численность по сравнению с 2012 годом не изменилась.</w:t>
      </w:r>
    </w:p>
    <w:p w:rsidR="00E82480" w:rsidRPr="00E82480" w:rsidRDefault="00E82480" w:rsidP="00E82480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>В первый класс принято 74</w:t>
      </w:r>
      <w:r w:rsidRPr="00E824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2480">
        <w:rPr>
          <w:rFonts w:ascii="Times New Roman" w:hAnsi="Times New Roman" w:cs="Times New Roman"/>
          <w:sz w:val="24"/>
          <w:szCs w:val="24"/>
        </w:rPr>
        <w:t>детей</w:t>
      </w:r>
      <w:r w:rsidRPr="00E824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2480">
        <w:rPr>
          <w:rFonts w:ascii="Times New Roman" w:hAnsi="Times New Roman" w:cs="Times New Roman"/>
          <w:sz w:val="24"/>
          <w:szCs w:val="24"/>
        </w:rPr>
        <w:t>(66 детей в 2012-2013 учебном году), количество выпускников составило 30 человек (в  2012-2013 учебном году 48 человек).</w:t>
      </w:r>
    </w:p>
    <w:p w:rsidR="00E82480" w:rsidRPr="00E82480" w:rsidRDefault="00E82480" w:rsidP="00E8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>В муниципальном бюджетном образовательном учреждении дополнительного образования детей «Детская художественная школа» действует 1</w:t>
      </w:r>
      <w:r w:rsidRPr="00E8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480">
        <w:rPr>
          <w:rFonts w:ascii="Times New Roman" w:hAnsi="Times New Roman" w:cs="Times New Roman"/>
          <w:sz w:val="24"/>
          <w:szCs w:val="24"/>
        </w:rPr>
        <w:t>выставочный зал. В течение года было проведено 78</w:t>
      </w:r>
      <w:r w:rsidRPr="00E8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480">
        <w:rPr>
          <w:rFonts w:ascii="Times New Roman" w:hAnsi="Times New Roman" w:cs="Times New Roman"/>
          <w:sz w:val="24"/>
          <w:szCs w:val="24"/>
        </w:rPr>
        <w:t>выставок.</w:t>
      </w:r>
    </w:p>
    <w:p w:rsidR="00E82480" w:rsidRPr="00E82480" w:rsidRDefault="00E82480" w:rsidP="00E8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82480">
        <w:rPr>
          <w:rFonts w:ascii="Times New Roman" w:hAnsi="Times New Roman" w:cs="Times New Roman"/>
          <w:sz w:val="24"/>
          <w:szCs w:val="24"/>
        </w:rPr>
        <w:t>В 2013 году проведено 268</w:t>
      </w:r>
      <w:r w:rsidRPr="00E824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2480">
        <w:rPr>
          <w:rFonts w:ascii="Times New Roman" w:hAnsi="Times New Roman" w:cs="Times New Roman"/>
          <w:sz w:val="24"/>
          <w:szCs w:val="24"/>
        </w:rPr>
        <w:t xml:space="preserve">экскурсии, число посетителей выставок в выставочном зале и музее «Северные звездочки» составило – 1 938 человек, (в 2012 году 64 и 2306 соответственно). Количество посетителей всех выставок составило 3 222 человека. </w:t>
      </w:r>
    </w:p>
    <w:p w:rsidR="00E82480" w:rsidRPr="00E82480" w:rsidRDefault="00E82480" w:rsidP="00E8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>В сравнении с 2012 годом численность учащихся в детской школе искусств  «Камертон» увеличилось на 186</w:t>
      </w:r>
      <w:r w:rsidRPr="00E824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2480">
        <w:rPr>
          <w:rFonts w:ascii="Times New Roman" w:hAnsi="Times New Roman" w:cs="Times New Roman"/>
          <w:sz w:val="24"/>
          <w:szCs w:val="24"/>
        </w:rPr>
        <w:t xml:space="preserve">человек и за 2013 год составила 606 человек. </w:t>
      </w:r>
    </w:p>
    <w:p w:rsidR="00E82480" w:rsidRPr="00E82480" w:rsidRDefault="00E82480" w:rsidP="00E8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>В первый класс в 2013 году принято 61 ребенок, что на 10 человека меньше, чем в 2012 году. В 2013 году число выпускников составило 32 человека.</w:t>
      </w:r>
    </w:p>
    <w:p w:rsidR="00E82480" w:rsidRPr="00E82480" w:rsidRDefault="00E82480" w:rsidP="00E82480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 xml:space="preserve">Общее число занимающихся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культурой и спортом в учреждениях дополнительного образования детей </w:t>
      </w:r>
      <w:r w:rsidRPr="00E82480">
        <w:rPr>
          <w:rFonts w:ascii="Times New Roman" w:hAnsi="Times New Roman" w:cs="Times New Roman"/>
          <w:sz w:val="24"/>
          <w:szCs w:val="24"/>
        </w:rPr>
        <w:t>в 2013 году увеличилось относительно тех же показателей 2011 и 2012 годов.</w:t>
      </w:r>
    </w:p>
    <w:p w:rsidR="00E82480" w:rsidRPr="00E82480" w:rsidRDefault="00E82480" w:rsidP="00E8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48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E82480">
        <w:rPr>
          <w:rFonts w:ascii="Times New Roman" w:hAnsi="Times New Roman" w:cs="Times New Roman"/>
          <w:sz w:val="24"/>
          <w:szCs w:val="24"/>
        </w:rPr>
        <w:t>Отчетный период показал, что, основные показатели увеличились, что свидетельствует о стабильности деятельности всех муниципальных спортивных, образовательных учреждений и планомерном росте объема оказания оздоровительных услуг:</w:t>
      </w:r>
    </w:p>
    <w:p w:rsidR="00E82480" w:rsidRPr="00E82480" w:rsidRDefault="00E82480" w:rsidP="00E8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>Количество занимающихся физической культурой и спортом в 2013 году составило 11 934 человека (21,26%) от общей численности населения, что на 3,48% больше, чем в 2012 году (9 871 человек).</w:t>
      </w:r>
    </w:p>
    <w:p w:rsidR="00E82480" w:rsidRPr="00E82480" w:rsidRDefault="00E82480" w:rsidP="00E8248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82480">
        <w:rPr>
          <w:rFonts w:ascii="Times New Roman" w:hAnsi="Times New Roman" w:cs="Times New Roman"/>
          <w:sz w:val="24"/>
          <w:szCs w:val="24"/>
        </w:rPr>
        <w:t>Количество женщин, систематически занимающихся физической культурой и спортом, в 2013 году увеличилось на 393 человека и составило 3 707 женщин                             (в 2012 году –3 314 человека, в 2011 году – 2 658 человек).</w:t>
      </w:r>
    </w:p>
    <w:p w:rsidR="00E82480" w:rsidRPr="00283E9A" w:rsidRDefault="00E82480" w:rsidP="00283E9A">
      <w:pPr>
        <w:pStyle w:val="a8"/>
        <w:ind w:firstLine="709"/>
        <w:rPr>
          <w:bCs/>
          <w:sz w:val="24"/>
          <w:szCs w:val="24"/>
        </w:rPr>
      </w:pPr>
    </w:p>
    <w:p w:rsidR="00853991" w:rsidRPr="00C54159" w:rsidRDefault="00853991" w:rsidP="00CE2B4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5540C" w:rsidRPr="00DB48AE" w:rsidRDefault="0025540C" w:rsidP="00283E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B48AE">
        <w:rPr>
          <w:rFonts w:ascii="Times New Roman" w:hAnsi="Times New Roman"/>
          <w:sz w:val="24"/>
          <w:szCs w:val="24"/>
        </w:rPr>
        <w:t>Показатели обеспеченности учреждениями культуры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238"/>
        <w:gridCol w:w="1096"/>
        <w:gridCol w:w="989"/>
        <w:gridCol w:w="989"/>
        <w:gridCol w:w="1250"/>
        <w:gridCol w:w="1160"/>
      </w:tblGrid>
      <w:tr w:rsidR="0025540C" w:rsidRPr="00735D2D" w:rsidTr="0025540C">
        <w:trPr>
          <w:trHeight w:val="187"/>
          <w:tblHeader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Социальные нормативы </w:t>
            </w:r>
          </w:p>
        </w:tc>
        <w:tc>
          <w:tcPr>
            <w:tcW w:w="5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Показатели обеспеченности </w:t>
            </w:r>
          </w:p>
        </w:tc>
      </w:tr>
      <w:tr w:rsidR="0025540C" w:rsidRPr="00735D2D" w:rsidTr="0025540C">
        <w:trPr>
          <w:trHeight w:val="366"/>
          <w:tblHeader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3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4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5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6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201</w:t>
            </w:r>
            <w:r w:rsidR="00735D2D">
              <w:rPr>
                <w:rFonts w:ascii="Times New Roman" w:hAnsi="Times New Roman"/>
                <w:sz w:val="24"/>
                <w:szCs w:val="24"/>
              </w:rPr>
              <w:t>7</w:t>
            </w:r>
            <w:r w:rsidRPr="00735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779A" w:rsidRPr="00735D2D" w:rsidTr="0025540C">
        <w:trPr>
          <w:trHeight w:val="339"/>
          <w:jc w:val="center"/>
        </w:trPr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A" w:rsidRPr="00735D2D" w:rsidRDefault="00F3779A" w:rsidP="0028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Численность населения на конец года, человек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A" w:rsidRPr="00F3779A" w:rsidRDefault="00F3779A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55 980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A" w:rsidRPr="00F3779A" w:rsidRDefault="00F3779A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56 657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A" w:rsidRPr="00F3779A" w:rsidRDefault="00F3779A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57 150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A" w:rsidRPr="00F3779A" w:rsidRDefault="00F3779A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58 343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9A" w:rsidRPr="00F3779A" w:rsidRDefault="00F3779A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59 587</w:t>
            </w:r>
          </w:p>
        </w:tc>
      </w:tr>
      <w:tr w:rsidR="0025540C" w:rsidRPr="00735D2D" w:rsidTr="0025540C">
        <w:trPr>
          <w:trHeight w:val="59"/>
          <w:jc w:val="center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Клубные учреждения</w:t>
            </w:r>
          </w:p>
        </w:tc>
      </w:tr>
      <w:tr w:rsidR="0025540C" w:rsidRPr="00735D2D" w:rsidTr="0025540C">
        <w:trPr>
          <w:trHeight w:val="33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необходимая мощность по нормативу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 xml:space="preserve">30 посадочных мест  на 1000 населения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>1 6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>1 700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283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A08BD" w:rsidRPr="009A08BD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</w:tr>
      <w:tr w:rsidR="0025540C" w:rsidRPr="00735D2D" w:rsidTr="0025540C">
        <w:trPr>
          <w:trHeight w:val="33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фактически располагаемые мощности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25540C" w:rsidRPr="009A0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25540C" w:rsidRPr="009A0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25540C" w:rsidRPr="009A0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A08BD">
              <w:rPr>
                <w:rFonts w:ascii="Times New Roman" w:hAnsi="Times New Roman"/>
                <w:sz w:val="24"/>
                <w:szCs w:val="24"/>
              </w:rPr>
              <w:t>2</w:t>
            </w:r>
            <w:r w:rsidRPr="009A0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25540C" w:rsidP="009A0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B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A08BD">
              <w:rPr>
                <w:rFonts w:ascii="Times New Roman" w:hAnsi="Times New Roman"/>
                <w:sz w:val="24"/>
                <w:szCs w:val="24"/>
              </w:rPr>
              <w:t>2</w:t>
            </w:r>
            <w:r w:rsidRPr="009A08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5540C" w:rsidRPr="00735D2D" w:rsidTr="0025540C">
        <w:trPr>
          <w:trHeight w:val="33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9A08B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9A08BD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</w:tr>
      <w:tr w:rsidR="0025540C" w:rsidRPr="00735D2D" w:rsidTr="0025540C">
        <w:trPr>
          <w:trHeight w:val="207"/>
          <w:jc w:val="center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Библиотечная система</w:t>
            </w:r>
          </w:p>
        </w:tc>
      </w:tr>
      <w:tr w:rsidR="0025540C" w:rsidRPr="00735D2D" w:rsidTr="0025540C">
        <w:trPr>
          <w:trHeight w:val="42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необходимая мощность по нормативу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 библиотеки на 10,0 тыс. населения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25540C" w:rsidRPr="00735D2D" w:rsidTr="0025540C">
        <w:trPr>
          <w:trHeight w:val="20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фактически располагаемые мощности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540C" w:rsidRPr="00735D2D" w:rsidTr="0025540C">
        <w:trPr>
          <w:trHeight w:val="33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45D66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66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45D66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66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45D66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66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45D66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66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245D66" w:rsidRDefault="00245D66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D66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</w:tr>
      <w:tr w:rsidR="0025540C" w:rsidRPr="00735D2D" w:rsidTr="0025540C">
        <w:trPr>
          <w:trHeight w:val="92"/>
          <w:jc w:val="center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Музеи</w:t>
            </w:r>
          </w:p>
        </w:tc>
      </w:tr>
      <w:tr w:rsidR="0025540C" w:rsidRPr="00735D2D" w:rsidTr="0025540C">
        <w:trPr>
          <w:trHeight w:val="45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необходимая мощность по нормативу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0,4 музея на 10 000 населения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540C" w:rsidRPr="00735D2D" w:rsidTr="0025540C">
        <w:trPr>
          <w:trHeight w:val="31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 фактически располагаемые мощности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540C" w:rsidRPr="00C54159" w:rsidTr="0025540C">
        <w:trPr>
          <w:trHeight w:val="339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735D2D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0C" w:rsidRPr="00F3779A" w:rsidRDefault="0025540C" w:rsidP="00255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79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:rsidR="0025540C" w:rsidRPr="00C54159" w:rsidRDefault="0025540C" w:rsidP="002554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5540C" w:rsidRPr="006F3F06" w:rsidRDefault="0025540C" w:rsidP="002554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F06">
        <w:rPr>
          <w:rFonts w:ascii="Times New Roman" w:hAnsi="Times New Roman"/>
          <w:sz w:val="24"/>
          <w:szCs w:val="24"/>
        </w:rPr>
        <w:t xml:space="preserve">Основными направлениями деятельности в области культуры в прогнозном периоде будут повышение качества и разнообразия услуг в сфере культуры, развитие непрерывного образования в сфере культуры. </w:t>
      </w:r>
    </w:p>
    <w:p w:rsidR="0025540C" w:rsidRDefault="0025540C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5513" w:rsidRDefault="00C55513" w:rsidP="002554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849" w:rsidRDefault="00F55849" w:rsidP="00F55849">
      <w:pPr>
        <w:rPr>
          <w:rFonts w:ascii="Times New Roman" w:hAnsi="Times New Roman" w:cs="Times New Roman"/>
          <w:b/>
          <w:sz w:val="24"/>
          <w:szCs w:val="24"/>
        </w:rPr>
      </w:pPr>
      <w:r w:rsidRPr="001377B0">
        <w:rPr>
          <w:rFonts w:ascii="Times New Roman" w:hAnsi="Times New Roman" w:cs="Times New Roman"/>
          <w:b/>
          <w:sz w:val="24"/>
          <w:szCs w:val="24"/>
        </w:rPr>
        <w:t>Туризм</w:t>
      </w:r>
    </w:p>
    <w:p w:rsidR="00CF1085" w:rsidRDefault="00CF1085" w:rsidP="00CF1085">
      <w:pPr>
        <w:pStyle w:val="Default"/>
        <w:ind w:firstLine="709"/>
        <w:jc w:val="both"/>
      </w:pPr>
      <w:r>
        <w:t>На территории городского округа город Мегион функционируют 3 частных туристических компании.</w:t>
      </w:r>
    </w:p>
    <w:p w:rsidR="00CF1085" w:rsidRDefault="00CF1085" w:rsidP="00CF1085">
      <w:pPr>
        <w:pStyle w:val="Default"/>
        <w:ind w:firstLine="709"/>
        <w:jc w:val="both"/>
      </w:pPr>
      <w:r>
        <w:t>Показатели по туризму за 2013 год имеют тенденцию к росту.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2013 году реализовано 777, что выше, чем в 2012 году на 191 пакет.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Из общего числа пакетов 774 (99,6%) приобретены гражданами для зарубежных поездок, 3 для поездок по стране.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Всего за год обслужено 1508 туристов, выехавших за пределы страны и 5 туристов внутри страны. 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Жители городского округа посетили более 24 стран дальнего зарубежья.</w:t>
      </w:r>
    </w:p>
    <w:p w:rsidR="00CF1085" w:rsidRDefault="00CF1085" w:rsidP="00CF1085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Средняя стоимость одной путёвки для поездок в иностранные государства составляет 88,4 тыс. рублей, для поездок внутри страны 33,3 тыс. рублей. 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 прогнозный период положительная динамика сохранится благодаря росту уровня денежных доходов населения и сложится в следующих пределах: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первому базовому варианту: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-за 2015 год 1540 человек, увеличение к предыдущему году 0,65%;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-за 2016 год 1560 человек и 1,3% соответственно;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-за 2017 год 1580 человек и 1,9% соответственно.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  <w:sz w:val="4"/>
          <w:szCs w:val="4"/>
        </w:rPr>
      </w:pP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второму умеренно оптимистичному варианту: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-за 2015 год 1570 человек, увеличение к предыдущему году 3,2%;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-за 2016 год 1620 человек и 1,3% соответственно;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-за 2017 год 1680 человек и 3,7% соответственно.</w:t>
      </w:r>
    </w:p>
    <w:p w:rsidR="00CF1085" w:rsidRDefault="00CF1085" w:rsidP="00CF1085">
      <w:pPr>
        <w:pStyle w:val="Default"/>
        <w:ind w:firstLine="709"/>
        <w:jc w:val="both"/>
        <w:rPr>
          <w:color w:val="000000" w:themeColor="text1"/>
        </w:rPr>
      </w:pPr>
    </w:p>
    <w:p w:rsidR="00CF1085" w:rsidRDefault="00CF1085" w:rsidP="00CF10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Внутреннее направление в сфере туризма реализуется через муниципальное автономное учреждение «Региональный историко-культурный и экологический центр».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2013 год специалистами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3 туристических сплава на катамаранах: 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-десятидневный водный сплав протяженностью 152 км;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-трёхдневный на 52 км по Ватинскому Ёгану;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-двухдневный по маршруту «Обь – протока Мега».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развитие проекта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«Туристскими тропами Югры». 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туристического комплекса «Югра» организовывались туристские мероприятия: верёвочный парк, обучение управлению катамараном, туристский маршрут «Тропа приключений». 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Проведён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туристический слет «Тайга зовет».  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 2013 года  данные мероприятия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посетило 768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человек. 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первый год в детских садах и школах успешно идет  работа по абонементу «Знакомьтесь: ханты»,  дети с интересом знакомятся с жизнью народа ханты по тематике: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-«Традиционные жилые и хозяйственные постройки»;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-«У какого карася 7 рёбер»;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-«Стойбищная детская игрушка».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оценочном 2014 году и в последующих прогнозируемых годах задачи по разработке новых туристических маршрутов, особенно водного туризма, по организации обменных выставок и других видов туризма сохранятся и будут реализованы, что поспособствует более динамичному развитию оказания туристических услуг населению.</w:t>
      </w:r>
    </w:p>
    <w:p w:rsidR="00CF1085" w:rsidRDefault="00CF1085" w:rsidP="00CF1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085" w:rsidRPr="001377B0" w:rsidRDefault="00CF1085" w:rsidP="00F55849">
      <w:pPr>
        <w:rPr>
          <w:rFonts w:ascii="Times New Roman" w:hAnsi="Times New Roman" w:cs="Times New Roman"/>
          <w:b/>
          <w:sz w:val="24"/>
          <w:szCs w:val="24"/>
        </w:rPr>
      </w:pPr>
    </w:p>
    <w:sectPr w:rsidR="00CF1085" w:rsidRPr="001377B0" w:rsidSect="000E24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B7"/>
    <w:rsid w:val="00007EA8"/>
    <w:rsid w:val="00011BA3"/>
    <w:rsid w:val="00017B60"/>
    <w:rsid w:val="0002615A"/>
    <w:rsid w:val="00077163"/>
    <w:rsid w:val="00081B57"/>
    <w:rsid w:val="000A010B"/>
    <w:rsid w:val="000A2D57"/>
    <w:rsid w:val="000A452F"/>
    <w:rsid w:val="000C7DD3"/>
    <w:rsid w:val="000D7B8B"/>
    <w:rsid w:val="000E2402"/>
    <w:rsid w:val="000F120B"/>
    <w:rsid w:val="00104401"/>
    <w:rsid w:val="001377B0"/>
    <w:rsid w:val="00157201"/>
    <w:rsid w:val="00166CDB"/>
    <w:rsid w:val="00170074"/>
    <w:rsid w:val="001714AA"/>
    <w:rsid w:val="001E1E21"/>
    <w:rsid w:val="0023265C"/>
    <w:rsid w:val="00245D66"/>
    <w:rsid w:val="0025540C"/>
    <w:rsid w:val="002741B7"/>
    <w:rsid w:val="00283E9A"/>
    <w:rsid w:val="00295DF4"/>
    <w:rsid w:val="002A507A"/>
    <w:rsid w:val="002A6488"/>
    <w:rsid w:val="002D2BDD"/>
    <w:rsid w:val="002F59EA"/>
    <w:rsid w:val="00317437"/>
    <w:rsid w:val="00331DEC"/>
    <w:rsid w:val="0033412F"/>
    <w:rsid w:val="00345C86"/>
    <w:rsid w:val="00357719"/>
    <w:rsid w:val="003826D2"/>
    <w:rsid w:val="00386EB1"/>
    <w:rsid w:val="00391647"/>
    <w:rsid w:val="003A585B"/>
    <w:rsid w:val="003D28D7"/>
    <w:rsid w:val="003F7BDC"/>
    <w:rsid w:val="00414629"/>
    <w:rsid w:val="0042697E"/>
    <w:rsid w:val="0042775F"/>
    <w:rsid w:val="00431D4F"/>
    <w:rsid w:val="00444403"/>
    <w:rsid w:val="00447F8B"/>
    <w:rsid w:val="00464254"/>
    <w:rsid w:val="004952E4"/>
    <w:rsid w:val="004B57EC"/>
    <w:rsid w:val="004B674D"/>
    <w:rsid w:val="004C3F29"/>
    <w:rsid w:val="004D4249"/>
    <w:rsid w:val="004E214A"/>
    <w:rsid w:val="004E7B73"/>
    <w:rsid w:val="004E7F41"/>
    <w:rsid w:val="00503910"/>
    <w:rsid w:val="005211D3"/>
    <w:rsid w:val="00543EED"/>
    <w:rsid w:val="00547805"/>
    <w:rsid w:val="00550E01"/>
    <w:rsid w:val="0056485D"/>
    <w:rsid w:val="005709AD"/>
    <w:rsid w:val="005729F0"/>
    <w:rsid w:val="005A03E5"/>
    <w:rsid w:val="005A3301"/>
    <w:rsid w:val="005A46C9"/>
    <w:rsid w:val="005A5FFA"/>
    <w:rsid w:val="005D7361"/>
    <w:rsid w:val="005F0E42"/>
    <w:rsid w:val="006076EA"/>
    <w:rsid w:val="00621C64"/>
    <w:rsid w:val="00654303"/>
    <w:rsid w:val="00667BCF"/>
    <w:rsid w:val="006A1E46"/>
    <w:rsid w:val="006A68F2"/>
    <w:rsid w:val="006C490A"/>
    <w:rsid w:val="006F58D2"/>
    <w:rsid w:val="007050D5"/>
    <w:rsid w:val="007210A3"/>
    <w:rsid w:val="00735D2D"/>
    <w:rsid w:val="007550B0"/>
    <w:rsid w:val="00776C2B"/>
    <w:rsid w:val="0079523B"/>
    <w:rsid w:val="007D26BE"/>
    <w:rsid w:val="00800B86"/>
    <w:rsid w:val="0080274A"/>
    <w:rsid w:val="00820C48"/>
    <w:rsid w:val="0082548D"/>
    <w:rsid w:val="00826A27"/>
    <w:rsid w:val="00853991"/>
    <w:rsid w:val="00861A6A"/>
    <w:rsid w:val="00863125"/>
    <w:rsid w:val="00895A16"/>
    <w:rsid w:val="008A6606"/>
    <w:rsid w:val="008A703F"/>
    <w:rsid w:val="008A7B46"/>
    <w:rsid w:val="008B445C"/>
    <w:rsid w:val="008B4817"/>
    <w:rsid w:val="008C76D3"/>
    <w:rsid w:val="008D0711"/>
    <w:rsid w:val="008D4C0A"/>
    <w:rsid w:val="008E3FCB"/>
    <w:rsid w:val="00936590"/>
    <w:rsid w:val="00940873"/>
    <w:rsid w:val="0095761B"/>
    <w:rsid w:val="00960E94"/>
    <w:rsid w:val="0097483B"/>
    <w:rsid w:val="009A08BD"/>
    <w:rsid w:val="009B0568"/>
    <w:rsid w:val="009D2E3C"/>
    <w:rsid w:val="009F5155"/>
    <w:rsid w:val="009F768A"/>
    <w:rsid w:val="00A02383"/>
    <w:rsid w:val="00A104DB"/>
    <w:rsid w:val="00A22F09"/>
    <w:rsid w:val="00A35CBD"/>
    <w:rsid w:val="00A41DE6"/>
    <w:rsid w:val="00A44A96"/>
    <w:rsid w:val="00A53D01"/>
    <w:rsid w:val="00A56A33"/>
    <w:rsid w:val="00A77771"/>
    <w:rsid w:val="00A87D62"/>
    <w:rsid w:val="00A90779"/>
    <w:rsid w:val="00AA07A1"/>
    <w:rsid w:val="00AA0F8F"/>
    <w:rsid w:val="00AA634E"/>
    <w:rsid w:val="00AB0800"/>
    <w:rsid w:val="00AC17F2"/>
    <w:rsid w:val="00B1391C"/>
    <w:rsid w:val="00B61B31"/>
    <w:rsid w:val="00B92785"/>
    <w:rsid w:val="00BC2DD3"/>
    <w:rsid w:val="00BE789A"/>
    <w:rsid w:val="00BF2415"/>
    <w:rsid w:val="00C22A3B"/>
    <w:rsid w:val="00C431CC"/>
    <w:rsid w:val="00C52E13"/>
    <w:rsid w:val="00C55513"/>
    <w:rsid w:val="00C5780B"/>
    <w:rsid w:val="00C72D29"/>
    <w:rsid w:val="00C9235E"/>
    <w:rsid w:val="00CE2B4B"/>
    <w:rsid w:val="00CE39FC"/>
    <w:rsid w:val="00CE5590"/>
    <w:rsid w:val="00CE58F6"/>
    <w:rsid w:val="00CF1085"/>
    <w:rsid w:val="00CF5058"/>
    <w:rsid w:val="00D263E7"/>
    <w:rsid w:val="00D27CC8"/>
    <w:rsid w:val="00D63B43"/>
    <w:rsid w:val="00D81E32"/>
    <w:rsid w:val="00D84857"/>
    <w:rsid w:val="00DA3221"/>
    <w:rsid w:val="00DA6135"/>
    <w:rsid w:val="00DB3E29"/>
    <w:rsid w:val="00DB5B5B"/>
    <w:rsid w:val="00DC68E6"/>
    <w:rsid w:val="00DE76CD"/>
    <w:rsid w:val="00DF0DBA"/>
    <w:rsid w:val="00DF7329"/>
    <w:rsid w:val="00E02E03"/>
    <w:rsid w:val="00E40DFD"/>
    <w:rsid w:val="00E82480"/>
    <w:rsid w:val="00E85A71"/>
    <w:rsid w:val="00EB142F"/>
    <w:rsid w:val="00ED7DF3"/>
    <w:rsid w:val="00EE2AA4"/>
    <w:rsid w:val="00F111B9"/>
    <w:rsid w:val="00F15A62"/>
    <w:rsid w:val="00F30E84"/>
    <w:rsid w:val="00F3779A"/>
    <w:rsid w:val="00F44919"/>
    <w:rsid w:val="00F55849"/>
    <w:rsid w:val="00F9460C"/>
    <w:rsid w:val="00FC4211"/>
    <w:rsid w:val="00FD0A41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2FC2E3-88A8-463A-8886-A896C9BB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139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Title"/>
    <w:basedOn w:val="a"/>
    <w:link w:val="a5"/>
    <w:qFormat/>
    <w:rsid w:val="008A7B46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A7B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77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A56A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56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A56A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56A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56A3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A56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56A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A56A3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A3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27CC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7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27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D27CC8"/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ConsPlusCell">
    <w:name w:val="ConsPlusCell"/>
    <w:link w:val="ConsPlusCell0"/>
    <w:rsid w:val="00D27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27CC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D27C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27CC8"/>
  </w:style>
  <w:style w:type="paragraph" w:styleId="af">
    <w:name w:val="Normal (Web)"/>
    <w:basedOn w:val="a"/>
    <w:uiPriority w:val="99"/>
    <w:rsid w:val="00F3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4B57E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Continue"/>
    <w:basedOn w:val="a"/>
    <w:uiPriority w:val="99"/>
    <w:rsid w:val="00C5780B"/>
    <w:pPr>
      <w:widowControl w:val="0"/>
      <w:autoSpaceDE w:val="0"/>
      <w:autoSpaceDN w:val="0"/>
      <w:adjustRightInd w:val="0"/>
      <w:spacing w:after="120" w:line="319" w:lineRule="auto"/>
      <w:ind w:left="283" w:firstLine="72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1">
    <w:name w:val="Strong"/>
    <w:basedOn w:val="a0"/>
    <w:uiPriority w:val="22"/>
    <w:qFormat/>
    <w:rsid w:val="00C5780B"/>
    <w:rPr>
      <w:b/>
    </w:rPr>
  </w:style>
  <w:style w:type="paragraph" w:customStyle="1" w:styleId="af2">
    <w:name w:val="параграф"/>
    <w:basedOn w:val="a"/>
    <w:qFormat/>
    <w:rsid w:val="006A68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style-span">
    <w:name w:val="apple-style-span"/>
    <w:rsid w:val="00431D4F"/>
    <w:rPr>
      <w:rFonts w:ascii="Times New Roman" w:hAnsi="Times New Roman" w:cs="Times New Roman" w:hint="default"/>
    </w:rPr>
  </w:style>
  <w:style w:type="paragraph" w:customStyle="1" w:styleId="Default">
    <w:name w:val="Default"/>
    <w:rsid w:val="00F55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с отступом 3 Знак"/>
    <w:aliases w:val="Знак4 Знак"/>
    <w:basedOn w:val="a0"/>
    <w:link w:val="30"/>
    <w:locked/>
    <w:rsid w:val="00853991"/>
    <w:rPr>
      <w:sz w:val="16"/>
      <w:szCs w:val="16"/>
    </w:rPr>
  </w:style>
  <w:style w:type="paragraph" w:styleId="30">
    <w:name w:val="Body Text Indent 3"/>
    <w:aliases w:val="Знак4"/>
    <w:basedOn w:val="a"/>
    <w:link w:val="3"/>
    <w:unhideWhenUsed/>
    <w:rsid w:val="00853991"/>
    <w:pPr>
      <w:spacing w:after="120" w:line="240" w:lineRule="auto"/>
      <w:ind w:left="283"/>
      <w:jc w:val="both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8539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531">
      <w:bodyDiv w:val="1"/>
      <w:marLeft w:val="150"/>
      <w:marRight w:val="150"/>
      <w:marTop w:val="2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704">
          <w:marLeft w:val="30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605">
      <w:bodyDiv w:val="1"/>
      <w:marLeft w:val="150"/>
      <w:marRight w:val="150"/>
      <w:marTop w:val="2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227">
          <w:marLeft w:val="30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6ED7-9F33-4F05-8850-D5B12F33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17715</Words>
  <Characters>100976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Нина Викторовна</dc:creator>
  <cp:keywords/>
  <dc:description/>
  <cp:lastModifiedBy>Еградова Анастасия Александровна</cp:lastModifiedBy>
  <cp:revision>2</cp:revision>
  <cp:lastPrinted>2014-06-27T10:59:00Z</cp:lastPrinted>
  <dcterms:created xsi:type="dcterms:W3CDTF">2017-11-24T11:00:00Z</dcterms:created>
  <dcterms:modified xsi:type="dcterms:W3CDTF">2017-11-24T11:00:00Z</dcterms:modified>
</cp:coreProperties>
</file>