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B22" w:rsidRDefault="00044B22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044B22" w:rsidRDefault="00044B22">
      <w:pPr>
        <w:pStyle w:val="ConsPlusNormal"/>
        <w:outlineLvl w:val="0"/>
      </w:pPr>
    </w:p>
    <w:p w:rsidR="00044B22" w:rsidRDefault="00044B22">
      <w:pPr>
        <w:pStyle w:val="ConsPlusTitle"/>
        <w:jc w:val="center"/>
        <w:outlineLvl w:val="0"/>
      </w:pPr>
      <w:r>
        <w:t>ДУМА ГОРОДА МЕГИОНА</w:t>
      </w:r>
    </w:p>
    <w:p w:rsidR="00044B22" w:rsidRDefault="00044B22">
      <w:pPr>
        <w:pStyle w:val="ConsPlusTitle"/>
        <w:jc w:val="center"/>
      </w:pPr>
    </w:p>
    <w:p w:rsidR="00044B22" w:rsidRDefault="00044B22">
      <w:pPr>
        <w:pStyle w:val="ConsPlusTitle"/>
        <w:jc w:val="center"/>
      </w:pPr>
      <w:r>
        <w:t>РЕШЕНИЕ</w:t>
      </w:r>
    </w:p>
    <w:p w:rsidR="00044B22" w:rsidRDefault="00044B22">
      <w:pPr>
        <w:pStyle w:val="ConsPlusTitle"/>
        <w:jc w:val="center"/>
      </w:pPr>
      <w:r>
        <w:t>от 15 декабря 2023 г. N 347</w:t>
      </w:r>
      <w:bookmarkStart w:id="0" w:name="_GoBack"/>
      <w:bookmarkEnd w:id="0"/>
    </w:p>
    <w:p w:rsidR="00044B22" w:rsidRDefault="00044B22">
      <w:pPr>
        <w:pStyle w:val="ConsPlusTitle"/>
        <w:jc w:val="center"/>
      </w:pPr>
    </w:p>
    <w:p w:rsidR="00044B22" w:rsidRDefault="00044B22">
      <w:pPr>
        <w:pStyle w:val="ConsPlusTitle"/>
        <w:jc w:val="center"/>
      </w:pPr>
      <w:r>
        <w:t>О БЮДЖЕТЕ ГОРОДСКОГО ОКРУГА МЕГИОН ХАНТЫ-МАНСИЙСКОГО</w:t>
      </w:r>
    </w:p>
    <w:p w:rsidR="00044B22" w:rsidRDefault="00044B22">
      <w:pPr>
        <w:pStyle w:val="ConsPlusTitle"/>
        <w:jc w:val="center"/>
      </w:pPr>
      <w:r>
        <w:t>АВТОНОМНОГО ОКРУГА - ЮГРЫ НА 2024 ГОД И ПЛАНОВЫЙ ПЕРИОД 2025</w:t>
      </w:r>
    </w:p>
    <w:p w:rsidR="00044B22" w:rsidRDefault="00044B22">
      <w:pPr>
        <w:pStyle w:val="ConsPlusTitle"/>
        <w:jc w:val="center"/>
      </w:pPr>
      <w:r>
        <w:t>И 2026 ГОДОВ</w:t>
      </w:r>
    </w:p>
    <w:p w:rsidR="00044B22" w:rsidRDefault="00044B2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044B22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44B22" w:rsidRDefault="00044B2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44B22" w:rsidRDefault="00044B2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44B22" w:rsidRDefault="00044B2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44B22" w:rsidRDefault="00044B2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решений Думы города Мегиона от 26.04.2024 </w:t>
            </w:r>
            <w:hyperlink r:id="rId5">
              <w:r>
                <w:rPr>
                  <w:color w:val="0000FF"/>
                </w:rPr>
                <w:t>N 380</w:t>
              </w:r>
            </w:hyperlink>
            <w:r>
              <w:rPr>
                <w:color w:val="392C69"/>
              </w:rPr>
              <w:t>,</w:t>
            </w:r>
          </w:p>
          <w:p w:rsidR="00044B22" w:rsidRDefault="00044B22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19.07.2024 </w:t>
            </w:r>
            <w:hyperlink r:id="rId6">
              <w:r>
                <w:rPr>
                  <w:color w:val="0000FF"/>
                </w:rPr>
                <w:t>N 393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44B22" w:rsidRDefault="00044B22">
            <w:pPr>
              <w:pStyle w:val="ConsPlusNormal"/>
            </w:pPr>
          </w:p>
        </w:tc>
      </w:tr>
    </w:tbl>
    <w:p w:rsidR="00044B22" w:rsidRDefault="00044B22">
      <w:pPr>
        <w:pStyle w:val="ConsPlusNormal"/>
        <w:jc w:val="right"/>
      </w:pPr>
    </w:p>
    <w:p w:rsidR="00044B22" w:rsidRDefault="00044B22">
      <w:pPr>
        <w:pStyle w:val="ConsPlusNormal"/>
        <w:ind w:firstLine="540"/>
        <w:jc w:val="both"/>
      </w:pPr>
      <w:r>
        <w:t xml:space="preserve">Рассмотрев проект решения Думы города Мегиона "О бюджете городского округа Мегион Ханты-Мансийского автономного округа - Югры на 2024 год и плановый период 2025 и 2026 годов", в соответствии с Бюджетным </w:t>
      </w:r>
      <w:hyperlink r:id="rId7">
        <w:r>
          <w:rPr>
            <w:color w:val="0000FF"/>
          </w:rPr>
          <w:t>кодексом</w:t>
        </w:r>
      </w:hyperlink>
      <w:r>
        <w:t xml:space="preserve"> Российской Федерации, руководствуясь </w:t>
      </w:r>
      <w:hyperlink r:id="rId8">
        <w:r>
          <w:rPr>
            <w:color w:val="0000FF"/>
          </w:rPr>
          <w:t>статьями 19</w:t>
        </w:r>
      </w:hyperlink>
      <w:r>
        <w:t xml:space="preserve">, </w:t>
      </w:r>
      <w:hyperlink r:id="rId9">
        <w:r>
          <w:rPr>
            <w:color w:val="0000FF"/>
          </w:rPr>
          <w:t>49</w:t>
        </w:r>
      </w:hyperlink>
      <w:r>
        <w:t xml:space="preserve">, </w:t>
      </w:r>
      <w:hyperlink r:id="rId10">
        <w:r>
          <w:rPr>
            <w:color w:val="0000FF"/>
          </w:rPr>
          <w:t>52</w:t>
        </w:r>
      </w:hyperlink>
      <w:r>
        <w:t xml:space="preserve"> Устава города Мегиона, Дума города Мегиона решила: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1. Утвердить основные характеристики бюджета городского округа Мегион Ханты-Мансийского автономного округа - Югры (далее также - городской округ) на 2024 год: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 xml:space="preserve">1) прогнозируемый общий </w:t>
      </w:r>
      <w:hyperlink w:anchor="P139">
        <w:r>
          <w:rPr>
            <w:color w:val="0000FF"/>
          </w:rPr>
          <w:t>объем</w:t>
        </w:r>
      </w:hyperlink>
      <w:r>
        <w:t xml:space="preserve"> доходов бюджета городского округа в сумме 6 073 014,4 тыс. рублей согласно приложению 1 к настоящему решению;</w:t>
      </w:r>
    </w:p>
    <w:p w:rsidR="00044B22" w:rsidRDefault="00044B22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11">
        <w:r>
          <w:rPr>
            <w:color w:val="0000FF"/>
          </w:rPr>
          <w:t>решения</w:t>
        </w:r>
      </w:hyperlink>
      <w:r>
        <w:t xml:space="preserve"> Думы города Мегиона от 19.07.2024 N 393)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2) общий объем расходов бюджета городского округа в сумме 6 338 777,7 тыс. рублей;</w:t>
      </w:r>
    </w:p>
    <w:p w:rsidR="00044B22" w:rsidRDefault="00044B22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 в ред. </w:t>
      </w:r>
      <w:hyperlink r:id="rId12">
        <w:r>
          <w:rPr>
            <w:color w:val="0000FF"/>
          </w:rPr>
          <w:t>решения</w:t>
        </w:r>
      </w:hyperlink>
      <w:r>
        <w:t xml:space="preserve"> Думы города Мегиона от 19.07.2024 N 393)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3) дефицит бюджета городского округа в сумме 265 763,3 тыс. рублей;</w:t>
      </w:r>
    </w:p>
    <w:p w:rsidR="00044B22" w:rsidRDefault="00044B22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3 в ред. </w:t>
      </w:r>
      <w:hyperlink r:id="rId13">
        <w:r>
          <w:rPr>
            <w:color w:val="0000FF"/>
          </w:rPr>
          <w:t>решения</w:t>
        </w:r>
      </w:hyperlink>
      <w:r>
        <w:t xml:space="preserve"> Думы города Мегиона от 19.07.2024 N 393)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4) верхний предел муниципального внутреннего долга городского округа на 1 января 2025 года в сумме 503 100,2 тыс. рублей, в том числе, верхний предел долга по муниципальным гарантиям городского округа в сумме 0,00 тыс. рублей;</w:t>
      </w:r>
    </w:p>
    <w:p w:rsidR="00044B22" w:rsidRDefault="00044B22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4 в ред. </w:t>
      </w:r>
      <w:hyperlink r:id="rId14">
        <w:r>
          <w:rPr>
            <w:color w:val="0000FF"/>
          </w:rPr>
          <w:t>решения</w:t>
        </w:r>
      </w:hyperlink>
      <w:r>
        <w:t xml:space="preserve"> Думы города Мегиона от 26.04.2024 N 380)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5) объем расходов на обслуживание муниципального внутреннего долга городского округа в сумме 900,0 тыс. рублей.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2. Утвердить основные характеристики бюджета городского округа на плановый период 2025 и 2026 годов: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 xml:space="preserve">1) прогнозируемый общий объем </w:t>
      </w:r>
      <w:hyperlink w:anchor="P605">
        <w:r>
          <w:rPr>
            <w:color w:val="0000FF"/>
          </w:rPr>
          <w:t>доходов</w:t>
        </w:r>
      </w:hyperlink>
      <w:r>
        <w:t xml:space="preserve"> бюджета городского округа на 2025 год в сумме 5 247 989,0 тыс. рублей и на 2026 год в сумме 5 148 936,4 тыс. рублей согласно приложению 2 к настоящему решению;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2) общий объем расходов бюджета городского округа на 2025 год в сумме 5 413 130,7 тыс. рублей и на 2026 год в сумме 5 317 736,2 тыс. рублей, в том числе, условно утвержденные расходы на 2025 год в сумме 60 856,0 тыс. рублей и на 2026 год в сумме 129 143,0 тыс. рублей;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lastRenderedPageBreak/>
        <w:t>3) дефицит бюджета городского округа на 2025 год в сумме 165 141,7 тыс. рублей и на 2026 год в сумме 168 799,8 тыс. рублей;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4) верхний предел муниципального внутреннего долга городского округа на 1 января 2026 года в сумме 668 241,9 тыс. рублей и на 1 января 2027 года в сумме 837 041,7 тыс. рублей, в том числе, предельный объем обязательств по муниципальным гарантиям городского округа на 1 января 2026 года в сумме 0,0 тыс. рублей и на 1 января 2027 года в сумме 0,0 тыс. рублей;</w:t>
      </w:r>
    </w:p>
    <w:p w:rsidR="00044B22" w:rsidRDefault="00044B22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4 в ред. </w:t>
      </w:r>
      <w:hyperlink r:id="rId15">
        <w:r>
          <w:rPr>
            <w:color w:val="0000FF"/>
          </w:rPr>
          <w:t>решения</w:t>
        </w:r>
      </w:hyperlink>
      <w:r>
        <w:t xml:space="preserve"> Думы города Мегиона от 26.04.2024 N 380)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5) объем расходов на обслуживание муниципального внутреннего долга городского округа на 2025 год в сумме 700,0 тыс. рублей и на 2026 год в сумме 900,0 тыс. рублей.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 xml:space="preserve">3. В соответствии с </w:t>
      </w:r>
      <w:hyperlink r:id="rId16">
        <w:r>
          <w:rPr>
            <w:color w:val="0000FF"/>
          </w:rPr>
          <w:t>пунктом 2 статьи 184.1</w:t>
        </w:r>
      </w:hyperlink>
      <w:r>
        <w:t xml:space="preserve"> Бюджетного кодекса Российской Федерации и </w:t>
      </w:r>
      <w:hyperlink r:id="rId17">
        <w:r>
          <w:rPr>
            <w:color w:val="0000FF"/>
          </w:rPr>
          <w:t>пунктом 1 статьи 2</w:t>
        </w:r>
      </w:hyperlink>
      <w:r>
        <w:t xml:space="preserve"> Закона Ханты-Мансийского автономного округа - Югры "О бюджете Ханты-Мансийского автономного округа - Югры на 2024 год и на плановый период 2025 и 2026 годов" руководствоваться </w:t>
      </w:r>
      <w:hyperlink r:id="rId18">
        <w:r>
          <w:rPr>
            <w:color w:val="0000FF"/>
          </w:rPr>
          <w:t>нормативами</w:t>
        </w:r>
      </w:hyperlink>
      <w:r>
        <w:t xml:space="preserve"> распределения доходов между бюджетом Ханты-Мансийского автономного округа - Югры, бюджетом территориального фонда обязательного медицинского страхования Ханты-Мансийского автономного округа - Югры и бюджетами муниципальных образований Ханты-Мансийского автономного округа - Югры на 2024 год и на плановый период 2025 и 2026 годов согласно приложению 3 к вышеуказанному Закону.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 xml:space="preserve">4. В соответствии с </w:t>
      </w:r>
      <w:hyperlink r:id="rId19">
        <w:r>
          <w:rPr>
            <w:color w:val="0000FF"/>
          </w:rPr>
          <w:t>пунктом 2 статьи 2</w:t>
        </w:r>
      </w:hyperlink>
      <w:r>
        <w:t xml:space="preserve"> Закона Ханты-Мансийского автономного округа - Югры "О бюджете Ханты-Мансийского автономного округа - Югры на 2024 год и на плановый период 2025 и 2026 годов" руководствоваться дифференцированными нормативами отчислений в бюджет городского округа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>
        <w:t>инжекторных</w:t>
      </w:r>
      <w:proofErr w:type="spellEnd"/>
      <w:r>
        <w:t xml:space="preserve">) двигателей, производимых на территории Российской Федерации на 2024 год и на плановый период 2025 и 2026 годов согласно </w:t>
      </w:r>
      <w:hyperlink r:id="rId20">
        <w:r>
          <w:rPr>
            <w:color w:val="0000FF"/>
          </w:rPr>
          <w:t>приложениям 4</w:t>
        </w:r>
      </w:hyperlink>
      <w:r>
        <w:t xml:space="preserve"> и </w:t>
      </w:r>
      <w:hyperlink r:id="rId21">
        <w:r>
          <w:rPr>
            <w:color w:val="0000FF"/>
          </w:rPr>
          <w:t>5</w:t>
        </w:r>
      </w:hyperlink>
      <w:r>
        <w:t xml:space="preserve"> к вышеуказанному Закону.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5. Установить, что органом, уполномоченным на обеспечение обмена информацией по лицевым счетам между Управлением Федерального казначейства по Ханты-Мансийскому автономному округу - Югре и главными администраторами доходов бюджета городского округа, является департамент финансов администрации города Мегиона.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6. Открытие и ведение лицевых счетов муниципальных учреждений, предприятий, созданных на базе имущества, находящегося в муниципальной собственности городского округа, а также автономных некоммерческих организаций, осуществляется в департаменте финансов администрации города Мегиона в установленном им порядке.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7. Утвердить 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расходов бюджета городского округа Мегион Ханты-Мансийского автономного округа - Югры: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 xml:space="preserve">1) на 2024 год согласно </w:t>
      </w:r>
      <w:hyperlink w:anchor="P1135">
        <w:r>
          <w:rPr>
            <w:color w:val="0000FF"/>
          </w:rPr>
          <w:t>приложению 3</w:t>
        </w:r>
      </w:hyperlink>
      <w:r>
        <w:t xml:space="preserve"> к настоящему решению;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 xml:space="preserve">2) на плановый период 2025 и 2026 годов согласно </w:t>
      </w:r>
      <w:hyperlink w:anchor="P7439">
        <w:r>
          <w:rPr>
            <w:color w:val="0000FF"/>
          </w:rPr>
          <w:t>приложению 4</w:t>
        </w:r>
      </w:hyperlink>
      <w:r>
        <w:t xml:space="preserve"> к настоящему решению.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lastRenderedPageBreak/>
        <w:t>8. Утвердить распределение бюджетных ассигнований по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расходов бюджета городского округа Мегион Ханты-Мансийского автономного округа - Югры: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 xml:space="preserve">1) на 2024 год согласно </w:t>
      </w:r>
      <w:hyperlink w:anchor="P10440">
        <w:r>
          <w:rPr>
            <w:color w:val="0000FF"/>
          </w:rPr>
          <w:t>приложению 5</w:t>
        </w:r>
      </w:hyperlink>
      <w:r>
        <w:t xml:space="preserve"> к настоящему решению;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 xml:space="preserve">2) на плановый период 2025 и 2026 годов согласно </w:t>
      </w:r>
      <w:hyperlink w:anchor="P15350">
        <w:r>
          <w:rPr>
            <w:color w:val="0000FF"/>
          </w:rPr>
          <w:t>приложению 6</w:t>
        </w:r>
      </w:hyperlink>
      <w:r>
        <w:t xml:space="preserve"> к настоящему решению.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9. Утвердить распределение бюджетных ассигнований по разделам, подразделам классификации расходов бюджета городского округа Мегион Ханты-Мансийского автономного округа - Югры: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 xml:space="preserve">1) на 2024 год согласно </w:t>
      </w:r>
      <w:hyperlink w:anchor="P19249">
        <w:r>
          <w:rPr>
            <w:color w:val="0000FF"/>
          </w:rPr>
          <w:t>приложению 7</w:t>
        </w:r>
      </w:hyperlink>
      <w:r>
        <w:t xml:space="preserve"> к настоящему решению;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 xml:space="preserve">2) на плановый период 2025 и 2026 годов согласно </w:t>
      </w:r>
      <w:hyperlink w:anchor="P19490">
        <w:r>
          <w:rPr>
            <w:color w:val="0000FF"/>
          </w:rPr>
          <w:t>приложению 8</w:t>
        </w:r>
      </w:hyperlink>
      <w:r>
        <w:t xml:space="preserve"> к настоящему решению.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10. Утвердить ведомственную структуру расходов бюджета городского округа Мегион Ханты-Мансийского автономного округа - Югры, в том числе, в ее составе перечень главных распорядителей средств бюджета городского округа Мегион: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 xml:space="preserve">1) на 2024 год согласно </w:t>
      </w:r>
      <w:hyperlink w:anchor="P19767">
        <w:r>
          <w:rPr>
            <w:color w:val="0000FF"/>
          </w:rPr>
          <w:t>приложению 9</w:t>
        </w:r>
      </w:hyperlink>
      <w:r>
        <w:t xml:space="preserve"> к настоящему решению;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 xml:space="preserve">2) на плановый период 2025 и 2026 годов согласно </w:t>
      </w:r>
      <w:hyperlink w:anchor="P23728">
        <w:r>
          <w:rPr>
            <w:color w:val="0000FF"/>
          </w:rPr>
          <w:t>приложению 10</w:t>
        </w:r>
      </w:hyperlink>
      <w:r>
        <w:t xml:space="preserve"> к настоящему решению.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11. Утвердить источники внутреннего финансирования дефицита бюджета городского округа Мегион Ханты-Мансийского автономного округа - Югры: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 xml:space="preserve">1) на 2024 год согласно </w:t>
      </w:r>
      <w:hyperlink w:anchor="P26885">
        <w:r>
          <w:rPr>
            <w:color w:val="0000FF"/>
          </w:rPr>
          <w:t>приложению 11</w:t>
        </w:r>
      </w:hyperlink>
      <w:r>
        <w:t xml:space="preserve"> к настоящему решению;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 xml:space="preserve">2) на плановый период 2025 и 2026 годов согласно </w:t>
      </w:r>
      <w:hyperlink w:anchor="P26944">
        <w:r>
          <w:rPr>
            <w:color w:val="0000FF"/>
          </w:rPr>
          <w:t>приложению 12</w:t>
        </w:r>
      </w:hyperlink>
      <w:r>
        <w:t xml:space="preserve"> к настоящему решению.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12. Утвердить программу муниципальных внутренних заимствований городского округа Мегион Ханты-Мансийского автономного округа - Югры: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 xml:space="preserve">1) на 2024 год согласно </w:t>
      </w:r>
      <w:hyperlink w:anchor="P27009">
        <w:r>
          <w:rPr>
            <w:color w:val="0000FF"/>
          </w:rPr>
          <w:t>приложению 13</w:t>
        </w:r>
      </w:hyperlink>
      <w:r>
        <w:t xml:space="preserve"> к настоящему решению;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 xml:space="preserve">2) на плановый период 2025 и 2026 годов согласно </w:t>
      </w:r>
      <w:hyperlink w:anchor="P27046">
        <w:r>
          <w:rPr>
            <w:color w:val="0000FF"/>
          </w:rPr>
          <w:t>приложению 14</w:t>
        </w:r>
      </w:hyperlink>
      <w:r>
        <w:t xml:space="preserve"> к настоящему решению.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13. Утвердить общий объем бюджетных ассигнований на исполнение публичных нормативных обязательств городского округа Мегион Ханты-Мансийского автономного округа - Югры на 2024 год в сумме 10 000,0 тыс. рублей.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14. Утвердить объем бюджетных ассигнований дорожного фонда городского округа Мегион Ханты-Мансийского автономного округа - Югры: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1) на 2024 год в сумме 140 152,1 тыс. рублей;</w:t>
      </w:r>
    </w:p>
    <w:p w:rsidR="00044B22" w:rsidRDefault="00044B22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22">
        <w:r>
          <w:rPr>
            <w:color w:val="0000FF"/>
          </w:rPr>
          <w:t>решения</w:t>
        </w:r>
      </w:hyperlink>
      <w:r>
        <w:t xml:space="preserve"> Думы города Мегиона от 19.07.2024 N 393)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2) на 2025 год в сумме 108 171,2 тыс. рублей;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lastRenderedPageBreak/>
        <w:t>3) на 2026 год в сумме 45 725,8 тыс. рублей.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15. Утвердить объем межбюджетных трансфертов, получаемых из других бюджетов бюджетной системы Российской Федерации: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1) на 2024 год в сумме 4 229 849,7 тыс. рублей;</w:t>
      </w:r>
    </w:p>
    <w:p w:rsidR="00044B22" w:rsidRDefault="00044B22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23">
        <w:r>
          <w:rPr>
            <w:color w:val="0000FF"/>
          </w:rPr>
          <w:t>решения</w:t>
        </w:r>
      </w:hyperlink>
      <w:r>
        <w:t xml:space="preserve"> Думы города Мегиона от 19.07.2024 N 393)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2) на 2025 год в сумме 3 488 174,0 тыс. рублей;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3) на 2026 год в сумме 3 333 514,0 тыс. рублей.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16. Утвердить в составе расходов бюджета городского округа резервный фонд администрации города Мегиона: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1) на 2024 год в сумме 1 500,0 тыс. рублей;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2) на 2025 год в сумме 1 500,0 тыс. рублей;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3) на 2026 год в сумме 1 500,0 тыс. рублей.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 xml:space="preserve">17. Установить, что плата за негативное воздействие на окружающую среду, суммы административных штрафов за административные правонарушения в области охраны окружающей среды и природопользования, средства от платежей по искам о возмещении вреда, причиненного окружающей среде вследствие нарушений обязательных требований, а также платежи, уплачиваемые при добровольном возмещении вреда, причиненного окружающей среде вследствие нарушений обязательных требований (далее - экологические платежи), зачисленные в 2024 году и плановом периоде 2025 - 2026 годов в бюджет городского округа, направляются на реализацию плана мероприятий, указанных в </w:t>
      </w:r>
      <w:hyperlink r:id="rId24">
        <w:r>
          <w:rPr>
            <w:color w:val="0000FF"/>
          </w:rPr>
          <w:t>пункте 1 статьи 16.6</w:t>
        </w:r>
      </w:hyperlink>
      <w:r>
        <w:t xml:space="preserve">, </w:t>
      </w:r>
      <w:hyperlink r:id="rId25">
        <w:r>
          <w:rPr>
            <w:color w:val="0000FF"/>
          </w:rPr>
          <w:t>пункте 1 статьи 75.1</w:t>
        </w:r>
      </w:hyperlink>
      <w:r>
        <w:t xml:space="preserve"> и </w:t>
      </w:r>
      <w:hyperlink r:id="rId26">
        <w:r>
          <w:rPr>
            <w:color w:val="0000FF"/>
          </w:rPr>
          <w:t>пункте 1 статьи 78.2</w:t>
        </w:r>
      </w:hyperlink>
      <w:r>
        <w:t xml:space="preserve"> Федерального закона от 10.01.2002 N 7-ФЗ "Об охране окружающей среды".</w:t>
      </w:r>
    </w:p>
    <w:p w:rsidR="00044B22" w:rsidRDefault="00044B22">
      <w:pPr>
        <w:pStyle w:val="ConsPlusNormal"/>
        <w:spacing w:before="240"/>
        <w:ind w:firstLine="540"/>
        <w:jc w:val="both"/>
      </w:pPr>
      <w:bookmarkStart w:id="1" w:name="P69"/>
      <w:bookmarkEnd w:id="1"/>
      <w:r>
        <w:t>18. Установить, что в бюджете городского округа на 2024 год и плановый период 2025 и 2026 годов зарезервированы бюджетные ассигнования на реализацию инициативных проектов, в целях финансового обеспечения соответствующих расходных обязательств муниципального образования на 2024 год в сумме 12 723,8 тыс. рублей.</w:t>
      </w:r>
    </w:p>
    <w:p w:rsidR="00044B22" w:rsidRDefault="00044B22">
      <w:pPr>
        <w:pStyle w:val="ConsPlusNormal"/>
        <w:jc w:val="both"/>
      </w:pPr>
      <w:r>
        <w:t xml:space="preserve">(в ред. </w:t>
      </w:r>
      <w:hyperlink r:id="rId27">
        <w:r>
          <w:rPr>
            <w:color w:val="0000FF"/>
          </w:rPr>
          <w:t>решения</w:t>
        </w:r>
      </w:hyperlink>
      <w:r>
        <w:t xml:space="preserve"> Думы города Мегиона от 26.04.2024 N 380)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19. Предоставить право администрации города Мегиона привлекать кредиты от кредитных организаций, бюджетные кредиты из бюджета Ханты-Мансийского автономного округа - Югры для финансирования дефицита бюджета городского округа, в том числе на реализацию инфраструктурных проектов, проектов по реконструкции, модернизации, капитальному ремонту объектов жилищно-коммунального комплекса и капитальному ремонту автомобильных дорог общего пользования местного значения, для погашения действующих долговых обязательств бюджета городского округа.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 xml:space="preserve">20. Установить, что в соответствии со </w:t>
      </w:r>
      <w:hyperlink r:id="rId28">
        <w:r>
          <w:rPr>
            <w:color w:val="0000FF"/>
          </w:rPr>
          <w:t>статьями 78</w:t>
        </w:r>
      </w:hyperlink>
      <w:r>
        <w:t xml:space="preserve">, </w:t>
      </w:r>
      <w:hyperlink r:id="rId29">
        <w:r>
          <w:rPr>
            <w:color w:val="0000FF"/>
          </w:rPr>
          <w:t>78.4</w:t>
        </w:r>
      </w:hyperlink>
      <w:r>
        <w:t xml:space="preserve"> Бюджетного кодекса Российской Федерации в бюджете городского округа на 2024 год и плановый период 2025 и 2026 годов предусмотрены субсидии: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 xml:space="preserve">1)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в </w:t>
      </w:r>
      <w:hyperlink w:anchor="P27092">
        <w:r>
          <w:rPr>
            <w:color w:val="0000FF"/>
          </w:rPr>
          <w:t>случаях</w:t>
        </w:r>
      </w:hyperlink>
      <w:r>
        <w:t>, установленных приложением 15 к настоящему решению.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lastRenderedPageBreak/>
        <w:t xml:space="preserve">Порядок предоставления субсидий, предусмотренных </w:t>
      </w:r>
      <w:hyperlink w:anchor="P27092">
        <w:r>
          <w:rPr>
            <w:color w:val="0000FF"/>
          </w:rPr>
          <w:t>приложением 15</w:t>
        </w:r>
      </w:hyperlink>
      <w:r>
        <w:t xml:space="preserve"> к настоящему решению, за исключением субсидий, предоставляемых за счет средств, поступивших из других бюджетов бюджетной системы Российской Федерации в соответствии с решениями органов государственной власти Российской Федерации и органов государственной власти Ханты-Мансийского автономного округа - Югры (с учетом обеспечения доли </w:t>
      </w:r>
      <w:proofErr w:type="spellStart"/>
      <w:r>
        <w:t>софинансирования</w:t>
      </w:r>
      <w:proofErr w:type="spellEnd"/>
      <w:r>
        <w:t xml:space="preserve"> расходов), устанавливается муниципальными правовыми актами администрации города, принимаемыми в соответствии с настоящим решением и общими требованиями, установленными Правительством Российской Федерации;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2) юридическим лицам (за исключением муниципальных учреждений), индивидуальным предпринимателям, физическим лицам в виде грантов, предоставляемых на конкурсной основе.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Субсидии предоставляются в соответствии с муниципальными правовыми актами администрации города Мегиона.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 xml:space="preserve">Объем бюджетных ассигнований на их предоставление отражен по мероприятиям муниципальных программ по коду видов расходов 630 "Субсидии некоммерческим организациям (за исключением государственных (муниципальных) учреждений)" в составе </w:t>
      </w:r>
      <w:hyperlink w:anchor="P1135">
        <w:r>
          <w:rPr>
            <w:color w:val="0000FF"/>
          </w:rPr>
          <w:t>приложений 3</w:t>
        </w:r>
      </w:hyperlink>
      <w:r>
        <w:t xml:space="preserve">, </w:t>
      </w:r>
      <w:hyperlink w:anchor="P10440">
        <w:r>
          <w:rPr>
            <w:color w:val="0000FF"/>
          </w:rPr>
          <w:t>5</w:t>
        </w:r>
      </w:hyperlink>
      <w:r>
        <w:t xml:space="preserve">, </w:t>
      </w:r>
      <w:hyperlink w:anchor="P19767">
        <w:r>
          <w:rPr>
            <w:color w:val="0000FF"/>
          </w:rPr>
          <w:t>9</w:t>
        </w:r>
      </w:hyperlink>
      <w:r>
        <w:t xml:space="preserve"> к настоящему решению.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 xml:space="preserve">21. Установить, что в соответствии со </w:t>
      </w:r>
      <w:hyperlink r:id="rId30">
        <w:r>
          <w:rPr>
            <w:color w:val="0000FF"/>
          </w:rPr>
          <w:t>статьей 78.1</w:t>
        </w:r>
      </w:hyperlink>
      <w:r>
        <w:t xml:space="preserve"> Бюджетного кодекса Российской Федерации субсидии негосударственным социально ориентированным некоммерческим организациям (за исключением субсидий муниципальным учреждениям) предоставляются в целях финансового обеспечения (возмещения затрат) оказания общественно полезных услуг, в </w:t>
      </w:r>
      <w:hyperlink w:anchor="P27151">
        <w:r>
          <w:rPr>
            <w:color w:val="0000FF"/>
          </w:rPr>
          <w:t>случаях</w:t>
        </w:r>
      </w:hyperlink>
      <w:r>
        <w:t>, установленных приложением 16 к настоящему решению.</w:t>
      </w:r>
    </w:p>
    <w:p w:rsidR="00044B22" w:rsidRDefault="00044B22">
      <w:pPr>
        <w:pStyle w:val="ConsPlusNormal"/>
        <w:jc w:val="both"/>
      </w:pPr>
      <w:r>
        <w:t xml:space="preserve">(в ред. </w:t>
      </w:r>
      <w:hyperlink r:id="rId31">
        <w:r>
          <w:rPr>
            <w:color w:val="0000FF"/>
          </w:rPr>
          <w:t>решения</w:t>
        </w:r>
      </w:hyperlink>
      <w:r>
        <w:t xml:space="preserve"> Думы города Мегиона от 26.04.2024 N 380)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Субсидии предоставляются в соответствии с муниципальными правовыми актами администрации города Мегиона.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 xml:space="preserve">Объем бюджетных ассигнований на их предоставление отражен по мероприятиям муниципальных программ по коду видов расходов 630 "Субсидии некоммерческим организациям (за исключением государственных (муниципальных) учреждений)" в составе </w:t>
      </w:r>
      <w:hyperlink w:anchor="P1135">
        <w:r>
          <w:rPr>
            <w:color w:val="0000FF"/>
          </w:rPr>
          <w:t>приложений 3</w:t>
        </w:r>
      </w:hyperlink>
      <w:r>
        <w:t xml:space="preserve">, </w:t>
      </w:r>
      <w:hyperlink w:anchor="P10440">
        <w:r>
          <w:rPr>
            <w:color w:val="0000FF"/>
          </w:rPr>
          <w:t>5</w:t>
        </w:r>
      </w:hyperlink>
      <w:r>
        <w:t xml:space="preserve">, </w:t>
      </w:r>
      <w:hyperlink w:anchor="P19767">
        <w:r>
          <w:rPr>
            <w:color w:val="0000FF"/>
          </w:rPr>
          <w:t>9</w:t>
        </w:r>
      </w:hyperlink>
      <w:r>
        <w:t xml:space="preserve"> к настоящему решению.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 xml:space="preserve">22. Установить, что в соответствии со </w:t>
      </w:r>
      <w:hyperlink r:id="rId32">
        <w:r>
          <w:rPr>
            <w:color w:val="0000FF"/>
          </w:rPr>
          <w:t>статьей 78.4</w:t>
        </w:r>
      </w:hyperlink>
      <w:r>
        <w:t xml:space="preserve"> Бюджетного кодекса Российской Федерации, Федеральным </w:t>
      </w:r>
      <w:hyperlink r:id="rId33">
        <w:r>
          <w:rPr>
            <w:color w:val="0000FF"/>
          </w:rPr>
          <w:t>законом</w:t>
        </w:r>
      </w:hyperlink>
      <w:r>
        <w:t xml:space="preserve"> от 13.07.2020 N 189-ФЗ "О государственном (муниципальном) социальном заказе на оказание государственных (муниципальных) услуг в социальной сфере", а также иным требованиям, установленным Правительством Российской Федерации в бюджете городского округа предусмотрена субсидия юридическим лицам, индивидуальным предпринимателям на оплату соглашения о финансовом обеспечении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в городе Мегионе.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Субсидии предоставляются в соответствии с муниципальными правовыми актами администрации города Мегиона.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 xml:space="preserve">Объем бюджетных ассигнований на их предоставление отражен по мероприятиям муниципальных программ по коду видов расходов 610 "Субсидии бюджетным учреждениям", 620 "Субсидии автономным учреждениям" в составе </w:t>
      </w:r>
      <w:hyperlink w:anchor="P1135">
        <w:r>
          <w:rPr>
            <w:color w:val="0000FF"/>
          </w:rPr>
          <w:t>приложений 3</w:t>
        </w:r>
      </w:hyperlink>
      <w:r>
        <w:t xml:space="preserve">, </w:t>
      </w:r>
      <w:hyperlink w:anchor="P10440">
        <w:r>
          <w:rPr>
            <w:color w:val="0000FF"/>
          </w:rPr>
          <w:t>5</w:t>
        </w:r>
      </w:hyperlink>
      <w:r>
        <w:t xml:space="preserve">, </w:t>
      </w:r>
      <w:hyperlink w:anchor="P19767">
        <w:r>
          <w:rPr>
            <w:color w:val="0000FF"/>
          </w:rPr>
          <w:t>9</w:t>
        </w:r>
      </w:hyperlink>
      <w:r>
        <w:t xml:space="preserve"> к </w:t>
      </w:r>
      <w:r>
        <w:lastRenderedPageBreak/>
        <w:t>настоящему решению.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23. Установить, что в 2024 году департамент финансов администрации города Мегиона осуществляет казначейское сопровождение средств, указанных в настоящем пункте, предоставляемых из бюджета городского округа.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Казначейскому сопровождению подлежат: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1) авансовые платежи по муниципальным контрактам о поставке товаров, выполнении работ, оказании услуг, заключаемым на сумму более 50,0 млн. рублей, источником финансового обеспечения исполнения которых являются средства, предоставляемые из бюджета городского округа;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2) авансовые платежи по контрактам (договорам) о поставке товаров, выполнении работ, оказании услуг, заключаемым на сумму более 50,0 млн рублей бюджетными или автономными учреждениями городского округа, лицевые счета которым открыты в департаменте финансов администрации города Мегиона, в соответствии с законодательством Российской Федерации.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24. Органы местного самоуправления не вправе принимать решения, приводящие к увеличению в 2024 году численности лиц, замещающих муниципальные должности, должности муниципальной службы, а также работников органов местного самоуправления (за исключением случаев принятия решений по перераспределению функций (полномочий) или наделению ими), а также работников муниципальных учреждений городского округа, 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 муниципальной собственности.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25. Установить приоритетные направления расходов средств местного бюджета городского округа в случае невыполнения доходной части бюджета и недостатка средств на счете бюджета городского округа в 2024 году: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1) оплата труда и начисления на выплаты по оплате труда; выплаты социального характера;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2) оплата коммунальных услуг, услуг по содержанию имущества;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3) публичные нормативные обязательства.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Финансирование иных расходов производится пропорционально поступающим в бюджет городского округа доходам.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26. Доходы, поступающие в 2024 году сверх сумм, утвержденных настоящим решением, в первоочередном порядке будут направлены на финансирование приоритетных направлений расходов, обеспечивающих повышение уровня и качества жизни населения города, доступности муниципальных услуг и функций.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27. Установить, что муниципальные правовые акты муниципального образования, влекущие дополнительные расходы за счет средств бюджета городского округа, а также сокращающие доходную базу, принимаются и реализуются только при наличии соответствующих источников дополнительных поступлений в бюджет городского округа и (или) при сокращении расходов по конкретным статьям бюджета городского округа после внесения соответствующих изменений в настоящее решение.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lastRenderedPageBreak/>
        <w:t>28. Установить, что остатки средств местного бюджета городского округа на 01.01.2024 направляются в 2024 году на увеличение бюджетных ассигнований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2023 финансовом году, в объеме, не превышающем сумму остатка не использованных бюджетных ассигнований 2023 года.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 xml:space="preserve">29. Руководитель финансового органа в соответствии с </w:t>
      </w:r>
      <w:hyperlink r:id="rId34">
        <w:r>
          <w:rPr>
            <w:color w:val="0000FF"/>
          </w:rPr>
          <w:t>пунктом 8 статьи 217</w:t>
        </w:r>
      </w:hyperlink>
      <w:r>
        <w:t xml:space="preserve"> Бюджетного кодекса Российской Федерации, </w:t>
      </w:r>
      <w:hyperlink r:id="rId35">
        <w:r>
          <w:rPr>
            <w:color w:val="0000FF"/>
          </w:rPr>
          <w:t>пунктом 11 раздела 4</w:t>
        </w:r>
      </w:hyperlink>
      <w:r>
        <w:t xml:space="preserve"> Положения об отдельных вопросах организации и осуществления бюджетного процесса в городском округе Мегион Ханты-Мансийского автономного округа - Югры, утвержденного решением Думы города Мегиона от 30.11.2012 N 306 (с изменениями) вправе вносить в 2024 году изменения в показатели сводной бюджетной росписи бюджета городского округа 2024 - 2026 годов без внесения изменений в настоящее решение по следующим дополнительным основаниям: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 xml:space="preserve">1) перераспределение бюджетных ассигнований между главными распорядителями средств бюджета городского округа по соответствующим кодам классификации расходов бюджета в целях обеспечения условий (в том числе, обеспечение доли </w:t>
      </w:r>
      <w:proofErr w:type="spellStart"/>
      <w:r>
        <w:t>софинансирования</w:t>
      </w:r>
      <w:proofErr w:type="spellEnd"/>
      <w:r>
        <w:t>) предоставления межбюджетных трансфертов, имеющих целевое назначение;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2) перераспределение бюджетных ассигнований, предусмотренных главным распорядителям средств бюджета городского округа по соответствующим кодам классификации расходов бюджета на проведение отдельных мероприятий в рамках муниципальных программ и непрограммных направлений деятельности города Мегиона;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3) перераспределение бюджетных ассигнований, предусмотренных главным распорядителям бюджетных средств на предоставление муниципальным бюджетным и автономным учреждениям городского округа субсидий на финансовое обеспечение выполнения муниципального задания на оказание муниципальных услуг (выполнение работ) и субсидий на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бюджетов;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4) перераспределение бюджетных ассигнований между муниципальными программами, подпрограммами (мероприятиями) муниципальных программ городского округа, а также между их исполнителями на функционирование органов администрации города, связанное с созданием, ликвидацией и реорганизацией (передачей полномочий), изменением типа муниципальных учреждений;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5)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Ханты-Мансийского автономного округа - Югры, Контрольно-счетной палаты города Мегиона;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6) изменение бюджетной классификации расходов бюджета городского округа без изменения целевого направления средств;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7) уточнение разделов, подразделов, целевых статей и видов расходов главного распорядителя средств бюджета городского округа в случаях, необходимых для изменения бюджетной классификации расходов, в пределах общего объема бюджетных ассигнований, предусмотренных главному распорядителю средств бюджета городского округа, в текущем финансовом году и в плановом периоде;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lastRenderedPageBreak/>
        <w:t xml:space="preserve">8) распределение бюджетных ассигнований, зарезервированных в составе утвержденных </w:t>
      </w:r>
      <w:hyperlink w:anchor="P69">
        <w:r>
          <w:rPr>
            <w:color w:val="0000FF"/>
          </w:rPr>
          <w:t>пунктом 18</w:t>
        </w:r>
      </w:hyperlink>
      <w:r>
        <w:t xml:space="preserve"> настоящего решения по муниципальным программам и непрограммным направлениям деятельности бюджета городского округа;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9) перераспределение бюджетных ассигнований между текущим финансовым годом и плановым периодом в пределах общего объема бюджетных ассигнований;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10) инициативные платежи, зачисляемые в бюджет городского округа, фактически полученные при исполнении бюджета сверх утвержденных решением о бюджете доходов, направляются на увеличение расходов бюджета, соответствующих целям предоставления указанных средств.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30. Администрация города Мегиона вправе заключать соглашения о реструктуризации долговых обязательств (задолженности) юридических лиц перед бюджетом городского округа в соответствии с федеральным законодательством Российской Федерации, законодательством Ханты-Мансийского автономного округа - Югры и муниципальными правовыми актами городского округа.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31. Разрешить администрации города Мегиона осуществлять списание признанной безнадежной к взысканию задолженности перед бюджетом городского округа: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1) по средствам, выданным на возвратной основе, процентам за пользование ими, пеням и штрафам;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2) по иным обязательствам юридического лица, индивидуального предпринимателя без образования юридического лица и физического лица;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3) по неналоговым платежам в части, подлежащей зачислению в бюджет городского округа.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Списание задолженности осуществляется в соответствии с порядком, установленным муниципальным правовым актом администрации города Мегиона.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32. Установить, что заключение бюджетополучателями договоров, муниципальных контрактов, принятие иных бюджетных обязательств, исполнение которых осуществляется за счет средств бюджета городского округа, производится в пределах утвержденных лимитов бюджетных обязательств в соответствии с ведомственной структурой расходов, функциональной и экономической классификацией расходов бюджета городского округа.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Принятие бюджетополучателями бюджетных обязательств, сверх утвержденных решением Думы города Мегиона "О бюджете городского округа Мегион Ханты-Мансийского автономного округа - Югры на 2024 год и плановый период 2025 и 2026 годов" не допускается.</w:t>
      </w:r>
    </w:p>
    <w:p w:rsidR="00044B22" w:rsidRDefault="00044B22">
      <w:pPr>
        <w:pStyle w:val="ConsPlusNormal"/>
        <w:spacing w:before="240"/>
        <w:ind w:firstLine="540"/>
        <w:jc w:val="both"/>
      </w:pPr>
      <w:r>
        <w:t>33. Настоящее решение вступает в силу после его официального опубликования и применяется с 1 января 2024 года.</w:t>
      </w:r>
    </w:p>
    <w:p w:rsidR="00044B22" w:rsidRDefault="00044B22">
      <w:pPr>
        <w:pStyle w:val="ConsPlusNormal"/>
        <w:ind w:firstLine="540"/>
        <w:jc w:val="both"/>
      </w:pPr>
    </w:p>
    <w:p w:rsidR="00044B22" w:rsidRDefault="00044B22">
      <w:pPr>
        <w:pStyle w:val="ConsPlusNormal"/>
        <w:jc w:val="right"/>
      </w:pPr>
      <w:r>
        <w:t>Председатель Думы города Мегиона</w:t>
      </w:r>
    </w:p>
    <w:p w:rsidR="00044B22" w:rsidRDefault="00044B22">
      <w:pPr>
        <w:pStyle w:val="ConsPlusNormal"/>
        <w:jc w:val="right"/>
      </w:pPr>
      <w:r>
        <w:t>А.А.АЛТАПОВ</w:t>
      </w:r>
    </w:p>
    <w:p w:rsidR="00044B22" w:rsidRDefault="00044B22">
      <w:pPr>
        <w:pStyle w:val="ConsPlusNormal"/>
      </w:pPr>
    </w:p>
    <w:p w:rsidR="00044B22" w:rsidRDefault="00044B22">
      <w:pPr>
        <w:pStyle w:val="ConsPlusNormal"/>
        <w:jc w:val="right"/>
      </w:pPr>
      <w:r>
        <w:t>Исполняющий обязанности главы</w:t>
      </w:r>
    </w:p>
    <w:p w:rsidR="00044B22" w:rsidRDefault="00044B22">
      <w:pPr>
        <w:pStyle w:val="ConsPlusNormal"/>
        <w:jc w:val="right"/>
      </w:pPr>
      <w:r>
        <w:t>города Мегиона</w:t>
      </w:r>
    </w:p>
    <w:p w:rsidR="00044B22" w:rsidRDefault="00044B22" w:rsidP="00981B72">
      <w:pPr>
        <w:pStyle w:val="ConsPlusNormal"/>
        <w:jc w:val="right"/>
      </w:pPr>
      <w:r>
        <w:t>И.Г.АЛЧИНОВ</w:t>
      </w:r>
    </w:p>
    <w:sectPr w:rsidR="00044B22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B22"/>
    <w:rsid w:val="00033649"/>
    <w:rsid w:val="00044B22"/>
    <w:rsid w:val="000E7926"/>
    <w:rsid w:val="002C6B8B"/>
    <w:rsid w:val="00412E62"/>
    <w:rsid w:val="00484B9C"/>
    <w:rsid w:val="004B36CE"/>
    <w:rsid w:val="00614457"/>
    <w:rsid w:val="006C6087"/>
    <w:rsid w:val="007135D7"/>
    <w:rsid w:val="00827C04"/>
    <w:rsid w:val="008D3D9C"/>
    <w:rsid w:val="00981B72"/>
    <w:rsid w:val="00A66B00"/>
    <w:rsid w:val="00AD31A7"/>
    <w:rsid w:val="00B92931"/>
    <w:rsid w:val="00C93AF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F0D69"/>
  <w15:chartTrackingRefBased/>
  <w15:docId w15:val="{ED7816D1-047F-4B6D-A17C-32CEF7743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B8B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ConsPlusTitlePage">
    <w:name w:val="ConsPlusTitlePage"/>
    <w:rsid w:val="00044B22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/>
      <w:color w:val="auto"/>
      <w:sz w:val="20"/>
      <w:szCs w:val="22"/>
      <w:lang w:eastAsia="ru-RU"/>
    </w:rPr>
  </w:style>
  <w:style w:type="paragraph" w:customStyle="1" w:styleId="ConsPlusNormal">
    <w:name w:val="ConsPlusNormal"/>
    <w:rsid w:val="00044B22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044B22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304327&amp;dst=100242" TargetMode="External"/><Relationship Id="rId13" Type="http://schemas.openxmlformats.org/officeDocument/2006/relationships/hyperlink" Target="https://login.consultant.ru/link/?req=doc&amp;base=RLAW926&amp;n=305789&amp;dst=100011" TargetMode="External"/><Relationship Id="rId18" Type="http://schemas.openxmlformats.org/officeDocument/2006/relationships/hyperlink" Target="https://login.consultant.ru/link/?req=doc&amp;base=RLAW926&amp;n=304800&amp;dst=102226" TargetMode="External"/><Relationship Id="rId26" Type="http://schemas.openxmlformats.org/officeDocument/2006/relationships/hyperlink" Target="https://login.consultant.ru/link/?req=doc&amp;base=LAW&amp;n=466003&amp;dst=1087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926&amp;n=304800&amp;dst=102803" TargetMode="External"/><Relationship Id="rId34" Type="http://schemas.openxmlformats.org/officeDocument/2006/relationships/hyperlink" Target="https://login.consultant.ru/link/?req=doc&amp;base=LAW&amp;n=480810&amp;dst=4329" TargetMode="External"/><Relationship Id="rId7" Type="http://schemas.openxmlformats.org/officeDocument/2006/relationships/hyperlink" Target="https://login.consultant.ru/link/?req=doc&amp;base=LAW&amp;n=480810&amp;dst=91" TargetMode="External"/><Relationship Id="rId12" Type="http://schemas.openxmlformats.org/officeDocument/2006/relationships/hyperlink" Target="https://login.consultant.ru/link/?req=doc&amp;base=RLAW926&amp;n=305789&amp;dst=100009" TargetMode="External"/><Relationship Id="rId17" Type="http://schemas.openxmlformats.org/officeDocument/2006/relationships/hyperlink" Target="https://login.consultant.ru/link/?req=doc&amp;base=RLAW926&amp;n=304800&amp;dst=100021" TargetMode="External"/><Relationship Id="rId25" Type="http://schemas.openxmlformats.org/officeDocument/2006/relationships/hyperlink" Target="https://login.consultant.ru/link/?req=doc&amp;base=LAW&amp;n=466003&amp;dst=1085" TargetMode="External"/><Relationship Id="rId33" Type="http://schemas.openxmlformats.org/officeDocument/2006/relationships/hyperlink" Target="https://login.consultant.ru/link/?req=doc&amp;base=LAW&amp;n=47933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80810&amp;dst=103292" TargetMode="External"/><Relationship Id="rId20" Type="http://schemas.openxmlformats.org/officeDocument/2006/relationships/hyperlink" Target="https://login.consultant.ru/link/?req=doc&amp;base=RLAW926&amp;n=304800&amp;dst=102588" TargetMode="External"/><Relationship Id="rId29" Type="http://schemas.openxmlformats.org/officeDocument/2006/relationships/hyperlink" Target="https://login.consultant.ru/link/?req=doc&amp;base=LAW&amp;n=480810&amp;dst=623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05789&amp;dst=100005" TargetMode="External"/><Relationship Id="rId11" Type="http://schemas.openxmlformats.org/officeDocument/2006/relationships/hyperlink" Target="https://login.consultant.ru/link/?req=doc&amp;base=RLAW926&amp;n=305789&amp;dst=100007" TargetMode="External"/><Relationship Id="rId24" Type="http://schemas.openxmlformats.org/officeDocument/2006/relationships/hyperlink" Target="https://login.consultant.ru/link/?req=doc&amp;base=LAW&amp;n=466003&amp;dst=1084" TargetMode="External"/><Relationship Id="rId32" Type="http://schemas.openxmlformats.org/officeDocument/2006/relationships/hyperlink" Target="https://login.consultant.ru/link/?req=doc&amp;base=LAW&amp;n=480810&amp;dst=6236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login.consultant.ru/link/?req=doc&amp;base=RLAW926&amp;n=301183&amp;dst=100005" TargetMode="External"/><Relationship Id="rId15" Type="http://schemas.openxmlformats.org/officeDocument/2006/relationships/hyperlink" Target="https://login.consultant.ru/link/?req=doc&amp;base=RLAW926&amp;n=301183&amp;dst=100015" TargetMode="External"/><Relationship Id="rId23" Type="http://schemas.openxmlformats.org/officeDocument/2006/relationships/hyperlink" Target="https://login.consultant.ru/link/?req=doc&amp;base=RLAW926&amp;n=305789&amp;dst=100023" TargetMode="External"/><Relationship Id="rId28" Type="http://schemas.openxmlformats.org/officeDocument/2006/relationships/hyperlink" Target="https://login.consultant.ru/link/?req=doc&amp;base=LAW&amp;n=480810&amp;dst=103395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926&amp;n=304327&amp;dst=100593" TargetMode="External"/><Relationship Id="rId19" Type="http://schemas.openxmlformats.org/officeDocument/2006/relationships/hyperlink" Target="https://login.consultant.ru/link/?req=doc&amp;base=RLAW926&amp;n=304800&amp;dst=100022" TargetMode="External"/><Relationship Id="rId31" Type="http://schemas.openxmlformats.org/officeDocument/2006/relationships/hyperlink" Target="https://login.consultant.ru/link/?req=doc&amp;base=RLAW926&amp;n=301183&amp;dst=100032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304327&amp;dst=100997" TargetMode="External"/><Relationship Id="rId14" Type="http://schemas.openxmlformats.org/officeDocument/2006/relationships/hyperlink" Target="https://login.consultant.ru/link/?req=doc&amp;base=RLAW926&amp;n=301183&amp;dst=100013" TargetMode="External"/><Relationship Id="rId22" Type="http://schemas.openxmlformats.org/officeDocument/2006/relationships/hyperlink" Target="https://login.consultant.ru/link/?req=doc&amp;base=RLAW926&amp;n=305789&amp;dst=100021" TargetMode="External"/><Relationship Id="rId27" Type="http://schemas.openxmlformats.org/officeDocument/2006/relationships/hyperlink" Target="https://login.consultant.ru/link/?req=doc&amp;base=RLAW926&amp;n=301183&amp;dst=100031" TargetMode="External"/><Relationship Id="rId30" Type="http://schemas.openxmlformats.org/officeDocument/2006/relationships/hyperlink" Target="https://login.consultant.ru/link/?req=doc&amp;base=LAW&amp;n=480810&amp;dst=103431" TargetMode="External"/><Relationship Id="rId35" Type="http://schemas.openxmlformats.org/officeDocument/2006/relationships/hyperlink" Target="https://login.consultant.ru/link/?req=doc&amp;base=RLAW926&amp;n=248388&amp;dst=1002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3776</Words>
  <Characters>21527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3</cp:revision>
  <dcterms:created xsi:type="dcterms:W3CDTF">2024-08-06T08:54:00Z</dcterms:created>
  <dcterms:modified xsi:type="dcterms:W3CDTF">2024-08-06T08:56:00Z</dcterms:modified>
</cp:coreProperties>
</file>