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cs="Times New Roman"/>
          <w:b/>
          <w:color w:val="0000ff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49885" cy="437515"/>
                <wp:effectExtent l="0" t="0" r="0" b="63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349884" cy="43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7.55pt;height:34.45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color w:val="0000ff"/>
          <w:sz w:val="28"/>
          <w:szCs w:val="28"/>
        </w:rPr>
      </w:r>
      <w:r>
        <w:rPr>
          <w:rFonts w:ascii="Times New Roman" w:hAnsi="Times New Roman" w:cs="Times New Roman"/>
          <w:b/>
          <w:color w:val="0000ff"/>
          <w:sz w:val="28"/>
          <w:szCs w:val="28"/>
        </w:rPr>
      </w:r>
    </w:p>
    <w:p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ХАНТЫ – МАНСИЙСКИЙ АВТОНОМНЫЙ ОКРУГ - ЮГРА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</w:r>
      <w:r>
        <w:rPr>
          <w:rFonts w:ascii="Times New Roman" w:hAnsi="Times New Roman" w:cs="Times New Roman"/>
          <w:b/>
          <w:color w:val="0000ff"/>
          <w:sz w:val="24"/>
          <w:szCs w:val="24"/>
        </w:rPr>
      </w:r>
    </w:p>
    <w:p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ТЮМЕНСКАЯ ОБЛАСТЬ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</w:r>
      <w:r>
        <w:rPr>
          <w:rFonts w:ascii="Times New Roman" w:hAnsi="Times New Roman" w:cs="Times New Roman"/>
          <w:b/>
          <w:color w:val="0000ff"/>
          <w:sz w:val="24"/>
          <w:szCs w:val="24"/>
        </w:rPr>
      </w:r>
    </w:p>
    <w:p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ПРЕДСТАВИТЕЛЬНЫЙ ОРГАН МУНИЦИПАЛЬНОГО ОБРАЗОВАНИЯ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</w:r>
      <w:r>
        <w:rPr>
          <w:rFonts w:ascii="Times New Roman" w:hAnsi="Times New Roman" w:cs="Times New Roman"/>
          <w:b/>
          <w:color w:val="0000ff"/>
          <w:sz w:val="24"/>
          <w:szCs w:val="24"/>
        </w:rPr>
      </w:r>
    </w:p>
    <w:p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ДУМА ГОРОДА МЕГИОНА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</w:r>
      <w:r>
        <w:rPr>
          <w:rFonts w:ascii="Times New Roman" w:hAnsi="Times New Roman" w:cs="Times New Roman"/>
          <w:b/>
          <w:color w:val="ff0000"/>
          <w:sz w:val="28"/>
          <w:szCs w:val="28"/>
        </w:rPr>
      </w:r>
    </w:p>
    <w:p>
      <w:pPr>
        <w:keepNext/>
        <w:spacing w:before="240" w:after="60"/>
        <w:rPr>
          <w:rFonts w:ascii="Times New Roman" w:hAnsi="Times New Roman" w:cs="Times New Roman"/>
          <w:bCs/>
          <w:iCs/>
          <w:color w:val="ff0000"/>
          <w:sz w:val="28"/>
          <w:szCs w:val="28"/>
        </w:rPr>
        <w:outlineLvl w:val="1"/>
      </w:pPr>
      <w:r>
        <w:rPr>
          <w:rFonts w:ascii="Times New Roman" w:hAnsi="Times New Roman" w:cs="Times New Roman"/>
          <w:b/>
          <w:bCs/>
          <w:iCs/>
          <w:color w:val="ff0000"/>
          <w:sz w:val="28"/>
          <w:szCs w:val="28"/>
        </w:rPr>
        <w:t xml:space="preserve">РЕШЕНИЕ</w:t>
      </w:r>
      <w:r>
        <w:rPr>
          <w:rFonts w:ascii="Times New Roman" w:hAnsi="Times New Roman" w:cs="Times New Roman"/>
          <w:bCs/>
          <w:iCs/>
          <w:color w:val="ff0000"/>
          <w:sz w:val="28"/>
          <w:szCs w:val="28"/>
        </w:rPr>
      </w:r>
      <w:r>
        <w:rPr>
          <w:rFonts w:ascii="Times New Roman" w:hAnsi="Times New Roman" w:cs="Times New Roman"/>
          <w:bCs/>
          <w:iCs/>
          <w:color w:val="ff0000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0000ff"/>
          <w:sz w:val="24"/>
          <w:szCs w:val="24"/>
        </w:rPr>
        <w:t xml:space="preserve">«</w:t>
      </w:r>
      <w:r>
        <w:rPr>
          <w:rFonts w:ascii="Times New Roman" w:hAnsi="Times New Roman" w:cs="Times New Roman"/>
          <w:color w:val="0000ff"/>
          <w:sz w:val="24"/>
          <w:szCs w:val="24"/>
          <w:u w:val="none"/>
        </w:rPr>
        <w:t xml:space="preserve">____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» </w:t>
      </w:r>
      <w:r>
        <w:rPr>
          <w:rFonts w:ascii="Times New Roman" w:hAnsi="Times New Roman" w:cs="Times New Roman"/>
          <w:color w:val="0000ff"/>
          <w:sz w:val="24"/>
          <w:szCs w:val="24"/>
          <w:u w:val="none"/>
        </w:rPr>
        <w:t xml:space="preserve">_______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2026 года </w:t>
      </w:r>
      <w:r>
        <w:rPr>
          <w:rFonts w:ascii="Times New Roman" w:hAnsi="Times New Roman" w:cs="Times New Roman"/>
          <w:color w:val="0000ff"/>
          <w:sz w:val="24"/>
          <w:szCs w:val="24"/>
        </w:rPr>
        <w:tab/>
      </w:r>
      <w:r>
        <w:rPr>
          <w:rFonts w:ascii="Times New Roman" w:hAnsi="Times New Roman" w:cs="Times New Roman"/>
          <w:color w:val="0000ff"/>
          <w:sz w:val="24"/>
          <w:szCs w:val="24"/>
        </w:rPr>
        <w:tab/>
      </w:r>
      <w:r>
        <w:rPr>
          <w:rFonts w:ascii="Times New Roman" w:hAnsi="Times New Roman" w:cs="Times New Roman"/>
          <w:color w:val="0000ff"/>
          <w:sz w:val="24"/>
          <w:szCs w:val="24"/>
        </w:rPr>
        <w:tab/>
      </w:r>
      <w:r>
        <w:rPr>
          <w:rFonts w:ascii="Times New Roman" w:hAnsi="Times New Roman" w:cs="Times New Roman"/>
          <w:color w:val="0000ff"/>
          <w:sz w:val="24"/>
          <w:szCs w:val="24"/>
        </w:rPr>
        <w:tab/>
      </w:r>
      <w:r>
        <w:rPr>
          <w:rFonts w:ascii="Times New Roman" w:hAnsi="Times New Roman" w:cs="Times New Roman"/>
          <w:color w:val="0000ff"/>
          <w:sz w:val="24"/>
          <w:szCs w:val="24"/>
        </w:rPr>
        <w:tab/>
      </w:r>
      <w:r>
        <w:rPr>
          <w:rFonts w:ascii="Times New Roman" w:hAnsi="Times New Roman" w:cs="Times New Roman"/>
          <w:color w:val="0000ff"/>
          <w:sz w:val="24"/>
          <w:szCs w:val="24"/>
        </w:rPr>
        <w:tab/>
        <w:t xml:space="preserve">                               № </w:t>
      </w:r>
      <w:r>
        <w:rPr>
          <w:rFonts w:ascii="Times New Roman" w:hAnsi="Times New Roman" w:cs="Times New Roman"/>
          <w:color w:val="0000ff"/>
          <w:sz w:val="24"/>
          <w:szCs w:val="24"/>
          <w:u w:val="none"/>
        </w:rPr>
        <w:t xml:space="preserve">_</w:t>
      </w:r>
      <w:r>
        <w:rPr>
          <w:rFonts w:ascii="Times New Roman" w:hAnsi="Times New Roman" w:cs="Times New Roman"/>
          <w:color w:val="0000ff"/>
          <w:sz w:val="24"/>
          <w:szCs w:val="24"/>
          <w:u w:val="none"/>
        </w:rPr>
        <w:t xml:space="preserve">___</w:t>
      </w:r>
      <w:r>
        <w:rPr>
          <w:rFonts w:ascii="Times New Roman" w:hAnsi="Times New Roman" w:cs="Times New Roman"/>
          <w:color w:val="0000ff"/>
          <w:sz w:val="24"/>
          <w:szCs w:val="24"/>
          <w:u w:val="none"/>
        </w:rPr>
        <w:t xml:space="preserve">_</w:t>
      </w:r>
      <w:r>
        <w:rPr>
          <w:rFonts w:ascii="Times New Roman" w:hAnsi="Times New Roman" w:cs="Times New Roman"/>
          <w:color w:val="0000ff"/>
          <w:sz w:val="24"/>
          <w:szCs w:val="24"/>
        </w:rPr>
      </w:r>
      <w:r>
        <w:rPr>
          <w:rFonts w:ascii="Times New Roman" w:hAnsi="Times New Roman" w:cs="Times New Roman"/>
          <w:color w:val="0000ff"/>
          <w:sz w:val="24"/>
          <w:szCs w:val="24"/>
        </w:rPr>
      </w:r>
    </w:p>
    <w:p>
      <w:pPr>
        <w:ind w:left="0" w:right="5952"/>
        <w:jc w:val="both"/>
        <w:keepNext/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  <w:outlineLvl w:val="1"/>
      </w:pP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</w:p>
    <w:p>
      <w:pPr>
        <w:ind w:left="0" w:right="5952"/>
        <w:jc w:val="both"/>
        <w:keepNext/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  <w:outlineLvl w:val="1"/>
      </w:pP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  <w:t xml:space="preserve">О внесении изменений в решение Думы города </w:t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  <w:t xml:space="preserve">Мегиона</w:t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  <w:t xml:space="preserve"> от 12.12.2025 №42 «О бюджете городского округа </w:t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  <w:t xml:space="preserve">Мегион</w:t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  <w:t xml:space="preserve"> Ханты-Мансийского автономного округа – Югры на 2026 год и плановый период 2027 и 2028 годов» (с изменениями)</w:t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</w:p>
    <w:p>
      <w:pPr>
        <w:ind w:left="0" w:right="5952"/>
        <w:jc w:val="both"/>
        <w:keepNext/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  <w:outlineLvl w:val="1"/>
      </w:pP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</w:p>
    <w:p>
      <w:pPr>
        <w:ind w:left="0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w:tab/>
        <w:t xml:space="preserve">Рассмотрев проект решения Думы города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Мегиона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  <w:t xml:space="preserve">«О внесении изменений в решение Думы </w:t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  <w:t xml:space="preserve">города </w:t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  <w:t xml:space="preserve">Мегиона</w:t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  <w:t xml:space="preserve"> от 12.12.2025 №42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«О бюджете городского округа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Мегион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 Ханты-Мансийского автономного округа – Югры на 2026 год и плановый период 2027 и 2028 годов», в соответствии с Бюджетным кодексом Российской Федерации, руководствуясь статьями 19, 49, 52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устава города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Мегиона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, Дума города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Мегиона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</w:p>
    <w:p>
      <w:pPr>
        <w:ind w:left="0"/>
        <w:jc w:val="both"/>
        <w:tabs>
          <w:tab w:val="left" w:pos="709" w:leader="none"/>
        </w:tabs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</w:p>
    <w:p>
      <w:pPr>
        <w:tabs>
          <w:tab w:val="left" w:pos="709" w:leader="none"/>
        </w:tabs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РЕШИЛА: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1. Внести в решение Думы города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Мегиона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  <w:t xml:space="preserve">от 12.12.2025 №42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«О бюджете городского округа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Мегион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 Ханты-Мансийского автономного округа – Югры на 2026 год и плановый период 2027 и 2028 годов» </w:t>
      </w:r>
      <w:r>
        <w:rPr>
          <w:rFonts w:ascii="Times New Roman" w:hAnsi="Times New Roman" w:eastAsia="Calibri" w:cs="Times New Roman"/>
          <w:sz w:val="24"/>
          <w:szCs w:val="24"/>
        </w:rPr>
        <w:t xml:space="preserve">следующие измен</w:t>
      </w:r>
      <w:r>
        <w:rPr>
          <w:rFonts w:ascii="Times New Roman" w:hAnsi="Times New Roman" w:eastAsia="Calibri" w:cs="Times New Roman"/>
          <w:sz w:val="24"/>
          <w:szCs w:val="24"/>
        </w:rPr>
        <w:t xml:space="preserve">ения: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1) в пункте 1: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а) подпункт 1 изложить в следующей редакции: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«1)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прогнозируемый общий объем доходов бюджета городского округа в сумме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        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7 668 025,1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ты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с. рублей согласно приложению 1 к настоящему решению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;»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б) под</w:t>
      </w:r>
      <w:r>
        <w:rPr>
          <w:rFonts w:ascii="Times New Roman" w:hAnsi="Times New Roman" w:eastAsia="Calibri" w:cs="Times New Roman"/>
          <w:sz w:val="24"/>
          <w:szCs w:val="24"/>
        </w:rPr>
        <w:t xml:space="preserve">пункт 2 изложить в следующей редакции: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«2) общий объем расходов бюджета городского округа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в сумме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val="en-US"/>
        </w:rPr>
        <w:t xml:space="preserve">7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val="ru-RU"/>
        </w:rPr>
        <w:t xml:space="preserve">844 348,4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val="ru-RU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ты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с. рублей;»;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в) подпункт 3 изложить в следующей редакции: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«3) дефицит бюджета городского округа в сум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ме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176 323,3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тыс. рублей;»;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8"/>
        <w:jc w:val="both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г) подпунк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т 4 изложить в следующей редакции:</w:t>
      </w:r>
      <w:r>
        <w:rPr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«4) верхний предел муниципального внутреннего д</w:t>
      </w:r>
      <w:bookmarkStart w:id="0" w:name="_GoBack"/>
      <w:r>
        <w:rPr>
          <w:highlight w:val="white"/>
        </w:rPr>
      </w:r>
      <w:bookmarkEnd w:id="0"/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олга городского округа на 1 января 2027 года в сумме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536 616,9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тыс. рублей, в том числе, верхний предел долга по муниципальным гарантиям городского округа в сумме 0,00 тыс. р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ублей;».</w:t>
      </w:r>
      <w:r>
        <w:rPr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2)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в пункте 2: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а)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подпункт 2 изложить в следующей редакции: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«2)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общий объем расходов бюджета городского округа на 2027 год в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сумме 6 851 631,2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тыс. рублей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и на 2028 год в сумме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6 977 514,5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тыс. рублей, в том числе, условно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утвержденные расходы на 2027 год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в сумме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88 826,0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тыс. рублей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и на 2028 год в сумме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188 080,0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ты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с. ру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блей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;»;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б) по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дпункт 3 изложить в следующей редакции: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«3)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дефицит бюджета городского округа на 2027 год в сумме 109 694,4 тыс. рублей и на 2028 го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д в сумме 127 502,4 тыс. рублей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;»;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в) подпункт 4 изложить в следующей редакции:</w:t>
      </w:r>
      <w:r>
        <w:rPr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«4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) верхний предел муниципального внутреннего долга городского округа на 1 января 2028 года в сумме 646 311,3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тыс. рублей и на 1 января 2029 года в сумме 773 813,7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тыс. руб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лей,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в том числе, предельный объем обязательств по муниципальным гарантиям городского округа на 1 января 2028 года в сумме 0,0 тыс. рублей и на 1 января 2029 года в сумме 0,0 тыс. рублей;»;</w:t>
      </w:r>
      <w:r/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3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)</w:t>
      </w:r>
      <w:r>
        <w:rPr>
          <w:rFonts w:ascii="Calibri" w:hAnsi="Calibri" w:eastAsia="Calibri" w:cs="Times New Roman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приложение 3 «Распределение бюджетных ассигнований по</w:t>
      </w:r>
      <w:r>
        <w:rPr>
          <w:rFonts w:ascii="Times New Roman" w:hAnsi="Times New Roman" w:eastAsia="Calibri" w:cs="Times New Roman"/>
          <w:sz w:val="24"/>
          <w:szCs w:val="24"/>
        </w:rPr>
        <w:t xml:space="preserve"> разделам, подразделам, целевым статьям (муниципальным программам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городского округа</w:t>
      </w:r>
      <w:r>
        <w:rPr>
          <w:rFonts w:ascii="Times New Roman" w:hAnsi="Times New Roman" w:eastAsia="Calibri" w:cs="Times New Roman"/>
          <w:sz w:val="24"/>
          <w:szCs w:val="24"/>
        </w:rPr>
        <w:t xml:space="preserve"> и непрограммным направлениям деятельности), группам и подгруппам видов расходов классификации расходов бюджета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городского округа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Мегион</w:t>
      </w:r>
      <w: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 xml:space="preserve">Ханты-Мансийского автономного округа</w:t>
      </w:r>
      <w:r>
        <w:rPr>
          <w:rFonts w:ascii="Times New Roman" w:hAnsi="Times New Roman" w:eastAsia="Calibri" w:cs="Times New Roman"/>
          <w:sz w:val="24"/>
          <w:szCs w:val="24"/>
        </w:rPr>
        <w:t xml:space="preserve"> – Югры на 2026 год» изложить в редакции согласно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приложению 2 к настоящему решению; </w:t>
      </w:r>
      <w:r/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 w:cs="Times New Roman"/>
          <w:sz w:val="24"/>
          <w:szCs w:val="24"/>
        </w:rPr>
        <w:t xml:space="preserve">4)</w:t>
      </w:r>
      <w:r>
        <w:rPr>
          <w:rFonts w:ascii="Times New Roman" w:hAnsi="Times New Roman" w:eastAsia="Calibri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eastAsia="Calibri" w:cs="Times New Roman"/>
          <w:sz w:val="24"/>
          <w:szCs w:val="24"/>
        </w:rPr>
        <w:t xml:space="preserve">4</w:t>
      </w:r>
      <w:r>
        <w:rPr>
          <w:rFonts w:ascii="Times New Roman" w:hAnsi="Times New Roman" w:eastAsia="Calibri" w:cs="Times New Roman"/>
          <w:sz w:val="24"/>
          <w:szCs w:val="24"/>
        </w:rPr>
        <w:t xml:space="preserve"> «Распределение бюджетных ассигнований по разделам, подразделам, целевым статьям (муниципальным программам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городского округа</w:t>
      </w:r>
      <w:r>
        <w:rPr>
          <w:rFonts w:ascii="Times New Roman" w:hAnsi="Times New Roman" w:eastAsia="Calibri" w:cs="Times New Roman"/>
          <w:sz w:val="24"/>
          <w:szCs w:val="24"/>
        </w:rPr>
        <w:t xml:space="preserve"> и непрограммным направлениям де</w:t>
      </w:r>
      <w:r>
        <w:rPr>
          <w:rFonts w:ascii="Times New Roman" w:hAnsi="Times New Roman" w:eastAsia="Calibri" w:cs="Times New Roman"/>
          <w:sz w:val="24"/>
          <w:szCs w:val="24"/>
        </w:rPr>
        <w:t xml:space="preserve">ятельности), группам и подгруппам видов расходов классификации расходов бюджета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городского округа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Мегион</w:t>
      </w:r>
      <w: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 xml:space="preserve">Ханты-Мансийского автономного округа – Югры на плановый период 2027 и 2028 годов» изложить в редакции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согласно приложению 3 к настоящему решению; </w:t>
      </w:r>
      <w:r>
        <w:rPr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5)п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риложение 5 «Распределение бюджетных ассигнований по целевым статьям (муниципальным программам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ru-RU"/>
        </w:rPr>
        <w:t xml:space="preserve">городского округа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и непрограммным направлениям деятельности), группам и подгруппам видов расходов классификации расходов бюджета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ru-RU"/>
        </w:rPr>
        <w:t xml:space="preserve">городского округа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Мегион</w:t>
      </w:r>
      <w:r>
        <w:rPr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Ханты-Мансийского автономного округа – Югры на 2026 год» изложить в редакции согласно приложению 4 к настоящему решению;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6)приложение 6 «Распределение бюджетных ассигнований по целевым статьям (муниципальным программам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ru-RU"/>
        </w:rPr>
        <w:t xml:space="preserve">городского округа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и непрограммным нап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равлениям деятельности), группам и подгруппам видов расходов классификации расходов бюджета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ru-RU"/>
        </w:rPr>
        <w:t xml:space="preserve">городского округа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Мегион</w:t>
      </w:r>
      <w:r>
        <w:rPr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Ханты-Мансийского автономного округа – Югры на плановый период 2027 и 2028 годов» изложить в редакции согласно приложению 5 к настоящему ре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шению;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7)приложение 7 «Распределение бюджетных ассигнований по разделам, подразделам классификации расходов бюджета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ru-RU"/>
        </w:rPr>
        <w:t xml:space="preserve">городского округа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Мегион</w:t>
      </w:r>
      <w:r>
        <w:rPr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Ханты-Мансийского автономного округа – Югры на 2026 год» изложить в редакции согласно приложению 6 к настоящему реш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ению;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</w:tabs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8)приложение 8 «Распределение бюджетных ассигнований по разделам, подразделам классификации расходов бюджета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ru-RU"/>
        </w:rPr>
        <w:t xml:space="preserve">городского округа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Мегион</w:t>
      </w:r>
      <w:r>
        <w:rPr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Ханты-Мансийского автономного округа – Югры на плановый период 2027 и 2028 годов» изложить в редакции согласно прило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жению 7 к настоящему решению;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9) приложение 9 «Ведомственная структура расходов бюджета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ru-RU"/>
        </w:rPr>
        <w:t xml:space="preserve">городского округа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Мегион</w:t>
      </w:r>
      <w:r>
        <w:rPr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Ханты-Мансийского автономного округа – Югры, в том числе, в её составе перечень главных распорядителей средств бюджета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ru-RU"/>
        </w:rPr>
        <w:t xml:space="preserve">городского округа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Мегион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на 2026 год» изложить в редакции согласно приложению 8 к настоящему решению;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10) приложение 10 «Ведомственная структура расходов бюджета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ru-RU"/>
        </w:rPr>
        <w:t xml:space="preserve">городского округа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Мегион</w:t>
      </w:r>
      <w:r>
        <w:rPr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Ханты-Мансийского автономного округа – Югры, в том числе, в её составе перечень главных распо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рядителей средств бюджета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ru-RU"/>
        </w:rPr>
        <w:t xml:space="preserve">городского округа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Мегион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на плановый период 2027 и 2028 годов» изложить в редакции согласно приложению 9 к настоящему решению;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11) приложение 11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«Источники внутреннего финансирования дефицита бюджета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ru-RU"/>
        </w:rPr>
        <w:t xml:space="preserve">городского округа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Мегион</w:t>
      </w:r>
      <w:r>
        <w:rPr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Ханты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-Мансийского автономного округа – Югры на 2026 год» изложить в редакции согласно приложению 10 к настоящему решению;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12)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приложение 12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«Источники внутреннего финансирования дефицита бюджета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ru-RU"/>
        </w:rPr>
        <w:t xml:space="preserve">городского округа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Мегион</w:t>
      </w:r>
      <w:r>
        <w:rPr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Ханты-Мансийского автономного округа – Югр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ы на плановый период 2027 и 2028 годов» изложить в редакции согласно приложению 11 к настоящему решению;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13) приложение 13 «Программа муниципальных внутренних заимствований </w:t>
      </w:r>
      <w:r>
        <w:rPr>
          <w:rFonts w:ascii="Times New Roman" w:hAnsi="Times New Roman" w:eastAsia="Calibri" w:cs="Times New Roman"/>
          <w:sz w:val="24"/>
          <w:szCs w:val="24"/>
          <w:highlight w:val="white"/>
          <w:lang w:eastAsia="ru-RU"/>
        </w:rPr>
        <w:t xml:space="preserve">городского округа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Мегион</w:t>
      </w:r>
      <w:r>
        <w:rPr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Ханты-Мансийского автономного округа – Югры на 2026 год» и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зложить в редакции согласно приложению 12 к настоящему решению;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14) приложение 14 «Программа муниципальных внутренних заимствований городского округа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Мегион</w:t>
      </w:r>
      <w:r>
        <w:rPr>
          <w:rFonts w:ascii="Calibri" w:hAnsi="Calibri" w:eastAsia="Calibri" w:cs="Calibri"/>
          <w:color w:val="000000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Ханты-Мансийского автономного округа – Югры на плановый период 2027 и 2028 годов» изложить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в редакции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согласно приложению 13 к настоящему решению;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0"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15) приложение 15 «Случаи предоставления из бюджета городского округа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Мегион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 Ханты-Мансийского автономного округа – Югры на 2026 год и плановый период 2027 и 2028 годов субсидий юридическим лицам (за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 исключением субсидий муниципальным учреждениям), индивидуальным предпринимателям, физическим лицам – производителям товаров, работ, услуг» изложить в редакции согласно приложению 14 к настоящему решению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left="0" w:firstLine="709"/>
        <w:jc w:val="both"/>
        <w:rPr>
          <w:rFonts w:ascii="Times New Roman" w:hAnsi="Times New Roman" w:eastAsia="Calibri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16)</w:t>
      </w:r>
      <w:r>
        <w:rPr>
          <w:rFonts w:ascii="Times New Roman" w:hAnsi="Times New Roman" w:eastAsia="Calibri" w:cs="Times New Roman"/>
          <w:sz w:val="24"/>
          <w:szCs w:val="24"/>
        </w:rPr>
        <w:t xml:space="preserve"> подпункт 1 пункта 12 изложить в следующей редакц</w:t>
      </w:r>
      <w:r>
        <w:rPr>
          <w:rFonts w:ascii="Times New Roman" w:hAnsi="Times New Roman" w:eastAsia="Calibri" w:cs="Times New Roman"/>
          <w:sz w:val="24"/>
          <w:szCs w:val="24"/>
        </w:rPr>
        <w:t xml:space="preserve">ии: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color w:val="ff0000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«1) на 2026 год в сумме 82 668,6 тыс. рублей;»;</w:t>
      </w:r>
      <w:r>
        <w:rPr>
          <w:rFonts w:ascii="Times New Roman" w:hAnsi="Times New Roman" w:eastAsia="Calibri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color w:val="ff0000"/>
          <w:sz w:val="24"/>
          <w:szCs w:val="24"/>
        </w:rPr>
      </w:r>
      <w:r>
        <w:rPr>
          <w:rFonts w:ascii="Times New Roman" w:hAnsi="Times New Roman" w:eastAsia="Calibri" w:cs="Times New Roman"/>
          <w:color w:val="ff0000"/>
          <w:sz w:val="24"/>
          <w:szCs w:val="24"/>
        </w:rPr>
      </w:r>
    </w:p>
    <w:p>
      <w:pPr>
        <w:ind w:left="0" w:firstLine="709"/>
        <w:jc w:val="both"/>
        <w:rPr>
          <w:rFonts w:ascii="Times New Roman" w:hAnsi="Times New Roman" w:eastAsia="Calibri" w:cs="Times New Roman"/>
          <w:color w:val="ff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17)</w:t>
      </w:r>
      <w:r>
        <w:rPr>
          <w:rFonts w:ascii="Times New Roman" w:hAnsi="Times New Roman" w:eastAsia="Calibri" w:cs="Times New Roman"/>
          <w:sz w:val="24"/>
          <w:szCs w:val="24"/>
        </w:rPr>
        <w:t xml:space="preserve"> подпункт 1 пункта 13 изложить в следующей редакции: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color w:val="ff0000"/>
          <w:sz w:val="24"/>
          <w:szCs w:val="24"/>
        </w:rPr>
      </w:r>
      <w:r>
        <w:rPr>
          <w:rFonts w:ascii="Times New Roman" w:hAnsi="Times New Roman" w:eastAsia="Calibri" w:cs="Times New Roman"/>
          <w:color w:val="ff0000"/>
          <w:sz w:val="24"/>
          <w:szCs w:val="24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«1) на 2026 год в сумме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455 842,5 тыс. ру</w:t>
      </w:r>
      <w:r>
        <w:rPr>
          <w:rFonts w:ascii="Times New Roman" w:hAnsi="Times New Roman" w:eastAsia="Calibri" w:cs="Times New Roman"/>
          <w:sz w:val="24"/>
          <w:szCs w:val="24"/>
        </w:rPr>
        <w:t xml:space="preserve">блей;»;</w:t>
      </w:r>
      <w:r>
        <w:rPr>
          <w:rFonts w:ascii="Times New Roman" w:hAnsi="Times New Roman" w:eastAsia="Calibri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left="0" w:firstLine="709"/>
        <w:jc w:val="both"/>
        <w:rPr>
          <w:rFonts w:ascii="Times New Roman" w:hAnsi="Times New Roman" w:eastAsia="Calibri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 w:cs="Times New Roman"/>
          <w:sz w:val="24"/>
          <w:szCs w:val="24"/>
        </w:rPr>
        <w:t xml:space="preserve">18) подпункт 1 пункта 14 изложить в следующей редакции: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«1) на 2026 год в сумме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4 825 441,8 ты</w:t>
      </w:r>
      <w:r>
        <w:rPr>
          <w:rFonts w:ascii="Times New Roman" w:hAnsi="Times New Roman" w:eastAsia="Calibri" w:cs="Times New Roman"/>
          <w:sz w:val="24"/>
          <w:szCs w:val="24"/>
        </w:rPr>
        <w:t xml:space="preserve">с. рублей;»;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19) в пункте 16: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а) в подпункте 1 цифры «20 000,0» заменить цифрами «0,0»;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б) в подпункте 2 цифры «9 150,0» заменить цифрами «0,0»;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в) в подпункте 3 цифры «3 000,0» заменить цифрами «12 444,7».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left="0" w:firstLine="709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 w:eastAsia="Calibri" w:cs="Times New Roman"/>
          <w:sz w:val="24"/>
          <w:szCs w:val="24"/>
          <w:highlight w:val="yellow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 Настоящее решение вступает в силу после его официального опубликования.</w:t>
      </w:r>
      <w:r>
        <w:rPr>
          <w:rFonts w:ascii="Times New Roman" w:hAnsi="Times New Roman" w:eastAsia="Calibri" w:cs="Times New Roman"/>
          <w:sz w:val="24"/>
          <w:szCs w:val="24"/>
          <w:highlight w:val="yellow"/>
        </w:rPr>
      </w:r>
      <w:r>
        <w:rPr>
          <w:rFonts w:ascii="Times New Roman" w:hAnsi="Times New Roman" w:eastAsia="Calibri" w:cs="Times New Roman"/>
          <w:sz w:val="24"/>
          <w:szCs w:val="24"/>
          <w:highlight w:val="yellow"/>
        </w:rPr>
      </w:r>
    </w:p>
    <w:p>
      <w:pPr>
        <w:ind w:left="0"/>
        <w:jc w:val="both"/>
        <w:tabs>
          <w:tab w:val="left" w:pos="851" w:leader="none"/>
        </w:tabs>
        <w:rPr>
          <w:rFonts w:ascii="Times New Roman" w:hAnsi="Times New Roman" w:eastAsia="Times New Roman" w:cs="Times New Roman"/>
          <w:sz w:val="24"/>
          <w:szCs w:val="24"/>
          <w:highlight w:val="yellow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</w:p>
    <w:p>
      <w:pPr>
        <w:ind w:left="0"/>
        <w:jc w:val="both"/>
        <w:tabs>
          <w:tab w:val="left" w:pos="851" w:leader="none"/>
        </w:tabs>
        <w:rPr>
          <w:rFonts w:ascii="Times New Roman" w:hAnsi="Times New Roman" w:eastAsia="Times New Roman" w:cs="Times New Roman"/>
          <w:sz w:val="24"/>
          <w:szCs w:val="24"/>
          <w:highlight w:val="yellow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</w:p>
    <w:tbl>
      <w:tblPr>
        <w:tblStyle w:val="878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ind w:lef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Председатель Думы города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Мегиона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     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ind w:lef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ind w:lef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ind w:lef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__________________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В.С.Заднепровская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ind w:lef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ind w:left="0"/>
              <w:jc w:val="left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г.Мегион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ind w:left="0"/>
              <w:jc w:val="left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ind w:left="0"/>
              <w:jc w:val="left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«____»________2026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ind w:left="0"/>
              <w:jc w:val="left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 Глава города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Мегиона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ind w:lef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             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ind w:lef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  ___________________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А.В.Петриченко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ind w:lef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ind w:lef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 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г.Мегион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ind w:lef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ind w:lef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 «____»________2026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</w:tc>
      </w:tr>
    </w:tbl>
    <w:p>
      <w:pPr>
        <w:ind w:left="0"/>
        <w:jc w:val="both"/>
        <w:rPr>
          <w:rFonts w:ascii="Times New Roman" w:hAnsi="Times New Roman" w:eastAsia="Calibri" w:cs="Times New Roman"/>
          <w:sz w:val="24"/>
          <w:szCs w:val="24"/>
          <w:highlight w:val="yellow"/>
        </w:rPr>
      </w:pPr>
      <w:r>
        <w:rPr>
          <w:rFonts w:ascii="Times New Roman" w:hAnsi="Times New Roman" w:eastAsia="Calibri" w:cs="Times New Roman"/>
          <w:sz w:val="24"/>
          <w:szCs w:val="24"/>
          <w:highlight w:val="yellow"/>
        </w:rPr>
      </w:r>
      <w:r>
        <w:rPr>
          <w:rFonts w:ascii="Times New Roman" w:hAnsi="Times New Roman" w:eastAsia="Calibri" w:cs="Times New Roman"/>
          <w:sz w:val="24"/>
          <w:szCs w:val="24"/>
          <w:highlight w:val="yellow"/>
        </w:rPr>
      </w:r>
      <w:r>
        <w:rPr>
          <w:rFonts w:ascii="Times New Roman" w:hAnsi="Times New Roman" w:eastAsia="Calibri" w:cs="Times New Roman"/>
          <w:sz w:val="24"/>
          <w:szCs w:val="24"/>
          <w:highlight w:val="yellow"/>
        </w:rPr>
      </w:r>
    </w:p>
    <w:sectPr>
      <w:headerReference w:type="default" r:id="rId8"/>
      <w:footnotePr/>
      <w:endnotePr/>
      <w:type w:val="nextPage"/>
      <w:pgSz w:w="11906" w:h="16838" w:orient="portrait"/>
      <w:pgMar w:top="426" w:right="567" w:bottom="851" w:left="1701" w:header="567" w:footer="567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994373315"/>
      <w:docPartObj>
        <w:docPartGallery w:val="Page Numbers (Top of Page)"/>
        <w:docPartUnique w:val="true"/>
      </w:docPartObj>
      <w:rPr/>
    </w:sdtPr>
    <w:sdtContent>
      <w:p>
        <w:pPr>
          <w:pStyle w:val="870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dit="readOnly" w:formatting="1" w:enforcement="0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4">
    <w:name w:val="Caption Char"/>
    <w:basedOn w:val="685"/>
    <w:link w:val="724"/>
    <w:uiPriority w:val="35"/>
    <w:rPr>
      <w:b/>
      <w:bCs/>
      <w:color w:val="4f81bd" w:themeColor="accent1"/>
      <w:sz w:val="18"/>
      <w:szCs w:val="18"/>
    </w:rPr>
  </w:style>
  <w:style w:type="paragraph" w:styleId="675" w:default="1">
    <w:name w:val="Normal"/>
    <w:pPr>
      <w:ind w:left="-108"/>
      <w:jc w:val="center"/>
      <w:spacing w:after="0" w:line="240" w:lineRule="auto"/>
    </w:pPr>
  </w:style>
  <w:style w:type="paragraph" w:styleId="676">
    <w:name w:val="Heading 1"/>
    <w:basedOn w:val="675"/>
    <w:next w:val="675"/>
    <w:link w:val="70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77">
    <w:name w:val="Heading 2"/>
    <w:basedOn w:val="675"/>
    <w:next w:val="675"/>
    <w:link w:val="70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8">
    <w:name w:val="Heading 3"/>
    <w:basedOn w:val="675"/>
    <w:next w:val="675"/>
    <w:link w:val="70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9">
    <w:name w:val="Heading 4"/>
    <w:basedOn w:val="675"/>
    <w:next w:val="675"/>
    <w:link w:val="70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0">
    <w:name w:val="Heading 5"/>
    <w:basedOn w:val="675"/>
    <w:next w:val="675"/>
    <w:link w:val="70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1">
    <w:name w:val="Heading 6"/>
    <w:basedOn w:val="675"/>
    <w:next w:val="675"/>
    <w:link w:val="70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82">
    <w:name w:val="Heading 7"/>
    <w:basedOn w:val="675"/>
    <w:next w:val="675"/>
    <w:link w:val="70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83">
    <w:name w:val="Heading 8"/>
    <w:basedOn w:val="675"/>
    <w:next w:val="675"/>
    <w:link w:val="71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84">
    <w:name w:val="Heading 9"/>
    <w:basedOn w:val="675"/>
    <w:next w:val="675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5" w:default="1">
    <w:name w:val="Default Paragraph Font"/>
    <w:uiPriority w:val="1"/>
    <w:semiHidden/>
    <w:unhideWhenUsed/>
  </w:style>
  <w:style w:type="table" w:styleId="68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7" w:default="1">
    <w:name w:val="No List"/>
    <w:uiPriority w:val="99"/>
    <w:semiHidden/>
    <w:unhideWhenUsed/>
  </w:style>
  <w:style w:type="character" w:styleId="688" w:customStyle="1">
    <w:name w:val="Heading 1 Char"/>
    <w:basedOn w:val="685"/>
    <w:uiPriority w:val="9"/>
    <w:rPr>
      <w:rFonts w:ascii="Arial" w:hAnsi="Arial" w:eastAsia="Arial" w:cs="Arial"/>
      <w:sz w:val="40"/>
      <w:szCs w:val="40"/>
    </w:rPr>
  </w:style>
  <w:style w:type="character" w:styleId="689" w:customStyle="1">
    <w:name w:val="Heading 2 Char"/>
    <w:basedOn w:val="685"/>
    <w:uiPriority w:val="9"/>
    <w:rPr>
      <w:rFonts w:ascii="Arial" w:hAnsi="Arial" w:eastAsia="Arial" w:cs="Arial"/>
      <w:sz w:val="34"/>
    </w:rPr>
  </w:style>
  <w:style w:type="character" w:styleId="690" w:customStyle="1">
    <w:name w:val="Heading 3 Char"/>
    <w:basedOn w:val="685"/>
    <w:uiPriority w:val="9"/>
    <w:rPr>
      <w:rFonts w:ascii="Arial" w:hAnsi="Arial" w:eastAsia="Arial" w:cs="Arial"/>
      <w:sz w:val="30"/>
      <w:szCs w:val="30"/>
    </w:rPr>
  </w:style>
  <w:style w:type="character" w:styleId="691" w:customStyle="1">
    <w:name w:val="Heading 4 Char"/>
    <w:basedOn w:val="685"/>
    <w:uiPriority w:val="9"/>
    <w:rPr>
      <w:rFonts w:ascii="Arial" w:hAnsi="Arial" w:eastAsia="Arial" w:cs="Arial"/>
      <w:b/>
      <w:bCs/>
      <w:sz w:val="26"/>
      <w:szCs w:val="26"/>
    </w:rPr>
  </w:style>
  <w:style w:type="character" w:styleId="692" w:customStyle="1">
    <w:name w:val="Heading 5 Char"/>
    <w:basedOn w:val="685"/>
    <w:uiPriority w:val="9"/>
    <w:rPr>
      <w:rFonts w:ascii="Arial" w:hAnsi="Arial" w:eastAsia="Arial" w:cs="Arial"/>
      <w:b/>
      <w:bCs/>
      <w:sz w:val="24"/>
      <w:szCs w:val="24"/>
    </w:rPr>
  </w:style>
  <w:style w:type="character" w:styleId="693" w:customStyle="1">
    <w:name w:val="Heading 6 Char"/>
    <w:basedOn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94" w:customStyle="1">
    <w:name w:val="Heading 7 Char"/>
    <w:basedOn w:val="68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5" w:customStyle="1">
    <w:name w:val="Heading 8 Char"/>
    <w:basedOn w:val="685"/>
    <w:uiPriority w:val="9"/>
    <w:rPr>
      <w:rFonts w:ascii="Arial" w:hAnsi="Arial" w:eastAsia="Arial" w:cs="Arial"/>
      <w:i/>
      <w:iCs/>
      <w:sz w:val="22"/>
      <w:szCs w:val="22"/>
    </w:rPr>
  </w:style>
  <w:style w:type="character" w:styleId="696" w:customStyle="1">
    <w:name w:val="Heading 9 Char"/>
    <w:basedOn w:val="685"/>
    <w:uiPriority w:val="9"/>
    <w:rPr>
      <w:rFonts w:ascii="Arial" w:hAnsi="Arial" w:eastAsia="Arial" w:cs="Arial"/>
      <w:i/>
      <w:iCs/>
      <w:sz w:val="21"/>
      <w:szCs w:val="21"/>
    </w:rPr>
  </w:style>
  <w:style w:type="character" w:styleId="697" w:customStyle="1">
    <w:name w:val="Title Char"/>
    <w:basedOn w:val="685"/>
    <w:uiPriority w:val="10"/>
    <w:rPr>
      <w:sz w:val="48"/>
      <w:szCs w:val="48"/>
    </w:rPr>
  </w:style>
  <w:style w:type="character" w:styleId="698" w:customStyle="1">
    <w:name w:val="Subtitle Char"/>
    <w:basedOn w:val="685"/>
    <w:uiPriority w:val="11"/>
    <w:rPr>
      <w:sz w:val="24"/>
      <w:szCs w:val="24"/>
    </w:rPr>
  </w:style>
  <w:style w:type="character" w:styleId="699" w:customStyle="1">
    <w:name w:val="Quote Char"/>
    <w:uiPriority w:val="29"/>
    <w:rPr>
      <w:i/>
    </w:rPr>
  </w:style>
  <w:style w:type="character" w:styleId="700" w:customStyle="1">
    <w:name w:val="Intense Quote Char"/>
    <w:uiPriority w:val="30"/>
    <w:rPr>
      <w:i/>
    </w:rPr>
  </w:style>
  <w:style w:type="character" w:styleId="701" w:customStyle="1">
    <w:name w:val="Footnote Text Char"/>
    <w:uiPriority w:val="99"/>
    <w:rPr>
      <w:sz w:val="18"/>
    </w:rPr>
  </w:style>
  <w:style w:type="character" w:styleId="702" w:customStyle="1">
    <w:name w:val="Endnote Text Char"/>
    <w:uiPriority w:val="99"/>
    <w:rPr>
      <w:sz w:val="20"/>
    </w:rPr>
  </w:style>
  <w:style w:type="character" w:styleId="703" w:customStyle="1">
    <w:name w:val="Заголовок 1 Знак"/>
    <w:basedOn w:val="685"/>
    <w:link w:val="676"/>
    <w:uiPriority w:val="9"/>
    <w:rPr>
      <w:rFonts w:ascii="Arial" w:hAnsi="Arial" w:eastAsia="Arial" w:cs="Arial"/>
      <w:sz w:val="40"/>
      <w:szCs w:val="40"/>
    </w:rPr>
  </w:style>
  <w:style w:type="character" w:styleId="704" w:customStyle="1">
    <w:name w:val="Заголовок 2 Знак"/>
    <w:basedOn w:val="685"/>
    <w:link w:val="677"/>
    <w:uiPriority w:val="9"/>
    <w:rPr>
      <w:rFonts w:ascii="Arial" w:hAnsi="Arial" w:eastAsia="Arial" w:cs="Arial"/>
      <w:sz w:val="34"/>
    </w:rPr>
  </w:style>
  <w:style w:type="character" w:styleId="705" w:customStyle="1">
    <w:name w:val="Заголовок 3 Знак"/>
    <w:basedOn w:val="685"/>
    <w:link w:val="678"/>
    <w:uiPriority w:val="9"/>
    <w:rPr>
      <w:rFonts w:ascii="Arial" w:hAnsi="Arial" w:eastAsia="Arial" w:cs="Arial"/>
      <w:sz w:val="30"/>
      <w:szCs w:val="30"/>
    </w:rPr>
  </w:style>
  <w:style w:type="character" w:styleId="706" w:customStyle="1">
    <w:name w:val="Заголовок 4 Знак"/>
    <w:basedOn w:val="685"/>
    <w:link w:val="679"/>
    <w:uiPriority w:val="9"/>
    <w:rPr>
      <w:rFonts w:ascii="Arial" w:hAnsi="Arial" w:eastAsia="Arial" w:cs="Arial"/>
      <w:b/>
      <w:bCs/>
      <w:sz w:val="26"/>
      <w:szCs w:val="26"/>
    </w:rPr>
  </w:style>
  <w:style w:type="character" w:styleId="707" w:customStyle="1">
    <w:name w:val="Заголовок 5 Знак"/>
    <w:basedOn w:val="685"/>
    <w:link w:val="680"/>
    <w:uiPriority w:val="9"/>
    <w:rPr>
      <w:rFonts w:ascii="Arial" w:hAnsi="Arial" w:eastAsia="Arial" w:cs="Arial"/>
      <w:b/>
      <w:bCs/>
      <w:sz w:val="24"/>
      <w:szCs w:val="24"/>
    </w:rPr>
  </w:style>
  <w:style w:type="character" w:styleId="708" w:customStyle="1">
    <w:name w:val="Заголовок 6 Знак"/>
    <w:basedOn w:val="685"/>
    <w:link w:val="681"/>
    <w:uiPriority w:val="9"/>
    <w:rPr>
      <w:rFonts w:ascii="Arial" w:hAnsi="Arial" w:eastAsia="Arial" w:cs="Arial"/>
      <w:b/>
      <w:bCs/>
      <w:sz w:val="22"/>
      <w:szCs w:val="22"/>
    </w:rPr>
  </w:style>
  <w:style w:type="character" w:styleId="709" w:customStyle="1">
    <w:name w:val="Заголовок 7 Знак"/>
    <w:basedOn w:val="685"/>
    <w:link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0" w:customStyle="1">
    <w:name w:val="Заголовок 8 Знак"/>
    <w:basedOn w:val="685"/>
    <w:link w:val="683"/>
    <w:uiPriority w:val="9"/>
    <w:rPr>
      <w:rFonts w:ascii="Arial" w:hAnsi="Arial" w:eastAsia="Arial" w:cs="Arial"/>
      <w:i/>
      <w:iCs/>
      <w:sz w:val="22"/>
      <w:szCs w:val="22"/>
    </w:rPr>
  </w:style>
  <w:style w:type="character" w:styleId="711" w:customStyle="1">
    <w:name w:val="Заголовок 9 Знак"/>
    <w:basedOn w:val="685"/>
    <w:link w:val="684"/>
    <w:uiPriority w:val="9"/>
    <w:rPr>
      <w:rFonts w:ascii="Arial" w:hAnsi="Arial" w:eastAsia="Arial" w:cs="Arial"/>
      <w:i/>
      <w:iCs/>
      <w:sz w:val="21"/>
      <w:szCs w:val="21"/>
    </w:rPr>
  </w:style>
  <w:style w:type="paragraph" w:styleId="712">
    <w:name w:val="List Paragraph"/>
    <w:basedOn w:val="675"/>
    <w:uiPriority w:val="34"/>
    <w:qFormat/>
    <w:pPr>
      <w:contextualSpacing/>
      <w:ind w:left="720"/>
    </w:pPr>
  </w:style>
  <w:style w:type="paragraph" w:styleId="713">
    <w:name w:val="No Spacing"/>
    <w:uiPriority w:val="1"/>
    <w:qFormat/>
    <w:pPr>
      <w:spacing w:after="0" w:line="240" w:lineRule="auto"/>
    </w:pPr>
  </w:style>
  <w:style w:type="paragraph" w:styleId="714">
    <w:name w:val="Title"/>
    <w:basedOn w:val="675"/>
    <w:next w:val="675"/>
    <w:link w:val="71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5" w:customStyle="1">
    <w:name w:val="Заголовок Знак"/>
    <w:basedOn w:val="685"/>
    <w:link w:val="714"/>
    <w:uiPriority w:val="10"/>
    <w:rPr>
      <w:sz w:val="48"/>
      <w:szCs w:val="48"/>
    </w:rPr>
  </w:style>
  <w:style w:type="paragraph" w:styleId="716">
    <w:name w:val="Subtitle"/>
    <w:basedOn w:val="675"/>
    <w:next w:val="675"/>
    <w:link w:val="717"/>
    <w:uiPriority w:val="11"/>
    <w:qFormat/>
    <w:pPr>
      <w:spacing w:before="200" w:after="200"/>
    </w:pPr>
    <w:rPr>
      <w:sz w:val="24"/>
      <w:szCs w:val="24"/>
    </w:rPr>
  </w:style>
  <w:style w:type="character" w:styleId="717" w:customStyle="1">
    <w:name w:val="Подзаголовок Знак"/>
    <w:basedOn w:val="685"/>
    <w:link w:val="716"/>
    <w:uiPriority w:val="11"/>
    <w:rPr>
      <w:sz w:val="24"/>
      <w:szCs w:val="24"/>
    </w:rPr>
  </w:style>
  <w:style w:type="paragraph" w:styleId="718">
    <w:name w:val="Quote"/>
    <w:basedOn w:val="675"/>
    <w:next w:val="675"/>
    <w:link w:val="719"/>
    <w:uiPriority w:val="29"/>
    <w:qFormat/>
    <w:pPr>
      <w:ind w:left="720" w:right="720"/>
    </w:pPr>
    <w:rPr>
      <w:i/>
    </w:rPr>
  </w:style>
  <w:style w:type="character" w:styleId="719" w:customStyle="1">
    <w:name w:val="Цитата 2 Знак"/>
    <w:link w:val="718"/>
    <w:uiPriority w:val="29"/>
    <w:rPr>
      <w:i/>
    </w:rPr>
  </w:style>
  <w:style w:type="paragraph" w:styleId="720">
    <w:name w:val="Intense Quote"/>
    <w:basedOn w:val="675"/>
    <w:next w:val="675"/>
    <w:link w:val="72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1" w:customStyle="1">
    <w:name w:val="Выделенная цитата Знак"/>
    <w:link w:val="720"/>
    <w:uiPriority w:val="30"/>
    <w:rPr>
      <w:i/>
    </w:rPr>
  </w:style>
  <w:style w:type="character" w:styleId="722" w:customStyle="1">
    <w:name w:val="Header Char"/>
    <w:basedOn w:val="685"/>
    <w:uiPriority w:val="99"/>
  </w:style>
  <w:style w:type="character" w:styleId="723" w:customStyle="1">
    <w:name w:val="Footer Char"/>
    <w:basedOn w:val="685"/>
    <w:uiPriority w:val="99"/>
  </w:style>
  <w:style w:type="paragraph" w:styleId="724">
    <w:name w:val="Caption"/>
    <w:basedOn w:val="675"/>
    <w:next w:val="675"/>
    <w:link w:val="725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5" w:customStyle="1">
    <w:name w:val="Название объекта Знак"/>
    <w:link w:val="724"/>
    <w:uiPriority w:val="99"/>
  </w:style>
  <w:style w:type="table" w:styleId="726">
    <w:name w:val="Table Grid"/>
    <w:basedOn w:val="68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7" w:customStyle="1">
    <w:name w:val="Table Grid Light"/>
    <w:basedOn w:val="68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8">
    <w:name w:val="Plain Table 1"/>
    <w:basedOn w:val="68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2"/>
    <w:basedOn w:val="68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3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>
    <w:name w:val="Plain Table 4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Plain Table 5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3">
    <w:name w:val="Grid Table 1 Light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4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5" w:customStyle="1">
    <w:name w:val="Grid Table 4 - Accent 1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6" w:customStyle="1">
    <w:name w:val="Grid Table 4 - Accent 2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7" w:customStyle="1">
    <w:name w:val="Grid Table 4 - Accent 3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8" w:customStyle="1">
    <w:name w:val="Grid Table 4 - Accent 4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9" w:customStyle="1">
    <w:name w:val="Grid Table 4 - Accent 5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0" w:customStyle="1">
    <w:name w:val="Grid Table 4 - Accent 6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1">
    <w:name w:val="Grid Table 5 Dark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8">
    <w:name w:val="Grid Table 6 Colorful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9" w:customStyle="1">
    <w:name w:val="Grid Table 6 Colorful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0" w:customStyle="1">
    <w:name w:val="Grid Table 6 Colorful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1" w:customStyle="1">
    <w:name w:val="Grid Table 6 Colorful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2" w:customStyle="1">
    <w:name w:val="Grid Table 6 Colorful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3" w:customStyle="1">
    <w:name w:val="Grid Table 6 Colorful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4" w:customStyle="1">
    <w:name w:val="Grid Table 6 Colorful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5">
    <w:name w:val="Grid Table 7 Colorful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6" w:customStyle="1">
    <w:name w:val="Grid Table 7 Colorful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7" w:customStyle="1">
    <w:name w:val="Grid Table 7 Colorful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8" w:customStyle="1">
    <w:name w:val="Grid Table 7 Colorful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9" w:customStyle="1">
    <w:name w:val="Grid Table 7 Colorful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0" w:customStyle="1">
    <w:name w:val="Grid Table 7 Colorful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1" w:customStyle="1">
    <w:name w:val="Grid Table 7 Colorful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2">
    <w:name w:val="List Table 1 Light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1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2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3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4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5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6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6">
    <w:name w:val="List Table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5 Dark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>
    <w:name w:val="List Table 6 Colorful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8" w:customStyle="1">
    <w:name w:val="List Table 6 Colorful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9" w:customStyle="1">
    <w:name w:val="List Table 6 Colorful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0" w:customStyle="1">
    <w:name w:val="List Table 6 Colorful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1" w:customStyle="1">
    <w:name w:val="List Table 6 Colorful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2" w:customStyle="1">
    <w:name w:val="List Table 6 Colorful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3" w:customStyle="1">
    <w:name w:val="List Table 6 Colorful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4">
    <w:name w:val="List Table 7 Colorful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List Table 7 Colorful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List Table 7 Colorful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7" w:customStyle="1">
    <w:name w:val="List Table 7 Colorful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8" w:customStyle="1">
    <w:name w:val="List Table 7 Colorful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9" w:customStyle="1">
    <w:name w:val="List Table 7 Colorful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0" w:customStyle="1">
    <w:name w:val="List Table 7 Colorful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1" w:customStyle="1">
    <w:name w:val="Lined - Accent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2" w:customStyle="1">
    <w:name w:val="Lined - Accent 1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3" w:customStyle="1">
    <w:name w:val="Lined - Accent 2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4" w:customStyle="1">
    <w:name w:val="Lined - Accent 3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5" w:customStyle="1">
    <w:name w:val="Lined - Accent 4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6" w:customStyle="1">
    <w:name w:val="Lined - Accent 5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7" w:customStyle="1">
    <w:name w:val="Lined - Accent 6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8" w:customStyle="1">
    <w:name w:val="Bordered &amp; Lined - Accent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9" w:customStyle="1">
    <w:name w:val="Bordered &amp; Lined - Accent 1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0" w:customStyle="1">
    <w:name w:val="Bordered &amp; Lined - Accent 2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1" w:customStyle="1">
    <w:name w:val="Bordered &amp; Lined - Accent 3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2" w:customStyle="1">
    <w:name w:val="Bordered &amp; Lined - Accent 4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3" w:customStyle="1">
    <w:name w:val="Bordered &amp; Lined - Accent 5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4" w:customStyle="1">
    <w:name w:val="Bordered &amp; Lined - Accent 6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5" w:customStyle="1">
    <w:name w:val="Bordered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6" w:customStyle="1">
    <w:name w:val="Bordered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7" w:customStyle="1">
    <w:name w:val="Bordered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8" w:customStyle="1">
    <w:name w:val="Bordered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9" w:customStyle="1">
    <w:name w:val="Bordered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0" w:customStyle="1">
    <w:name w:val="Bordered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1" w:customStyle="1">
    <w:name w:val="Bordered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2">
    <w:name w:val="Hyperlink"/>
    <w:uiPriority w:val="99"/>
    <w:unhideWhenUsed/>
    <w:rPr>
      <w:color w:val="0563c1" w:themeColor="hyperlink"/>
      <w:u w:val="single"/>
    </w:rPr>
  </w:style>
  <w:style w:type="paragraph" w:styleId="853">
    <w:name w:val="footnote text"/>
    <w:basedOn w:val="675"/>
    <w:link w:val="854"/>
    <w:uiPriority w:val="99"/>
    <w:semiHidden/>
    <w:unhideWhenUsed/>
    <w:pPr>
      <w:spacing w:after="40"/>
    </w:pPr>
    <w:rPr>
      <w:sz w:val="18"/>
    </w:rPr>
  </w:style>
  <w:style w:type="character" w:styleId="854" w:customStyle="1">
    <w:name w:val="Текст сноски Знак"/>
    <w:link w:val="853"/>
    <w:uiPriority w:val="99"/>
    <w:rPr>
      <w:sz w:val="18"/>
    </w:rPr>
  </w:style>
  <w:style w:type="character" w:styleId="855">
    <w:name w:val="footnote reference"/>
    <w:basedOn w:val="685"/>
    <w:uiPriority w:val="99"/>
    <w:unhideWhenUsed/>
    <w:rPr>
      <w:vertAlign w:val="superscript"/>
    </w:rPr>
  </w:style>
  <w:style w:type="paragraph" w:styleId="856">
    <w:name w:val="endnote text"/>
    <w:basedOn w:val="675"/>
    <w:link w:val="857"/>
    <w:uiPriority w:val="99"/>
    <w:semiHidden/>
    <w:unhideWhenUsed/>
    <w:rPr>
      <w:sz w:val="20"/>
    </w:rPr>
  </w:style>
  <w:style w:type="character" w:styleId="857" w:customStyle="1">
    <w:name w:val="Текст концевой сноски Знак"/>
    <w:link w:val="856"/>
    <w:uiPriority w:val="99"/>
    <w:rPr>
      <w:sz w:val="20"/>
    </w:rPr>
  </w:style>
  <w:style w:type="character" w:styleId="858">
    <w:name w:val="endnote reference"/>
    <w:basedOn w:val="685"/>
    <w:uiPriority w:val="99"/>
    <w:semiHidden/>
    <w:unhideWhenUsed/>
    <w:rPr>
      <w:vertAlign w:val="superscript"/>
    </w:rPr>
  </w:style>
  <w:style w:type="paragraph" w:styleId="859">
    <w:name w:val="toc 1"/>
    <w:basedOn w:val="675"/>
    <w:next w:val="675"/>
    <w:uiPriority w:val="39"/>
    <w:unhideWhenUsed/>
    <w:pPr>
      <w:ind w:left="0"/>
      <w:spacing w:after="57"/>
    </w:pPr>
  </w:style>
  <w:style w:type="paragraph" w:styleId="860">
    <w:name w:val="toc 2"/>
    <w:basedOn w:val="675"/>
    <w:next w:val="675"/>
    <w:uiPriority w:val="39"/>
    <w:unhideWhenUsed/>
    <w:pPr>
      <w:ind w:left="283"/>
      <w:spacing w:after="57"/>
    </w:pPr>
  </w:style>
  <w:style w:type="paragraph" w:styleId="861">
    <w:name w:val="toc 3"/>
    <w:basedOn w:val="675"/>
    <w:next w:val="675"/>
    <w:uiPriority w:val="39"/>
    <w:unhideWhenUsed/>
    <w:pPr>
      <w:ind w:left="567"/>
      <w:spacing w:after="57"/>
    </w:pPr>
  </w:style>
  <w:style w:type="paragraph" w:styleId="862">
    <w:name w:val="toc 4"/>
    <w:basedOn w:val="675"/>
    <w:next w:val="675"/>
    <w:uiPriority w:val="39"/>
    <w:unhideWhenUsed/>
    <w:pPr>
      <w:ind w:left="850"/>
      <w:spacing w:after="57"/>
    </w:pPr>
  </w:style>
  <w:style w:type="paragraph" w:styleId="863">
    <w:name w:val="toc 5"/>
    <w:basedOn w:val="675"/>
    <w:next w:val="675"/>
    <w:uiPriority w:val="39"/>
    <w:unhideWhenUsed/>
    <w:pPr>
      <w:ind w:left="1134"/>
      <w:spacing w:after="57"/>
    </w:pPr>
  </w:style>
  <w:style w:type="paragraph" w:styleId="864">
    <w:name w:val="toc 6"/>
    <w:basedOn w:val="675"/>
    <w:next w:val="675"/>
    <w:uiPriority w:val="39"/>
    <w:unhideWhenUsed/>
    <w:pPr>
      <w:ind w:left="1417"/>
      <w:spacing w:after="57"/>
    </w:pPr>
  </w:style>
  <w:style w:type="paragraph" w:styleId="865">
    <w:name w:val="toc 7"/>
    <w:basedOn w:val="675"/>
    <w:next w:val="675"/>
    <w:uiPriority w:val="39"/>
    <w:unhideWhenUsed/>
    <w:pPr>
      <w:ind w:left="1701"/>
      <w:spacing w:after="57"/>
    </w:pPr>
  </w:style>
  <w:style w:type="paragraph" w:styleId="866">
    <w:name w:val="toc 8"/>
    <w:basedOn w:val="675"/>
    <w:next w:val="675"/>
    <w:uiPriority w:val="39"/>
    <w:unhideWhenUsed/>
    <w:pPr>
      <w:ind w:left="1984"/>
      <w:spacing w:after="57"/>
    </w:pPr>
  </w:style>
  <w:style w:type="paragraph" w:styleId="867">
    <w:name w:val="toc 9"/>
    <w:basedOn w:val="675"/>
    <w:next w:val="675"/>
    <w:uiPriority w:val="39"/>
    <w:unhideWhenUsed/>
    <w:pPr>
      <w:ind w:left="2268"/>
      <w:spacing w:after="57"/>
    </w:pPr>
  </w:style>
  <w:style w:type="paragraph" w:styleId="868">
    <w:name w:val="TOC Heading"/>
    <w:uiPriority w:val="39"/>
    <w:unhideWhenUsed/>
  </w:style>
  <w:style w:type="paragraph" w:styleId="869">
    <w:name w:val="table of figures"/>
    <w:basedOn w:val="675"/>
    <w:next w:val="675"/>
    <w:uiPriority w:val="99"/>
    <w:unhideWhenUsed/>
  </w:style>
  <w:style w:type="paragraph" w:styleId="870">
    <w:name w:val="Header"/>
    <w:basedOn w:val="675"/>
    <w:link w:val="87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1" w:customStyle="1">
    <w:name w:val="Верхний колонтитул Знак"/>
    <w:basedOn w:val="685"/>
    <w:link w:val="870"/>
    <w:uiPriority w:val="99"/>
  </w:style>
  <w:style w:type="paragraph" w:styleId="872">
    <w:name w:val="Balloon Text"/>
    <w:basedOn w:val="675"/>
    <w:link w:val="873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73" w:customStyle="1">
    <w:name w:val="Текст выноски Знак"/>
    <w:basedOn w:val="685"/>
    <w:link w:val="872"/>
    <w:uiPriority w:val="99"/>
    <w:semiHidden/>
    <w:rPr>
      <w:rFonts w:ascii="Segoe UI" w:hAnsi="Segoe UI" w:cs="Segoe UI"/>
      <w:sz w:val="18"/>
      <w:szCs w:val="18"/>
    </w:rPr>
  </w:style>
  <w:style w:type="character" w:styleId="874">
    <w:name w:val="Emphasis"/>
    <w:basedOn w:val="685"/>
    <w:uiPriority w:val="20"/>
    <w:qFormat/>
    <w:rPr>
      <w:i/>
      <w:iCs/>
    </w:rPr>
  </w:style>
  <w:style w:type="paragraph" w:styleId="875">
    <w:name w:val="Normal (Web)"/>
    <w:basedOn w:val="675"/>
    <w:uiPriority w:val="99"/>
    <w:semiHidden/>
    <w:unhideWhenUsed/>
    <w:pPr>
      <w:ind w:left="0"/>
      <w:jc w:val="left"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76">
    <w:name w:val="Footer"/>
    <w:basedOn w:val="675"/>
    <w:link w:val="87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7" w:customStyle="1">
    <w:name w:val="Нижний колонтитул Знак"/>
    <w:basedOn w:val="685"/>
    <w:link w:val="876"/>
    <w:uiPriority w:val="99"/>
  </w:style>
  <w:style w:type="table" w:styleId="878" w:customStyle="1">
    <w:name w:val="Сетка таблицы1"/>
    <w:basedOn w:val="686"/>
    <w:next w:val="72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1C0E9-1481-4CFF-A3B4-C58DA73B9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Хвостенко Александра Вячеславовна</dc:creator>
  <cp:keywords/>
  <dc:description/>
  <cp:lastModifiedBy>SyafukovaEM</cp:lastModifiedBy>
  <cp:revision>471</cp:revision>
  <dcterms:created xsi:type="dcterms:W3CDTF">2018-12-11T12:04:00Z</dcterms:created>
  <dcterms:modified xsi:type="dcterms:W3CDTF">2026-09-16T06:35:10Z</dcterms:modified>
</cp:coreProperties>
</file>