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Default="00ED46A7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15B2A">
      <w:pPr>
        <w:keepNext/>
        <w:ind w:left="0"/>
        <w:jc w:val="lef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Pr="00ED46A7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3E64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 год и плановый период 2025 и 2026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3E64E4">
        <w:rPr>
          <w:rFonts w:ascii="Times New Roman" w:eastAsia="Calibri" w:hAnsi="Times New Roman" w:cs="Times New Roman"/>
          <w:sz w:val="24"/>
          <w:szCs w:val="24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372FF6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45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5A3845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5A384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A162C7">
        <w:rPr>
          <w:rFonts w:ascii="Times New Roman" w:eastAsia="Calibri" w:hAnsi="Times New Roman" w:cs="Times New Roman"/>
          <w:sz w:val="24"/>
          <w:szCs w:val="24"/>
        </w:rPr>
        <w:t>5 539 228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,0</w:t>
      </w:r>
      <w:r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372FF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BD5475" w:rsidRPr="003743D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3743D7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5 702 473,9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3743D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163 245,9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3E64E4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504 155,1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9F751F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3743D7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3743D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 xml:space="preserve"> в сумме 900,0</w:t>
      </w:r>
      <w:r w:rsidR="00BD5475"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057DF" w:rsidRPr="009F751F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t xml:space="preserve"> 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5E09F3">
        <w:rPr>
          <w:rFonts w:ascii="Times New Roman" w:eastAsia="Calibri" w:hAnsi="Times New Roman" w:cs="Times New Roman"/>
          <w:sz w:val="24"/>
          <w:szCs w:val="24"/>
        </w:rPr>
        <w:t>5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E09F3">
        <w:rPr>
          <w:rFonts w:ascii="Times New Roman" w:eastAsia="Calibri" w:hAnsi="Times New Roman" w:cs="Times New Roman"/>
          <w:sz w:val="24"/>
          <w:szCs w:val="24"/>
        </w:rPr>
        <w:t>6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5E09F3">
        <w:rPr>
          <w:rFonts w:ascii="Times New Roman" w:eastAsia="Calibri" w:hAnsi="Times New Roman" w:cs="Times New Roman"/>
          <w:sz w:val="24"/>
          <w:szCs w:val="24"/>
        </w:rPr>
        <w:t xml:space="preserve"> на 2025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009ED" w:rsidRPr="00CA41D4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5 214 300,2</w:t>
      </w:r>
      <w:r w:rsidR="005E09F3"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2026</w:t>
      </w:r>
      <w:r w:rsidR="009009ED" w:rsidRPr="00CA41D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5 170 979,8</w:t>
      </w:r>
      <w:r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5 379 441,9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5 339 779,6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5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>
        <w:rPr>
          <w:rFonts w:ascii="Times New Roman" w:eastAsia="Calibri" w:hAnsi="Times New Roman" w:cs="Times New Roman"/>
          <w:sz w:val="24"/>
          <w:szCs w:val="24"/>
        </w:rPr>
        <w:t>60 856,0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>
        <w:rPr>
          <w:rFonts w:ascii="Times New Roman" w:eastAsia="Calibri" w:hAnsi="Times New Roman" w:cs="Times New Roman"/>
          <w:sz w:val="24"/>
          <w:szCs w:val="24"/>
        </w:rPr>
        <w:t>129 143,0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82186A">
        <w:rPr>
          <w:rFonts w:ascii="Times New Roman" w:eastAsia="Calibri" w:hAnsi="Times New Roman" w:cs="Times New Roman"/>
          <w:sz w:val="24"/>
          <w:szCs w:val="24"/>
        </w:rPr>
        <w:t>165 141,7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82186A">
        <w:rPr>
          <w:rFonts w:ascii="Times New Roman" w:eastAsia="Calibri" w:hAnsi="Times New Roman" w:cs="Times New Roman"/>
          <w:sz w:val="24"/>
          <w:szCs w:val="24"/>
        </w:rPr>
        <w:t>168 799,8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B4">
        <w:rPr>
          <w:rFonts w:ascii="Times New Roman" w:eastAsia="Calibri" w:hAnsi="Times New Roman" w:cs="Times New Roman"/>
          <w:sz w:val="24"/>
          <w:szCs w:val="24"/>
        </w:rPr>
        <w:t>4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="00EE661F" w:rsidRPr="00FD489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669 296,8</w:t>
      </w:r>
      <w:r w:rsidR="00FD4893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7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838 096,6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 w:rsidRPr="00FD489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0,0 тыс. рублей и 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7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в сумме 0,0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) объем расходов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на обслуживание муниципального внутреннего долга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124254" w:rsidRPr="008218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сумме 700,0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 xml:space="preserve">900,0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340BBB" w:rsidRPr="00AD74E6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lastRenderedPageBreak/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</w:t>
      </w:r>
      <w:r w:rsidR="009A48D0" w:rsidRPr="00503CFE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 год и на плановый период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5E09F3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 w:rsidRPr="00503CFE">
        <w:rPr>
          <w:rFonts w:ascii="Times New Roman" w:eastAsia="Calibri" w:hAnsi="Times New Roman" w:cs="Times New Roman"/>
          <w:sz w:val="24"/>
          <w:szCs w:val="24"/>
        </w:rPr>
        <w:t>лений в бюджет городского округа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503CFE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Российской Федерации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503CFE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DE4DE1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E1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 w:rsidRPr="00DE4DE1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DE4DE1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5173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D5173A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5E09F3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82186A">
        <w:rPr>
          <w:rFonts w:ascii="Calibri" w:eastAsia="Calibri" w:hAnsi="Calibri" w:cs="Times New Roman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</w:t>
      </w:r>
      <w:r w:rsidRPr="0082186A">
        <w:t xml:space="preserve"> </w:t>
      </w:r>
      <w:r w:rsidRPr="0082186A">
        <w:rPr>
          <w:rFonts w:ascii="Times New Roman" w:hAnsi="Times New Roman" w:cs="Times New Roman"/>
          <w:sz w:val="24"/>
          <w:szCs w:val="24"/>
        </w:rPr>
        <w:t>н</w:t>
      </w:r>
      <w:r w:rsidRPr="0082186A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5E09F3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821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45F1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18">
        <w:rPr>
          <w:rFonts w:ascii="Times New Roman" w:eastAsia="Calibri" w:hAnsi="Times New Roman" w:cs="Times New Roman"/>
          <w:sz w:val="24"/>
          <w:szCs w:val="24"/>
        </w:rPr>
        <w:t>10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45F18">
        <w:t xml:space="preserve"> </w:t>
      </w:r>
      <w:r w:rsidR="00FB1835" w:rsidRPr="00645F18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lastRenderedPageBreak/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Pr="0082186A">
        <w:t xml:space="preserve"> 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5E09F3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F7232F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2F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F7232F">
        <w:rPr>
          <w:rFonts w:ascii="Times New Roman" w:eastAsia="Calibri" w:hAnsi="Times New Roman" w:cs="Times New Roman"/>
          <w:sz w:val="24"/>
          <w:szCs w:val="24"/>
        </w:rPr>
        <w:t>3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FE1521">
        <w:rPr>
          <w:rFonts w:ascii="Times New Roman" w:eastAsia="Calibri" w:hAnsi="Times New Roman" w:cs="Times New Roman"/>
          <w:sz w:val="24"/>
          <w:szCs w:val="24"/>
        </w:rPr>
        <w:t xml:space="preserve">нормативных 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обязательств </w:t>
      </w:r>
      <w:r w:rsidRPr="00F723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F7232F">
        <w:rPr>
          <w:rFonts w:ascii="Times New Roman" w:eastAsia="Calibri" w:hAnsi="Times New Roman" w:cs="Times New Roman"/>
          <w:sz w:val="24"/>
          <w:szCs w:val="24"/>
        </w:rPr>
        <w:t>М</w:t>
      </w:r>
      <w:r w:rsidRPr="00F7232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7232F">
        <w:t xml:space="preserve"> </w:t>
      </w:r>
      <w:r w:rsidR="00FB1835" w:rsidRPr="00F723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82186A" w:rsidRPr="00F7232F">
        <w:rPr>
          <w:rFonts w:ascii="Times New Roman" w:eastAsia="Calibri" w:hAnsi="Times New Roman" w:cs="Times New Roman"/>
          <w:sz w:val="24"/>
          <w:szCs w:val="24"/>
        </w:rPr>
        <w:t>4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10 000,0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B5" w:rsidRPr="005E09F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934C2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>4</w:t>
      </w:r>
      <w:r w:rsidRPr="00934C23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934C23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934C23">
        <w:t xml:space="preserve"> </w:t>
      </w:r>
      <w:r w:rsidR="00FB1835" w:rsidRPr="00934C2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9A48D0" w:rsidRPr="00934C23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119 265,7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>2) на 2025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C523A">
        <w:rPr>
          <w:rFonts w:ascii="Times New Roman" w:eastAsia="Calibri" w:hAnsi="Times New Roman" w:cs="Times New Roman"/>
          <w:sz w:val="24"/>
          <w:szCs w:val="24"/>
        </w:rPr>
        <w:t>108 171,2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CD004C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934C23" w:rsidRPr="00CD004C">
        <w:rPr>
          <w:rFonts w:ascii="Times New Roman" w:eastAsia="Calibri" w:hAnsi="Times New Roman" w:cs="Times New Roman"/>
          <w:sz w:val="24"/>
          <w:szCs w:val="24"/>
        </w:rPr>
        <w:t>2026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45 725,8</w:t>
      </w: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CD0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CD004C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88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440E88">
        <w:rPr>
          <w:rFonts w:ascii="Times New Roman" w:eastAsia="Calibri" w:hAnsi="Times New Roman" w:cs="Times New Roman"/>
          <w:sz w:val="24"/>
          <w:szCs w:val="24"/>
        </w:rPr>
        <w:t>5</w:t>
      </w:r>
      <w:r w:rsidRPr="00440E88">
        <w:rPr>
          <w:rFonts w:ascii="Times New Roman" w:eastAsia="Calibri" w:hAnsi="Times New Roman" w:cs="Times New Roman"/>
          <w:sz w:val="24"/>
          <w:szCs w:val="24"/>
        </w:rPr>
        <w:t>.</w:t>
      </w:r>
      <w:r w:rsidRPr="00440E88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E72E34" w:rsidRDefault="00440E8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A53728" w:rsidRPr="00440E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440E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9307F" w:rsidRPr="00E72E34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3 761 410,9</w:t>
      </w:r>
      <w:r w:rsidR="00A53728" w:rsidRPr="00E72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E72E34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34">
        <w:rPr>
          <w:rFonts w:ascii="Times New Roman" w:eastAsia="Calibri" w:hAnsi="Times New Roman" w:cs="Times New Roman"/>
          <w:sz w:val="24"/>
          <w:szCs w:val="24"/>
        </w:rPr>
        <w:t>2) на</w:t>
      </w:r>
      <w:r w:rsidR="00440E88" w:rsidRPr="00E72E34">
        <w:rPr>
          <w:rFonts w:ascii="Times New Roman" w:eastAsia="Calibri" w:hAnsi="Times New Roman" w:cs="Times New Roman"/>
          <w:sz w:val="24"/>
          <w:szCs w:val="24"/>
        </w:rPr>
        <w:t xml:space="preserve"> 2025</w:t>
      </w:r>
      <w:r w:rsidR="00ED0EE9" w:rsidRPr="00E72E3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3 454 485,2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34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E7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0E88" w:rsidRPr="00E72E34">
        <w:rPr>
          <w:rFonts w:ascii="Times New Roman" w:eastAsia="Calibri" w:hAnsi="Times New Roman" w:cs="Times New Roman"/>
          <w:sz w:val="24"/>
          <w:szCs w:val="24"/>
        </w:rPr>
        <w:t>2026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E72E34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3 355 557,4</w:t>
      </w:r>
      <w:r w:rsidR="00F4497C" w:rsidRPr="00E7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E34">
        <w:rPr>
          <w:rFonts w:ascii="Times New Roman" w:eastAsia="Calibri" w:hAnsi="Times New Roman" w:cs="Times New Roman"/>
          <w:sz w:val="24"/>
          <w:szCs w:val="24"/>
        </w:rPr>
        <w:t>тыс</w:t>
      </w:r>
      <w:r w:rsidRPr="00440E88">
        <w:rPr>
          <w:rFonts w:ascii="Times New Roman" w:eastAsia="Calibri" w:hAnsi="Times New Roman" w:cs="Times New Roman"/>
          <w:sz w:val="24"/>
          <w:szCs w:val="24"/>
        </w:rPr>
        <w:t>. рублей.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165F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8165F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8165F8">
        <w:rPr>
          <w:rFonts w:ascii="Times New Roman" w:eastAsia="Calibri" w:hAnsi="Times New Roman" w:cs="Times New Roman"/>
          <w:sz w:val="24"/>
          <w:szCs w:val="24"/>
        </w:rPr>
        <w:t>2</w:t>
      </w:r>
      <w:r w:rsidR="008165F8">
        <w:rPr>
          <w:rFonts w:ascii="Times New Roman" w:eastAsia="Calibri" w:hAnsi="Times New Roman" w:cs="Times New Roman"/>
          <w:sz w:val="24"/>
          <w:szCs w:val="24"/>
        </w:rPr>
        <w:t>4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5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5F8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6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76595" w:rsidRPr="005E09F3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E4DE1" w:rsidRPr="00173187" w:rsidRDefault="00176595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3187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503CFE" w:rsidRPr="00173187">
        <w:rPr>
          <w:rFonts w:ascii="Times New Roman" w:hAnsi="Times New Roman" w:cs="Times New Roman"/>
          <w:sz w:val="24"/>
          <w:szCs w:val="24"/>
        </w:rPr>
        <w:t>Установить, что плата за негативное воздействие на окружающую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платежи, уплачиваемые при добровольном возмещении вреда, причиненного окружающей среде вследствие нарушений обязательных требований (далее - экологические платежи), зачисленные в 2024 году и плановом периоде 2025-</w:t>
      </w:r>
      <w:r w:rsidR="00511A8C" w:rsidRPr="00173187">
        <w:rPr>
          <w:rFonts w:ascii="Times New Roman" w:hAnsi="Times New Roman" w:cs="Times New Roman"/>
          <w:sz w:val="24"/>
          <w:szCs w:val="24"/>
        </w:rPr>
        <w:t xml:space="preserve">2026 годов в бюджет </w:t>
      </w:r>
      <w:r w:rsidR="00511A8C" w:rsidRPr="0017318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11A8C" w:rsidRPr="00173187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11A8C" w:rsidRPr="00173187">
        <w:rPr>
          <w:sz w:val="24"/>
          <w:szCs w:val="24"/>
        </w:rPr>
        <w:t xml:space="preserve"> </w:t>
      </w:r>
      <w:r w:rsidR="00511A8C" w:rsidRPr="00173187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направляются на реализацию плана мероприятий, указанных в </w:t>
      </w:r>
      <w:hyperlink r:id="rId7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16.6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75.1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78.2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 7-ФЗ "Об охране окружающей среды".</w:t>
      </w:r>
    </w:p>
    <w:p w:rsidR="008165F8" w:rsidRDefault="008165F8" w:rsidP="00C50227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165F8" w:rsidRDefault="002E3A3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8165F8" w:rsidRPr="008165F8">
        <w:rPr>
          <w:rFonts w:ascii="Times New Roman" w:eastAsia="Calibri" w:hAnsi="Times New Roman" w:cs="Times New Roman"/>
          <w:sz w:val="24"/>
          <w:szCs w:val="24"/>
        </w:rPr>
        <w:t>. Установить, что в бюджете городского округа Мегион Ханты-Мансийского а</w:t>
      </w:r>
      <w:r w:rsidR="008165F8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 год и плановый период 2025 и 2026</w:t>
      </w:r>
      <w:r w:rsidR="008165F8" w:rsidRPr="008165F8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="00545396" w:rsidRPr="00545396">
        <w:rPr>
          <w:rFonts w:ascii="Times New Roman" w:eastAsia="Calibri" w:hAnsi="Times New Roman" w:cs="Times New Roman"/>
          <w:sz w:val="24"/>
          <w:szCs w:val="24"/>
        </w:rPr>
        <w:t xml:space="preserve">зарезервированы бюджетные ассигнования на реализацию инициативных проектов, в целях </w:t>
      </w:r>
      <w:r w:rsidR="00545396" w:rsidRPr="00545396">
        <w:rPr>
          <w:rFonts w:ascii="Times New Roman" w:eastAsia="Calibri" w:hAnsi="Times New Roman" w:cs="Times New Roman"/>
          <w:sz w:val="24"/>
          <w:szCs w:val="24"/>
        </w:rPr>
        <w:lastRenderedPageBreak/>
        <w:t>финансового обеспечения соответствующих расходных обязательств муниципального образования</w:t>
      </w:r>
      <w:r w:rsidR="008165F8">
        <w:rPr>
          <w:rFonts w:ascii="Times New Roman" w:eastAsia="Calibri" w:hAnsi="Times New Roman" w:cs="Times New Roman"/>
          <w:sz w:val="24"/>
          <w:szCs w:val="24"/>
        </w:rPr>
        <w:t xml:space="preserve"> на 2024 год в сумме 1 252,</w:t>
      </w:r>
      <w:r>
        <w:rPr>
          <w:rFonts w:ascii="Times New Roman" w:eastAsia="Calibri" w:hAnsi="Times New Roman" w:cs="Times New Roman"/>
          <w:sz w:val="24"/>
          <w:szCs w:val="24"/>
        </w:rPr>
        <w:t>0 тыс. рублей.</w:t>
      </w:r>
      <w:r w:rsid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A37" w:rsidRPr="00BC01CC" w:rsidRDefault="002E3A3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BC01CC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92">
        <w:rPr>
          <w:rFonts w:ascii="Times New Roman" w:eastAsia="Calibri" w:hAnsi="Times New Roman" w:cs="Times New Roman"/>
          <w:sz w:val="24"/>
          <w:szCs w:val="24"/>
        </w:rPr>
        <w:t>1</w:t>
      </w:r>
      <w:r w:rsidR="002E3A37" w:rsidRPr="007A3C92">
        <w:rPr>
          <w:rFonts w:ascii="Times New Roman" w:eastAsia="Calibri" w:hAnsi="Times New Roman" w:cs="Times New Roman"/>
          <w:sz w:val="24"/>
          <w:szCs w:val="24"/>
        </w:rPr>
        <w:t>9</w:t>
      </w:r>
      <w:r w:rsidR="00801504" w:rsidRPr="007A3C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Предоставить право администрации города Мегиона привлекать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кредиты от кредитных организаций, бюджетные кредиты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из бюджета Ханты-Мансийского автономного округа – Югры для финансирования дефицита бюджета городского округа, </w:t>
      </w:r>
      <w:r w:rsidR="0037504F" w:rsidRPr="007A3C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602" w:rsidRPr="007A3C92">
        <w:rPr>
          <w:rFonts w:ascii="Times New Roman" w:eastAsia="Calibri" w:hAnsi="Times New Roman" w:cs="Times New Roman"/>
          <w:sz w:val="24"/>
          <w:szCs w:val="24"/>
        </w:rPr>
        <w:t xml:space="preserve">том числе на реализацию инфраструктурных проектов, проектов по реконструкции, модернизации, капитальному ремонту объектов жилищно-коммунального комплекса и капитальному ремонту автомобильных дорог общего пользования местного значения,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для погашения действующих долговых обязательств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>городского округа.</w:t>
      </w:r>
    </w:p>
    <w:p w:rsidR="00C46435" w:rsidRPr="005E09F3" w:rsidRDefault="00C4643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432" w:rsidRPr="00167CAB" w:rsidRDefault="002E3A37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 w:rsidR="00BD5475" w:rsidRPr="00167CAB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</w:t>
      </w:r>
      <w:r w:rsidR="0064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в б</w:t>
      </w:r>
      <w:r w:rsidR="00D205F7" w:rsidRPr="00167CAB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6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установленных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167CAB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167CAB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167CAB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167CAB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5E09F3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A70358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3A37" w:rsidRPr="00A70358">
        <w:rPr>
          <w:rFonts w:ascii="Times New Roman" w:eastAsia="Calibri" w:hAnsi="Times New Roman" w:cs="Times New Roman"/>
          <w:sz w:val="24"/>
          <w:szCs w:val="24"/>
        </w:rPr>
        <w:t>21</w:t>
      </w:r>
      <w:r w:rsidR="00F50EF2" w:rsidRPr="00A70358">
        <w:rPr>
          <w:rFonts w:ascii="Times New Roman" w:eastAsia="Calibri" w:hAnsi="Times New Roman" w:cs="Times New Roman"/>
          <w:sz w:val="24"/>
          <w:szCs w:val="24"/>
        </w:rPr>
        <w:t>.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A70358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A70358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A500B" w:rsidRPr="00A70358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A7035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E247B" w:rsidRPr="00A70358" w:rsidRDefault="00BE247B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47B" w:rsidRPr="00167CAB" w:rsidRDefault="00BE247B" w:rsidP="00BE2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70358">
        <w:rPr>
          <w:rFonts w:ascii="Times New Roman" w:eastAsia="Calibri" w:hAnsi="Times New Roman" w:cs="Times New Roman"/>
          <w:sz w:val="24"/>
          <w:szCs w:val="24"/>
        </w:rPr>
        <w:t>2.</w:t>
      </w:r>
      <w:r w:rsid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78.4 Бюджетного кодекса Российской Федерации</w:t>
      </w:r>
      <w:r w:rsidRP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города предусмотрена субсидия юридическим лицам, индивидуальным предпринимателям на оплату соглашения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социальным сертификатом на получение муниципальной услуги в социальной сфере в городе </w:t>
      </w:r>
      <w:proofErr w:type="spellStart"/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47B" w:rsidRPr="00167CAB" w:rsidRDefault="00BE247B" w:rsidP="00BE2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бюджета города предоставляется в порядке, установленном настоящим решением и принимаемыми в соответствии с ним муниципальными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администрации города и должны соответствовать требованиям статьи 78.4 Бюджетного кодекса Российской Федерации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13.07.2020 № 189-ФЗ «О государственном (муниципальном) социальном заказе на оказание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услуг в социальной сфере», а также иным требованиям, установленным Правительством Российской Федерации.</w:t>
      </w:r>
    </w:p>
    <w:p w:rsidR="00F50EF2" w:rsidRPr="005E09F3" w:rsidRDefault="00A267CA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E09F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B20AD6" w:rsidRPr="001B6FA3" w:rsidRDefault="002E3A37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1B6FA3">
        <w:rPr>
          <w:rFonts w:ascii="Times New Roman" w:eastAsia="Calibri" w:hAnsi="Times New Roman" w:cs="Times New Roman"/>
          <w:sz w:val="24"/>
          <w:szCs w:val="24"/>
        </w:rPr>
        <w:t>3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AB118E">
        <w:rPr>
          <w:rFonts w:ascii="Times New Roman" w:eastAsia="Calibri" w:hAnsi="Times New Roman" w:cs="Times New Roman"/>
          <w:sz w:val="24"/>
          <w:szCs w:val="24"/>
        </w:rPr>
        <w:t>4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 xml:space="preserve"> году д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епартамент финансов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осуществляет казначейское сопровождение средств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, указанных в настоящем пункте,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>Казначейскому сопровождению подлежат: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1) авансовые платежи по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1B6FA3">
        <w:rPr>
          <w:rFonts w:ascii="Times New Roman" w:eastAsia="Calibri" w:hAnsi="Times New Roman" w:cs="Times New Roman"/>
          <w:sz w:val="24"/>
          <w:szCs w:val="24"/>
        </w:rPr>
        <w:t>контрактам о поставке товаров, выполнении работ, оказании услуг, заключаемым на сумму более 50,0 млн</w:t>
      </w:r>
      <w:r w:rsidR="00BE422F" w:rsidRPr="001B6FA3">
        <w:rPr>
          <w:rFonts w:ascii="Times New Roman" w:eastAsia="Calibri" w:hAnsi="Times New Roman" w:cs="Times New Roman"/>
          <w:sz w:val="24"/>
          <w:szCs w:val="24"/>
        </w:rPr>
        <w:t>.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рублей, источником финансового обеспечения исполнения которых являются средства, предоставляемые из </w:t>
      </w:r>
      <w:r w:rsidR="00373CA2" w:rsidRPr="001B6FA3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796DD9" w:rsidRPr="001B6F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более 50,0 млн рублей бюджетными или автономными учреждениями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округа, лицевые счета которым открыты 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д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епартаменте финансов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Мегиона,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в соответствии законодательством Российской Федерации</w:t>
      </w:r>
      <w:r w:rsidR="00796DD9" w:rsidRPr="001B6F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AD6" w:rsidRPr="001B6FA3" w:rsidRDefault="00B20AD6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205853" w:rsidRDefault="0017659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205853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работников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934C23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</w:t>
      </w:r>
      <w:r w:rsidR="00934C23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  <w:r w:rsidR="00C46EF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социального характера;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7245F6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 содержанию имущества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934C23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5E09F3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E4DE1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 w:rsidRPr="00DE4DE1">
        <w:rPr>
          <w:rFonts w:ascii="Times New Roman" w:eastAsia="Calibri" w:hAnsi="Times New Roman" w:cs="Times New Roman"/>
          <w:sz w:val="24"/>
          <w:szCs w:val="24"/>
        </w:rPr>
        <w:tab/>
      </w:r>
      <w:r w:rsidR="00176595" w:rsidRPr="00DE4DE1">
        <w:rPr>
          <w:rFonts w:ascii="Times New Roman" w:eastAsia="Calibri" w:hAnsi="Times New Roman" w:cs="Times New Roman"/>
          <w:sz w:val="24"/>
          <w:szCs w:val="24"/>
        </w:rPr>
        <w:t>2</w:t>
      </w:r>
      <w:r w:rsidR="00A70358">
        <w:rPr>
          <w:rFonts w:ascii="Times New Roman" w:eastAsia="Calibri" w:hAnsi="Times New Roman" w:cs="Times New Roman"/>
          <w:sz w:val="24"/>
          <w:szCs w:val="24"/>
        </w:rPr>
        <w:t>6</w:t>
      </w:r>
      <w:r w:rsidRPr="00DE4DE1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DE4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7AB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E4DE1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88E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5E09F3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031792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60B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</w:t>
      </w:r>
      <w:r w:rsidR="00A55F37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031792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1D" w:rsidRPr="00031792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5E09F3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7D0C59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95" w:rsidRPr="007D0C59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7D0C59">
        <w:rPr>
          <w:rFonts w:ascii="Times New Roman" w:eastAsia="Calibri" w:hAnsi="Times New Roman" w:cs="Times New Roman"/>
          <w:sz w:val="24"/>
          <w:szCs w:val="24"/>
        </w:rPr>
        <w:t>9</w:t>
      </w:r>
      <w:r w:rsidRPr="007D0C59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</w:t>
      </w:r>
      <w:r w:rsidR="002761CA" w:rsidRPr="007D0C59">
        <w:rPr>
          <w:rFonts w:ascii="Times New Roman" w:eastAsia="Calibri" w:hAnsi="Times New Roman" w:cs="Times New Roman"/>
          <w:sz w:val="24"/>
          <w:szCs w:val="24"/>
        </w:rPr>
        <w:t>осах организации и осуществления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бюджетного п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роцесса в городском округе</w:t>
      </w:r>
      <w:r w:rsidR="000A3426" w:rsidRPr="007D0C5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61CA" w:rsidRPr="007D0C59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7D0C59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города Мегиона от 30.11.2012 №306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D0C59">
        <w:rPr>
          <w:rFonts w:ascii="Times New Roman" w:eastAsia="Calibri" w:hAnsi="Times New Roman" w:cs="Times New Roman"/>
          <w:sz w:val="24"/>
          <w:szCs w:val="24"/>
        </w:rPr>
        <w:t>4</w:t>
      </w:r>
      <w:r w:rsidR="00D60F39" w:rsidRPr="007D0C5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>
        <w:rPr>
          <w:rFonts w:ascii="Times New Roman" w:eastAsia="Calibri" w:hAnsi="Times New Roman" w:cs="Times New Roman"/>
          <w:sz w:val="24"/>
          <w:szCs w:val="24"/>
        </w:rPr>
        <w:t>4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>
        <w:rPr>
          <w:rFonts w:ascii="Times New Roman" w:eastAsia="Calibri" w:hAnsi="Times New Roman" w:cs="Times New Roman"/>
          <w:sz w:val="24"/>
          <w:szCs w:val="24"/>
        </w:rPr>
        <w:t>6</w:t>
      </w:r>
      <w:r w:rsidR="00D60F39" w:rsidRPr="007D0C5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7D0C59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7D0C59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7D0C59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7D0C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7D0C59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</w:t>
      </w:r>
      <w:r w:rsidR="007D0C59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7D0C59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7D0C59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а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а</w:t>
      </w:r>
      <w:r w:rsidRPr="007D0C59">
        <w:rPr>
          <w:rFonts w:ascii="Times New Roman" w:eastAsia="Calibri" w:hAnsi="Times New Roman" w:cs="Times New Roman"/>
          <w:sz w:val="24"/>
          <w:szCs w:val="24"/>
        </w:rPr>
        <w:t>;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7D0C59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7D0C59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7D0C59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B867FC" w:rsidRPr="007D0C59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7D0C59">
        <w:rPr>
          <w:rFonts w:ascii="Times New Roman" w:eastAsia="Calibri" w:hAnsi="Times New Roman" w:cs="Times New Roman"/>
          <w:sz w:val="24"/>
          <w:szCs w:val="24"/>
        </w:rPr>
        <w:t>7</w:t>
      </w:r>
      <w:r w:rsidR="00B867FC" w:rsidRPr="007D0C59">
        <w:rPr>
          <w:rFonts w:ascii="Times New Roman" w:eastAsia="Calibri" w:hAnsi="Times New Roman" w:cs="Times New Roman"/>
          <w:sz w:val="24"/>
          <w:szCs w:val="24"/>
        </w:rPr>
        <w:t>) уточнение разделов, подразделов, целевых статей и видов расходов главного расп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орядителя средств бюджета городского округа</w:t>
      </w:r>
      <w:r w:rsidR="00B867FC" w:rsidRPr="007D0C59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7D0C59">
        <w:rPr>
          <w:rFonts w:ascii="Times New Roman" w:eastAsia="Calibri" w:hAnsi="Times New Roman" w:cs="Times New Roman"/>
          <w:sz w:val="24"/>
          <w:szCs w:val="24"/>
        </w:rPr>
        <w:t>, в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Pr="007D0C59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7D0C59">
        <w:rPr>
          <w:rFonts w:ascii="Times New Roman" w:eastAsia="Calibri" w:hAnsi="Times New Roman" w:cs="Times New Roman"/>
          <w:sz w:val="24"/>
          <w:szCs w:val="24"/>
        </w:rPr>
        <w:t>8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7D0C59">
        <w:rPr>
          <w:rFonts w:ascii="Times New Roman" w:eastAsia="Calibri" w:hAnsi="Times New Roman" w:cs="Times New Roman"/>
          <w:sz w:val="24"/>
          <w:szCs w:val="24"/>
        </w:rPr>
        <w:t>з</w:t>
      </w:r>
      <w:r w:rsidRPr="007D0C59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7D0C59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</w:t>
      </w:r>
      <w:r w:rsidR="007D0C59">
        <w:rPr>
          <w:rFonts w:ascii="Times New Roman" w:eastAsia="Calibri" w:hAnsi="Times New Roman" w:cs="Times New Roman"/>
          <w:sz w:val="24"/>
          <w:szCs w:val="24"/>
        </w:rPr>
        <w:t>х пунктом 18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7D0C59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 w:rsidRPr="007D0C5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 w:rsidRPr="007D0C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7D0C59" w:rsidRDefault="005E457D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1338CE" w:rsidRPr="007D0C59">
        <w:rPr>
          <w:rFonts w:ascii="Times New Roman" w:eastAsia="Calibri" w:hAnsi="Times New Roman" w:cs="Times New Roman"/>
          <w:sz w:val="24"/>
          <w:szCs w:val="24"/>
        </w:rPr>
        <w:t>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7D0C59" w:rsidRDefault="005E457D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7D0C59">
        <w:rPr>
          <w:rFonts w:ascii="Times New Roman" w:eastAsia="Calibri" w:hAnsi="Times New Roman" w:cs="Times New Roman"/>
          <w:sz w:val="24"/>
          <w:szCs w:val="24"/>
        </w:rPr>
        <w:t>1</w:t>
      </w:r>
      <w:r w:rsidRPr="007D0C59">
        <w:rPr>
          <w:rFonts w:ascii="Times New Roman" w:eastAsia="Calibri" w:hAnsi="Times New Roman" w:cs="Times New Roman"/>
          <w:sz w:val="24"/>
          <w:szCs w:val="24"/>
        </w:rPr>
        <w:t>0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 xml:space="preserve">) инициативные платежи, зачисляемые в бюджет городского округа, фактически полученные при исполнении бюджета сверх утвержденных решением о бюджете доходов, 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lastRenderedPageBreak/>
        <w:t>направляются на увеличение расходов бюджета, соответствующи</w:t>
      </w:r>
      <w:r w:rsidR="00151A22" w:rsidRPr="007D0C59">
        <w:rPr>
          <w:rFonts w:ascii="Times New Roman" w:eastAsia="Calibri" w:hAnsi="Times New Roman" w:cs="Times New Roman"/>
          <w:sz w:val="24"/>
          <w:szCs w:val="24"/>
        </w:rPr>
        <w:t>х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5E09F3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6121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0358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</w:t>
      </w:r>
      <w:proofErr w:type="spellStart"/>
      <w:r w:rsidR="00BF0D57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F0D57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961117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961117" w:rsidRDefault="00A70358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6121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администрации города </w:t>
      </w:r>
      <w:proofErr w:type="spellStart"/>
      <w:r w:rsidR="00BD5475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D5475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961117" w:rsidRDefault="00BD5475" w:rsidP="00466EA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6111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6C22EA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5E60AF" w:rsidRDefault="002E3A37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5E60A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5E09F3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Pr="005E09F3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5E09F3"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55F37" w:rsidRPr="005E09F3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5E09F3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56197" w:rsidRPr="005E09F3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5E60A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5E60AF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AF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="005E60AF" w:rsidRPr="005E60AF">
        <w:rPr>
          <w:rFonts w:ascii="Times New Roman" w:eastAsia="Calibri" w:hAnsi="Times New Roman" w:cs="Times New Roman"/>
          <w:sz w:val="24"/>
          <w:szCs w:val="24"/>
        </w:rPr>
        <w:t>А.В.Петриченко</w:t>
      </w:r>
      <w:proofErr w:type="spellEnd"/>
      <w:r w:rsidR="00BD5475" w:rsidRPr="005E6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5E60AF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</w:t>
      </w:r>
      <w:r w:rsidR="00F6593A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>23</w:t>
      </w: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E60AF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F37" w:rsidRDefault="00A55F37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5F37" w:rsidSect="00FC3CDB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D122C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D122CF">
    <w:pPr>
      <w:pStyle w:val="a3"/>
      <w:jc w:val="right"/>
    </w:pPr>
  </w:p>
  <w:p w:rsidR="004F5275" w:rsidRDefault="00D122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60C2"/>
    <w:rsid w:val="00020073"/>
    <w:rsid w:val="00031792"/>
    <w:rsid w:val="0003253F"/>
    <w:rsid w:val="00033AF3"/>
    <w:rsid w:val="00050B52"/>
    <w:rsid w:val="000648D7"/>
    <w:rsid w:val="00064B57"/>
    <w:rsid w:val="000651A7"/>
    <w:rsid w:val="00070F67"/>
    <w:rsid w:val="000831E6"/>
    <w:rsid w:val="00084169"/>
    <w:rsid w:val="00092CCF"/>
    <w:rsid w:val="00094B3D"/>
    <w:rsid w:val="000A1FD5"/>
    <w:rsid w:val="000A3426"/>
    <w:rsid w:val="000B3F28"/>
    <w:rsid w:val="000B4A65"/>
    <w:rsid w:val="000B6D18"/>
    <w:rsid w:val="000C7344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67CAB"/>
    <w:rsid w:val="00173187"/>
    <w:rsid w:val="00176595"/>
    <w:rsid w:val="00187371"/>
    <w:rsid w:val="001B4174"/>
    <w:rsid w:val="001B6FA3"/>
    <w:rsid w:val="001D4B23"/>
    <w:rsid w:val="002030AD"/>
    <w:rsid w:val="00205853"/>
    <w:rsid w:val="00205EF8"/>
    <w:rsid w:val="002071D4"/>
    <w:rsid w:val="00211BF5"/>
    <w:rsid w:val="0022001C"/>
    <w:rsid w:val="002216B8"/>
    <w:rsid w:val="00224CB4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E3A37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2FF6"/>
    <w:rsid w:val="00373CA2"/>
    <w:rsid w:val="0037434A"/>
    <w:rsid w:val="003743D7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3E64E4"/>
    <w:rsid w:val="00406010"/>
    <w:rsid w:val="00411A74"/>
    <w:rsid w:val="00440E88"/>
    <w:rsid w:val="00446E40"/>
    <w:rsid w:val="00451148"/>
    <w:rsid w:val="00457574"/>
    <w:rsid w:val="00457FA9"/>
    <w:rsid w:val="00466EAD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503CFE"/>
    <w:rsid w:val="00511A8C"/>
    <w:rsid w:val="00513DFE"/>
    <w:rsid w:val="00515B2A"/>
    <w:rsid w:val="00527868"/>
    <w:rsid w:val="005442C4"/>
    <w:rsid w:val="00544344"/>
    <w:rsid w:val="00545396"/>
    <w:rsid w:val="00552026"/>
    <w:rsid w:val="00557548"/>
    <w:rsid w:val="00561887"/>
    <w:rsid w:val="00565901"/>
    <w:rsid w:val="005760BD"/>
    <w:rsid w:val="0057774F"/>
    <w:rsid w:val="005A3845"/>
    <w:rsid w:val="005B19C1"/>
    <w:rsid w:val="005B3014"/>
    <w:rsid w:val="005B470F"/>
    <w:rsid w:val="005B47FB"/>
    <w:rsid w:val="005B522F"/>
    <w:rsid w:val="005B735A"/>
    <w:rsid w:val="005C1860"/>
    <w:rsid w:val="005E09F3"/>
    <w:rsid w:val="005E3155"/>
    <w:rsid w:val="005E3163"/>
    <w:rsid w:val="005E40CD"/>
    <w:rsid w:val="005E457D"/>
    <w:rsid w:val="005E60AF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45F18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22EA"/>
    <w:rsid w:val="006C32BF"/>
    <w:rsid w:val="006D3779"/>
    <w:rsid w:val="006E02FC"/>
    <w:rsid w:val="006E4E54"/>
    <w:rsid w:val="006E764D"/>
    <w:rsid w:val="006F5628"/>
    <w:rsid w:val="00710555"/>
    <w:rsid w:val="00711197"/>
    <w:rsid w:val="00720A3B"/>
    <w:rsid w:val="0072214F"/>
    <w:rsid w:val="007245F6"/>
    <w:rsid w:val="00727FEF"/>
    <w:rsid w:val="00733BFF"/>
    <w:rsid w:val="00745360"/>
    <w:rsid w:val="00766B13"/>
    <w:rsid w:val="00791EC4"/>
    <w:rsid w:val="00796DD9"/>
    <w:rsid w:val="007A3C92"/>
    <w:rsid w:val="007B005B"/>
    <w:rsid w:val="007D0C59"/>
    <w:rsid w:val="007D12F9"/>
    <w:rsid w:val="007D3382"/>
    <w:rsid w:val="007E16CE"/>
    <w:rsid w:val="007E2E3F"/>
    <w:rsid w:val="007E5F0F"/>
    <w:rsid w:val="007F0674"/>
    <w:rsid w:val="007F2773"/>
    <w:rsid w:val="00801504"/>
    <w:rsid w:val="008165F8"/>
    <w:rsid w:val="0082186A"/>
    <w:rsid w:val="0082430F"/>
    <w:rsid w:val="0082677A"/>
    <w:rsid w:val="00831C16"/>
    <w:rsid w:val="00854F66"/>
    <w:rsid w:val="00862FF5"/>
    <w:rsid w:val="008669CE"/>
    <w:rsid w:val="008711E3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C523A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1DFC"/>
    <w:rsid w:val="00934C23"/>
    <w:rsid w:val="00961117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6C45"/>
    <w:rsid w:val="00A162C7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358"/>
    <w:rsid w:val="00A70B69"/>
    <w:rsid w:val="00A814D6"/>
    <w:rsid w:val="00A85B3E"/>
    <w:rsid w:val="00AA14D8"/>
    <w:rsid w:val="00AB118E"/>
    <w:rsid w:val="00AB3765"/>
    <w:rsid w:val="00AC2C90"/>
    <w:rsid w:val="00AD344D"/>
    <w:rsid w:val="00AD74E6"/>
    <w:rsid w:val="00AE0460"/>
    <w:rsid w:val="00AE16F1"/>
    <w:rsid w:val="00AE62B9"/>
    <w:rsid w:val="00AE7DA8"/>
    <w:rsid w:val="00AF19D9"/>
    <w:rsid w:val="00B11843"/>
    <w:rsid w:val="00B20AD6"/>
    <w:rsid w:val="00B2129D"/>
    <w:rsid w:val="00B519C1"/>
    <w:rsid w:val="00B64DCE"/>
    <w:rsid w:val="00B867FC"/>
    <w:rsid w:val="00B90E52"/>
    <w:rsid w:val="00B94F03"/>
    <w:rsid w:val="00BA5CEC"/>
    <w:rsid w:val="00BA7331"/>
    <w:rsid w:val="00BC01CC"/>
    <w:rsid w:val="00BC0CBB"/>
    <w:rsid w:val="00BC17D6"/>
    <w:rsid w:val="00BC6B4B"/>
    <w:rsid w:val="00BD3DBA"/>
    <w:rsid w:val="00BD5475"/>
    <w:rsid w:val="00BD5574"/>
    <w:rsid w:val="00BE247B"/>
    <w:rsid w:val="00BE3AE4"/>
    <w:rsid w:val="00BE410E"/>
    <w:rsid w:val="00BE422F"/>
    <w:rsid w:val="00BF0D57"/>
    <w:rsid w:val="00C0653D"/>
    <w:rsid w:val="00C27323"/>
    <w:rsid w:val="00C30B96"/>
    <w:rsid w:val="00C338ED"/>
    <w:rsid w:val="00C42206"/>
    <w:rsid w:val="00C45240"/>
    <w:rsid w:val="00C4611D"/>
    <w:rsid w:val="00C46272"/>
    <w:rsid w:val="00C46435"/>
    <w:rsid w:val="00C46EF7"/>
    <w:rsid w:val="00C50227"/>
    <w:rsid w:val="00C702AF"/>
    <w:rsid w:val="00C8697F"/>
    <w:rsid w:val="00CA2852"/>
    <w:rsid w:val="00CA41D4"/>
    <w:rsid w:val="00CA500B"/>
    <w:rsid w:val="00CB3D00"/>
    <w:rsid w:val="00CB788E"/>
    <w:rsid w:val="00CD004C"/>
    <w:rsid w:val="00CF6905"/>
    <w:rsid w:val="00D02A6E"/>
    <w:rsid w:val="00D122CF"/>
    <w:rsid w:val="00D205F7"/>
    <w:rsid w:val="00D2082E"/>
    <w:rsid w:val="00D2161F"/>
    <w:rsid w:val="00D40EE3"/>
    <w:rsid w:val="00D5173A"/>
    <w:rsid w:val="00D60F39"/>
    <w:rsid w:val="00D708C8"/>
    <w:rsid w:val="00D7250D"/>
    <w:rsid w:val="00DA26AE"/>
    <w:rsid w:val="00DA3A14"/>
    <w:rsid w:val="00DA7A14"/>
    <w:rsid w:val="00DB0B0D"/>
    <w:rsid w:val="00DD0083"/>
    <w:rsid w:val="00DD6133"/>
    <w:rsid w:val="00DE12E3"/>
    <w:rsid w:val="00DE4DE1"/>
    <w:rsid w:val="00DE767C"/>
    <w:rsid w:val="00E03D2C"/>
    <w:rsid w:val="00E46053"/>
    <w:rsid w:val="00E46F4B"/>
    <w:rsid w:val="00E47598"/>
    <w:rsid w:val="00E4782F"/>
    <w:rsid w:val="00E56F0A"/>
    <w:rsid w:val="00E6578E"/>
    <w:rsid w:val="00E72E34"/>
    <w:rsid w:val="00E7684A"/>
    <w:rsid w:val="00E80A95"/>
    <w:rsid w:val="00E82F2C"/>
    <w:rsid w:val="00E85F74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7232F"/>
    <w:rsid w:val="00F80E3A"/>
    <w:rsid w:val="00F90172"/>
    <w:rsid w:val="00F931CC"/>
    <w:rsid w:val="00F9659D"/>
    <w:rsid w:val="00FA2297"/>
    <w:rsid w:val="00FA2626"/>
    <w:rsid w:val="00FA765C"/>
    <w:rsid w:val="00FB1835"/>
    <w:rsid w:val="00FD4893"/>
    <w:rsid w:val="00FD6694"/>
    <w:rsid w:val="00FE1521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4E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9D6080316809E684357B7FD368626D0CE04F014BD00F44B446809DFF4DB83E9E5BEDEFC81CB21226BE5447FA21B1354E7BE64103648C7a1w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9D6080316809E684357B7FD368626D0CE04F014BD00F44B446809DFF4DB83E9E5BEDEFC80CF2D7E31F54036F5150F56F9A1660E36a4w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9D6080316809E684357B7FD368626D0CE04F014BD00F44B446809DFF4DB83E9E5BEDEFC81CB2E2E6BE5447FA21B1354E7BE64103648C7a1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7329-DB6A-44F6-B06B-FC52C23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7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346</cp:revision>
  <cp:lastPrinted>2023-11-14T11:30:00Z</cp:lastPrinted>
  <dcterms:created xsi:type="dcterms:W3CDTF">2018-12-11T12:04:00Z</dcterms:created>
  <dcterms:modified xsi:type="dcterms:W3CDTF">2023-11-14T11:31:00Z</dcterms:modified>
</cp:coreProperties>
</file>