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Итоги социально-экономического развития город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за 20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r>
    </w:p>
    <w:p>
      <w:pPr>
        <w:pStyle w:val="923"/>
        <w:spacing w:before="0" w:beforeAutospacing="0" w:after="0" w:afterAutospacing="0"/>
        <w:ind w:firstLine="700"/>
        <w:jc w:val="both"/>
        <w:rPr>
          <w:color w:val="auto"/>
        </w:rPr>
      </w:pPr>
      <w:r>
        <w:rPr>
          <w:color w:val="auto"/>
        </w:rPr>
        <w:t xml:space="preserve">Итоги социально-экономического развития город</w:t>
      </w:r>
      <w:r>
        <w:rPr>
          <w:color w:val="auto"/>
        </w:rPr>
        <w:t xml:space="preserve">а</w:t>
      </w:r>
      <w:r>
        <w:rPr>
          <w:color w:val="auto"/>
        </w:rPr>
        <w:t xml:space="preserve"> Мегион</w:t>
      </w:r>
      <w:r>
        <w:rPr>
          <w:color w:val="auto"/>
        </w:rPr>
        <w:t xml:space="preserve">а</w:t>
      </w:r>
      <w:r>
        <w:rPr>
          <w:color w:val="auto"/>
        </w:rPr>
        <w:t xml:space="preserve"> сформированы в целях комплексной оценки социально-экономиче</w:t>
      </w:r>
      <w:r>
        <w:rPr>
          <w:color w:val="auto"/>
        </w:rPr>
        <w:t xml:space="preserve">ской ситуации территории, оперативного и своевременного выявления тенденций, происходящих в социально-экономическом развитии городского округа, предупреждения и устранения последствий негативных явлений в социально-экономической ситуации города Мегиона.</w:t>
      </w:r>
      <w:r>
        <w:rPr>
          <w:color w:val="auto"/>
        </w:rPr>
      </w:r>
      <w:r>
        <w:rPr>
          <w:color w:val="auto"/>
        </w:rPr>
      </w:r>
    </w:p>
    <w:p>
      <w:pPr>
        <w:pStyle w:val="923"/>
        <w:spacing w:before="0" w:beforeAutospacing="0" w:after="0" w:afterAutospacing="0"/>
        <w:ind w:firstLine="700"/>
        <w:jc w:val="both"/>
        <w:rPr>
          <w:color w:val="auto"/>
        </w:rPr>
      </w:pPr>
      <w:r>
        <w:rPr>
          <w:color w:val="auto"/>
        </w:rPr>
        <w:t xml:space="preserve">Исходной базой для формирования итогов социально-экономического развития территории являются сведения статистической отчетности </w:t>
      </w:r>
      <w:r>
        <w:rPr>
          <w:rFonts w:eastAsia="Calibri"/>
          <w:color w:val="auto"/>
        </w:rPr>
        <w:t xml:space="preserve">Управления Федеральной службы Государственной статистики п</w:t>
      </w:r>
      <w:r>
        <w:rPr>
          <w:rFonts w:eastAsia="Calibri"/>
          <w:color w:val="auto"/>
        </w:rPr>
        <w:t xml:space="preserve">о Тю</w:t>
      </w:r>
      <w:r>
        <w:rPr>
          <w:rFonts w:eastAsia="Calibri"/>
          <w:color w:val="auto"/>
        </w:rPr>
        <w:t xml:space="preserve">менской области, Ханты-Мансийскому автономному округу – Югре и Ямало-Ненецкому автономному округу – Югре</w:t>
      </w:r>
      <w:r>
        <w:rPr>
          <w:color w:val="auto"/>
        </w:rPr>
        <w:t xml:space="preserve">, информация органов администрации города, учреждений и предприятий, осуществляющих свою деятельность на территории города.</w:t>
      </w:r>
      <w:r>
        <w:rPr>
          <w:color w:val="auto"/>
        </w:rPr>
      </w:r>
      <w:r>
        <w:rPr>
          <w:color w:val="auto"/>
        </w:rPr>
      </w:r>
    </w:p>
    <w:p>
      <w:pPr>
        <w:pStyle w:val="923"/>
        <w:spacing w:before="0" w:beforeAutospacing="0" w:after="0" w:afterAutospacing="0"/>
        <w:ind w:firstLine="700"/>
        <w:jc w:val="both"/>
        <w:rPr>
          <w:color w:val="auto"/>
        </w:rPr>
      </w:pPr>
      <w:r>
        <w:rPr>
          <w:color w:val="auto"/>
        </w:rPr>
        <w:t xml:space="preserve">Также в данном документе, в связи с предоставленными уточненными статистическими </w:t>
      </w:r>
      <w:r>
        <w:rPr>
          <w:color w:val="auto"/>
        </w:rPr>
        <w:t xml:space="preserve">сведениями</w:t>
      </w:r>
      <w:r>
        <w:rPr>
          <w:color w:val="auto"/>
        </w:rPr>
        <w:t xml:space="preserve">, </w:t>
      </w:r>
      <w:r>
        <w:rPr>
          <w:color w:val="auto"/>
        </w:rPr>
        <w:t xml:space="preserve">скорректированы</w:t>
      </w:r>
      <w:r>
        <w:rPr>
          <w:color w:val="auto"/>
        </w:rPr>
        <w:t xml:space="preserve"> показатели за 20</w:t>
      </w:r>
      <w:r>
        <w:rPr>
          <w:color w:val="auto"/>
        </w:rPr>
        <w:t xml:space="preserve">23</w:t>
      </w:r>
      <w:r>
        <w:rPr>
          <w:color w:val="auto"/>
        </w:rPr>
        <w:t xml:space="preserve">-20</w:t>
      </w:r>
      <w:r>
        <w:rPr>
          <w:color w:val="auto"/>
        </w:rPr>
        <w:t xml:space="preserve">24</w:t>
      </w:r>
      <w:r>
        <w:rPr>
          <w:color w:val="auto"/>
        </w:rPr>
        <w:t xml:space="preserve"> годы, представленные ранее</w:t>
      </w:r>
      <w:r>
        <w:rPr>
          <w:color w:val="auto"/>
        </w:rPr>
        <w:t xml:space="preserve">:</w:t>
      </w:r>
      <w:r>
        <w:rPr>
          <w:color w:val="auto"/>
        </w:rPr>
      </w:r>
      <w:r>
        <w:rPr>
          <w:color w:val="auto"/>
        </w:rPr>
      </w:r>
    </w:p>
    <w:p>
      <w:pPr>
        <w:pStyle w:val="923"/>
        <w:spacing w:before="0" w:beforeAutospacing="0" w:after="0" w:afterAutospacing="0"/>
        <w:ind w:firstLine="700"/>
        <w:jc w:val="both"/>
        <w:rPr>
          <w:color w:val="auto"/>
        </w:rPr>
      </w:pPr>
      <w:r>
        <w:rPr>
          <w:color w:val="auto"/>
        </w:rPr>
        <w:t xml:space="preserve">в </w:t>
      </w:r>
      <w:r>
        <w:rPr>
          <w:color w:val="auto"/>
        </w:rPr>
        <w:t xml:space="preserve">предварительных итогах социально-экономического развития город</w:t>
      </w:r>
      <w:r>
        <w:rPr>
          <w:color w:val="auto"/>
        </w:rPr>
        <w:t xml:space="preserve">а</w:t>
      </w:r>
      <w:r>
        <w:rPr>
          <w:color w:val="auto"/>
        </w:rPr>
        <w:t xml:space="preserve"> Мегион</w:t>
      </w:r>
      <w:r>
        <w:rPr>
          <w:color w:val="auto"/>
        </w:rPr>
        <w:t xml:space="preserve">а</w:t>
      </w:r>
      <w:r>
        <w:rPr>
          <w:color w:val="auto"/>
        </w:rPr>
        <w:t xml:space="preserve"> за 20</w:t>
      </w:r>
      <w:r>
        <w:rPr>
          <w:color w:val="auto"/>
        </w:rPr>
        <w:t xml:space="preserve">25</w:t>
      </w:r>
      <w:r>
        <w:rPr>
          <w:color w:val="auto"/>
        </w:rPr>
        <w:t xml:space="preserve"> год к проекту бюджета города;</w:t>
      </w:r>
      <w:r>
        <w:rPr>
          <w:color w:val="auto"/>
        </w:rPr>
      </w:r>
      <w:r>
        <w:rPr>
          <w:color w:val="auto"/>
        </w:rPr>
      </w:r>
    </w:p>
    <w:p>
      <w:pPr>
        <w:pStyle w:val="923"/>
        <w:spacing w:before="0" w:beforeAutospacing="0" w:after="0" w:afterAutospacing="0"/>
        <w:ind w:firstLine="700"/>
        <w:jc w:val="both"/>
        <w:rPr>
          <w:color w:val="auto"/>
        </w:rPr>
      </w:pPr>
      <w:r>
        <w:rPr>
          <w:color w:val="auto"/>
        </w:rPr>
        <w:t xml:space="preserve">в отчет</w:t>
      </w:r>
      <w:r>
        <w:rPr>
          <w:color w:val="auto"/>
        </w:rPr>
        <w:t xml:space="preserve">е</w:t>
      </w:r>
      <w:r>
        <w:rPr>
          <w:color w:val="auto"/>
        </w:rPr>
        <w:t xml:space="preserve"> главы города Мегиона о результатах его деятельности, деятельности администрации города Мегиона за 20</w:t>
      </w:r>
      <w:r>
        <w:rPr>
          <w:color w:val="auto"/>
        </w:rPr>
        <w:t xml:space="preserve">25</w:t>
      </w:r>
      <w:r>
        <w:rPr>
          <w:color w:val="auto"/>
        </w:rPr>
        <w:t xml:space="preserve"> год.</w:t>
      </w:r>
      <w:r>
        <w:rPr>
          <w:color w:val="auto"/>
        </w:rPr>
      </w:r>
      <w:r>
        <w:rPr>
          <w:color w:val="auto"/>
        </w:rPr>
      </w:r>
    </w:p>
    <w:p>
      <w:pPr>
        <w:widowControl w:val="off"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r>
    </w:p>
    <w:p>
      <w:pPr>
        <w:widowControl w:val="off"/>
        <w:spacing w:after="0" w:line="240" w:lineRule="auto"/>
        <w:ind w:left="0" w:right="0" w:firstLine="709"/>
        <w:jc w:val="both"/>
        <w:outlineLv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ДЕМОГРАФИЧЕСКАЯ СИТУАЦИЯ</w:t>
      </w:r>
      <w:r>
        <w:rPr>
          <w:rStyle w:val="972"/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исленность постоянного населения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6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 составляет 59 73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val="en-US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Одним из аспектом демографической ситуации является бракоразводный процесс. 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5 год кол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чество браков сократилось на 62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ы (22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5%) при одновременном уме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ньшении количества разводов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62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22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 этом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 процентный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пункт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уменьшилось число разводов на 1000 жителей и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процентный пункт уменьшилось число браков на 1000 жителей.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</w:p>
    <w:tbl>
      <w:tblPr>
        <w:tblW w:w="9091" w:type="dxa"/>
        <w:tblInd w:w="108" w:type="dxa"/>
        <w:tblLook w:val="04A0" w:firstRow="1" w:lastRow="0" w:firstColumn="1" w:lastColumn="0" w:noHBand="0" w:noVBand="1"/>
      </w:tblPr>
      <w:tblGrid>
        <w:gridCol w:w="4936"/>
        <w:gridCol w:w="1385"/>
        <w:gridCol w:w="1385"/>
        <w:gridCol w:w="1385"/>
      </w:tblGrid>
      <w:tr>
        <w:trPr>
          <w:trHeight w:val="348"/>
          <w:tblHeader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3 год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4 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5год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rPr>
          <w:trHeight w:val="474"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Число официально заключенных браков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40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276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214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474"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Число официально оформленных разводов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278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274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212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474"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Число разводов на 100 браков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99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99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552"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Число браков на 1000 жителей в среднегодовом исчислении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5,7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4,6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552"/>
        </w:trPr>
        <w:tblPrEx/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Число разводов на 1000 жителей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4,7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4,6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</w:rPr>
              <w:t xml:space="preserve">3,5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widowControl w:val="off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41"/>
        <w:spacing w:line="240" w:lineRule="auto"/>
        <w:ind w:firstLine="708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ПРОМЫШЛЕННОСТЬ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41"/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Промышленное производство города Мегиона включает в себя следующие разделы (отрасли):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добыча полезных ископаемых;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обрабатывающие отрасли;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обеспечение электрической энергией, газом и паром; кондиционирование воздуха;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водоснабжение, водоотведение, организация сбора и утилизации отходов, деятельности по ликвидации загрязнений.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2025 год объем отгруженных товаров собственного производства, выполненных работ и услуг собственными силами организаций (без субъектов малого предпринимательства), составил 37 499,5 млн рублей, что составляет 97,3% к показателю 2024 года.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отгруженной промышленной продукции по полному кругу предприятий города Мегио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за 2025 год составил 17 991,6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млн рублей, или 101,8% к показателю 2024 года.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отгруженных товаров собственного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производства, выполненных работ и услуг собственными силами по видам экономической деятельности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млн рублей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W w:w="9756" w:type="dxa"/>
        <w:tblLayout w:type="fixed"/>
        <w:tblLook w:val="01E0" w:firstRow="1" w:lastRow="1" w:firstColumn="1" w:lastColumn="1" w:noHBand="0" w:noVBand="0"/>
      </w:tblPr>
      <w:tblGrid>
        <w:gridCol w:w="5807"/>
        <w:gridCol w:w="1200"/>
        <w:gridCol w:w="1234"/>
        <w:gridCol w:w="1515"/>
      </w:tblGrid>
      <w:tr>
        <w:trPr>
          <w:trHeight w:val="767"/>
          <w:tblHeader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2025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Темп  роста в действующих ценах, %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trHeight w:val="1546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Всего объем отгруженных товаров собственного производства, выполненных работ и услуг собственными силами по видам экономической деятельности организаций (без субъектов малого предпринимательства)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38 557,7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37 499,5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97,3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743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Объем отгруженной промышленной продукции по полному кругу предприятий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17 672,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17 991,6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101,8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52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том числе по видам экономической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413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Добыча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11 306,0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10 368,6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91,7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413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2 120,7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2 137,4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685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Обеспечение электрической энергии,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3 794,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4 822,0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127,1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993"/>
        </w:trPr>
        <w:tblPrEx/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Водоснабжение, водоотведение, организация сбора 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450,9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663,6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147,2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Основную долю промышленного производства составляют предприятия по добыче полезных ископаемых, на долю которых приходится 57,6% от общего объема отгруженных товаров промышленного производства.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Предприятиями по виду де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ятельности «Добыча полезных ископаемых» за январь - декабрь 2025 года отгружено товаров собственного производства, выполнено работ и услуг собственными силами в действующих ценах на сумму 10 368,6 млн рублей, что на 8,3% ниже уровня показателя 2024 года.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Основными видами экономической деятельности «Обрабатывающие производства» в городе являются производство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пищевых продуктов, предоставление услуг по монтажу, ремонту и техническому обслуживанию машин и оборудования. Объем продукции обрабатывающих производств за отчетный период увеличился, и составил 2 137,4 млн рублей, или 100,8% к уровню показателя 2024 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отгруженной продукции собственного производства, выполненных работ и услуг собственными силами по виду деятельности «Обеспечение электрической энергией, газом и паром; кондиционирование воздуха» за отчетный 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ериод 2025 года составил 4 822,0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млн рублей, что на 27,1% выше показателя 2024 года.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структуре объема отгруженных товаров собственного производства по виду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деятельности «Водоснабжение, водоотведение, организация сбора и утилизации отходов, деятельность по ликвидации загрязнений» за 2025 год выполнено работ и услуг на сумму 663,6 млн рублей, или 147,2% к соответствующему периоду 2024 года в действующих ценах.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Основной положительный вклад в динамику промышленного производства в 2025 году внесли отрасли: водоснабжение, водоотведение, организация сбора и утилизации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отходов, деятельность по ликвидации загрязнений 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обеспечение электрической энергии, газом и паром; кондиционирование воздуха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color w:val="ff0000"/>
        </w:rPr>
      </w:r>
      <w:bookmarkStart w:id="0" w:name="top"/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ИНВЕСТИЦИИ и СТРОИТЕЛЬСТВО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Инвестиции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shd w:val="clear" w:color="auto" w:fill="ffffff"/>
        <w:tabs>
          <w:tab w:val="left" w:pos="4234" w:leader="none"/>
        </w:tabs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Основным видом инвестиций для городского округа являются вложения в новое строительство, расширение, реконструкцию и техническое перевооружение действующих объектов, приобретение оборудования.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Объем инвестиций в основной капитал по крупным и средним предприятиям города за 2025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 год составил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34 427,8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млн рублей, или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к показателю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Объем инвестиций в основной капитал по крупным и средним организациям города Мегиона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off"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tbl>
      <w:tblPr>
        <w:tblStyle w:val="911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684"/>
        <w:gridCol w:w="1370"/>
        <w:gridCol w:w="1370"/>
        <w:gridCol w:w="1399"/>
        <w:gridCol w:w="1702"/>
      </w:tblGrid>
      <w:tr>
        <w:trPr>
          <w:trHeight w:val="615"/>
        </w:trPr>
        <w:tblPrEx/>
        <w:tc>
          <w:tcPr>
            <w:tcW w:w="368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370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2023 год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370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 год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399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Темп роста в действующих ценах, 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38"/>
        </w:trPr>
        <w:tblPrEx/>
        <w:tc>
          <w:tcPr>
            <w:tcW w:w="3684" w:type="dxa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Объем инвестиций в основной капитал, всего, млн рублей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370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31 7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66,4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370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47 963,3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399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34 427,8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71,8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составе вложений в основной капитал по видам экономической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кругу крупных и средних организаций) по прежнему лидируют инвестиции по виду экономической деятельности «Добыча полезных ископаемых», удельный вес которых составляет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3,6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За 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 инвестиционные ресурсы крупными и средними организациями в основном направлялись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машины и оборудование, включая хозяйственный инвентарь и другие объекты – 32,6%, также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 строительство зданий (кроме жилых) и сооружений, расходы на улучшение земель –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25,7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%.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pStyle w:val="1043"/>
        <w:rPr>
          <w14:ligatures w14:val="none"/>
        </w:rPr>
      </w:pPr>
      <w:r>
        <w:rPr>
          <w:lang w:eastAsia="ru-RU"/>
        </w:rPr>
        <w:t xml:space="preserve">Отраслевая структура инвестиций за 202</w:t>
      </w:r>
      <w:r>
        <w:rPr>
          <w:lang w:eastAsia="ru-RU"/>
        </w:rPr>
        <w:t xml:space="preserve">3</w:t>
      </w:r>
      <w:r>
        <w:rPr>
          <w:lang w:eastAsia="ru-RU"/>
        </w:rPr>
        <w:t xml:space="preserve">-202</w:t>
      </w:r>
      <w:r>
        <w:rPr>
          <w:lang w:eastAsia="ru-RU"/>
        </w:rPr>
        <w:t xml:space="preserve">5</w:t>
      </w:r>
      <w:r>
        <w:rPr>
          <w:lang w:eastAsia="ru-RU"/>
        </w:rPr>
        <w:t xml:space="preserve"> годы</w:t>
      </w:r>
      <w:r>
        <w:rPr>
          <w14:ligatures w14:val="none"/>
        </w:rPr>
      </w:r>
      <w:r>
        <w:rPr>
          <w14:ligatures w14:val="none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млн рублей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tbl>
      <w:tblPr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182"/>
        <w:gridCol w:w="1250"/>
        <w:gridCol w:w="1111"/>
        <w:gridCol w:w="1276"/>
      </w:tblGrid>
      <w:tr>
        <w:trPr>
          <w:cantSplit/>
          <w:trHeight w:val="103"/>
          <w:tblHeader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Отрасли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 2025 год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Темп роста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(снижения)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4"/>
                <w:lang w:eastAsia="ru-RU"/>
              </w:rPr>
              <w:t xml:space="preserve"> в 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26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Всего по городу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Мегиону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 766,4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47 963,3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34 427,8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71,8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80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Добыча полезных ископаемых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243,5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232,5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71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брабатывающие производства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554,9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244,4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618,2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 2,5 раза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01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257,4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88,0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202,0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 2,5 раза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5"/>
        </w:trPr>
        <w:tblPrEx/>
        <w:tc>
          <w:tcPr>
            <w:tcW w:w="4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65,8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5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Строительство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977,9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792,0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556,8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05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ранспортировка и хранение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217,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42,6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trHeight w:val="278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102,3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134,7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131,7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5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Государственное управление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38,5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 4,5 раза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5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78,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96,4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145,4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150,8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5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161,9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 2,2 раза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89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47,8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31,9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66,7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1"/>
        </w:trPr>
        <w:tblPrEx/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Деятельность в области информации и связи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*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*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итогам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на территории города рост инвестиционной активности наблюдается в таких отраслях, как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брабатывающие производства»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2,5 раза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2024 году),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беспечение электрической энергией, газом и паром; кондиционирование воздуха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229,4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к 2024 году),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131,7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2024 году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Государственное управление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4,5 раза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2024 году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150,8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к 2024 году)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еятельность в области здравоохранения и социальных услуг»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2,2 раза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2024 году)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Однако отмечено и сокращение инвестирования в основной капитал организаций некоторых видов экономической деятельности.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сравнении с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годом в 2025 году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произошло снижение объема капиталовложений в отрасли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«Добыча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69,7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2024 году)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«Строительство»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70,3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2024 году)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еятельность в области культуры, спорта, организации досуга и развлечений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66,7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2024 году)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Основным источником инвестиций в основной капитал являются собственные средства предприятий, которые 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составили основную долю капиталовложений крупных и средних предприятий. Их доля в 2025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составила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%, что ниже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на 1,5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процентных пункта. При этом доля привлеченных средств увеличилась с 0,4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1,9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в 2025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c00000"/>
          <w:sz w:val="24"/>
          <w:szCs w:val="24"/>
        </w:rPr>
      </w:pPr>
      <w:r>
        <w:rPr>
          <w:rFonts w:ascii="Times New Roman" w:hAnsi="Times New Roman" w:eastAsia="Calibri" w:cs="Times New Roman"/>
          <w:color w:val="c00000"/>
          <w:sz w:val="24"/>
          <w:szCs w:val="24"/>
        </w:rPr>
      </w:r>
      <w:r>
        <w:rPr>
          <w:rFonts w:ascii="Times New Roman" w:hAnsi="Times New Roman" w:eastAsia="Calibri" w:cs="Times New Roman"/>
          <w:color w:val="c00000"/>
          <w:sz w:val="24"/>
          <w:szCs w:val="24"/>
        </w:rPr>
      </w:r>
      <w:r>
        <w:rPr>
          <w:rFonts w:ascii="Times New Roman" w:hAnsi="Times New Roman" w:eastAsia="Calibri" w:cs="Times New Roman"/>
          <w:color w:val="c00000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Структура инвестиций в основной капитал по источникам финансирования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c00000"/>
          <w:sz w:val="10"/>
          <w:szCs w:val="10"/>
        </w:rPr>
      </w:pPr>
      <w:r>
        <w:rPr>
          <w:rFonts w:ascii="Times New Roman" w:hAnsi="Times New Roman" w:eastAsia="Times New Roman" w:cs="Times New Roman"/>
          <w:color w:val="c00000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color w:val="c00000"/>
          <w:sz w:val="10"/>
          <w:szCs w:val="10"/>
        </w:rPr>
      </w:r>
      <w:r>
        <w:rPr>
          <w:rFonts w:ascii="Times New Roman" w:hAnsi="Times New Roman" w:eastAsia="Times New Roman" w:cs="Times New Roman"/>
          <w:color w:val="c00000"/>
          <w:sz w:val="10"/>
          <w:szCs w:val="10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c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c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  млн рублей</w:t>
      </w:r>
      <w:r>
        <w:rPr>
          <w:rFonts w:ascii="Times New Roman" w:hAnsi="Times New Roman" w:eastAsia="Times New Roman" w:cs="Times New Roman"/>
          <w:color w:val="c00000"/>
          <w:sz w:val="20"/>
          <w:szCs w:val="20"/>
        </w:rPr>
      </w:r>
      <w:r>
        <w:rPr>
          <w:rFonts w:ascii="Times New Roman" w:hAnsi="Times New Roman" w:eastAsia="Times New Roman" w:cs="Times New Roman"/>
          <w:color w:val="c00000"/>
          <w:sz w:val="20"/>
          <w:szCs w:val="20"/>
        </w:rPr>
      </w:r>
    </w:p>
    <w:tbl>
      <w:tblPr>
        <w:tblStyle w:val="9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34"/>
        <w:gridCol w:w="1653"/>
        <w:gridCol w:w="1249"/>
        <w:gridCol w:w="1402"/>
      </w:tblGrid>
      <w:tr>
        <w:trPr>
          <w:tblHeader/>
        </w:trPr>
        <w:tblPrEx/>
        <w:tc>
          <w:tcPr>
            <w:tcW w:w="5334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Источники финансирования инвестиций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653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2651" w:type="dxa"/>
            <w:gridSpan w:val="2"/>
            <w:noWrap w:val="false"/>
            <w:textDirection w:val="lrTb"/>
          </w:tcPr>
          <w:p>
            <w:pPr>
              <w:jc w:val="right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Удельный вес, %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blHeader/>
        </w:trPr>
        <w:tblPrEx/>
        <w:tc>
          <w:tcPr>
            <w:tcW w:w="5334" w:type="dxa"/>
            <w:vMerge w:val="continue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653" w:type="dxa"/>
            <w:vMerge w:val="continue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75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Всего инвестиций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tabs>
                <w:tab w:val="left" w:pos="6845" w:leader="none"/>
              </w:tabs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34 427,8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tabs>
                <w:tab w:val="left" w:pos="6845" w:leader="none"/>
              </w:tabs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tabs>
                <w:tab w:val="left" w:pos="6845" w:leader="none"/>
              </w:tabs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09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Собственные средства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33 787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99,6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98,1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15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Привлеченные средства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640,6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0,4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23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16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заемные средства других организаций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21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кредиты банков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13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за счет бюджетных средств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ru-RU"/>
              </w:rPr>
              <w:t xml:space="preserve">599,4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85,9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93,6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19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за счет средств внебюджетных источников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98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за счет средств организаций, для привлечения долевого строительства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20"/>
        </w:trPr>
        <w:tblPrEx/>
        <w:tc>
          <w:tcPr>
            <w:tcW w:w="5334" w:type="dxa"/>
            <w:noWrap w:val="false"/>
            <w:textDirection w:val="lrTb"/>
            <w:vAlign w:val="center"/>
          </w:tcPr>
          <w:p>
            <w:pPr>
              <w:ind w:firstLine="284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за счет прочих средств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65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24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40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Структура бюджетных инвестиций за 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млн рублей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600"/>
        <w:gridCol w:w="1481"/>
        <w:gridCol w:w="1776"/>
        <w:gridCol w:w="1646"/>
      </w:tblGrid>
      <w:tr>
        <w:trPr>
          <w:trHeight w:val="547"/>
        </w:trPr>
        <w:tblPrEx/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Темп роста (снижения) %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59"/>
        </w:trPr>
        <w:tblPrEx/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347,8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177,0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599,4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3,4 раза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76"/>
        </w:trPr>
        <w:tblPrEx/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7,9 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76"/>
        </w:trPr>
        <w:tblPrEx/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Окружной бюджет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280,7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471,2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9,6 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76"/>
        </w:trPr>
        <w:tblPrEx/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125,0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105,5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84,4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 целью инвестиционной привлекательности территории в 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году была сформирована база инвестиционных предложений, включающая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в себя 1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площадок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. Вся информация об инвестиционных площадках размещена на Инвестиционном портале города Мегиона, а также на Инвестиционной карте Ханты-Мансийского автономного округа – Югры.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Весомый вклад в инвестиционное развитие города внесли проекты, реализованные в отчетном году: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spacing w:after="3" w:line="248" w:lineRule="auto"/>
        <w:ind w:left="0" w:right="14" w:firstLine="708"/>
        <w:jc w:val="both"/>
        <w:rPr>
          <w:rFonts w:ascii="Times New Roman" w:hAnsi="Times New Roman" w:cs="Times New Roman"/>
          <w:color w:val="auto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2025 году в рамках муни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ципальной программы «Развитие жилищно-коммунального комплекса и повышение энергетической эффективности в городе Мегионе» произведена замена светильников в количестве 762 шт. на сумму 6 349,92 тыс.рублей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пгт.Высокий и г.Мегионе.</w:t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</w:p>
    <w:p>
      <w:pPr>
        <w:pStyle w:val="927"/>
        <w:widowControl w:val="off"/>
        <w:ind w:firstLine="709"/>
        <w:contextualSpacing/>
        <w:jc w:val="both"/>
        <w:rPr>
          <w:rFonts w:ascii="Times New Roman" w:hAnsi="Times New Roman" w:cs="Times New Roman"/>
          <w:color w:val="auto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.Завершение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капитального ремонта здания корпуса №1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муниципального автономного общеобразовательного учреждения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«Средняя общео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бразовательная школа №4»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(далее – МАОУ «СОШ №4»)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 w:themeColor="text1"/>
          <w:sz w:val="24"/>
          <w:szCs w:val="24"/>
          <w:highlight w:val="none"/>
        </w:rPr>
      </w:r>
    </w:p>
    <w:p>
      <w:pPr>
        <w:pStyle w:val="923"/>
        <w:widowControl w:val="off"/>
        <w:shd w:val="clear" w:color="auto" w:fill="ffffff"/>
        <w:spacing w:before="0" w:beforeAutospacing="0" w:after="0" w:afterAutospacing="0"/>
        <w:ind w:left="0" w:firstLine="708"/>
        <w:contextualSpacing/>
        <w:jc w:val="both"/>
        <w:rPr>
          <w:rFonts w:ascii="Times New Roman" w:hAnsi="Times New Roman" w:cs="Times New Roman"/>
          <w:color w:val="auto" w:themeColor="text1"/>
          <w:highlight w:val="none"/>
        </w:rPr>
      </w:pP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В рамках капитального ремонта объект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МАОУ «СОШ №4»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 выполн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ены работы по замене и восстановлению строительных конструкций, инженерных сетей и дооснащение объекта технологическим оборудование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м.</w:t>
      </w:r>
      <w:r>
        <w:rPr>
          <w:rFonts w:ascii="Times New Roman" w:hAnsi="Times New Roman" w:cs="Times New Roman"/>
          <w:color w:val="auto" w:themeColor="text1"/>
          <w:highlight w:val="none"/>
        </w:rPr>
      </w:r>
      <w:r>
        <w:rPr>
          <w:rFonts w:ascii="Times New Roman" w:hAnsi="Times New Roman" w:cs="Times New Roman"/>
          <w:color w:val="auto" w:themeColor="text1"/>
          <w:highlight w:val="none"/>
        </w:rPr>
      </w:r>
    </w:p>
    <w:p>
      <w:pPr>
        <w:pStyle w:val="927"/>
        <w:widowControl w:val="off"/>
        <w:ind w:firstLine="709"/>
        <w:contextualSpacing/>
        <w:jc w:val="both"/>
        <w:rPr>
          <w:rFonts w:ascii="Times New Roman" w:hAnsi="Times New Roman" w:cs="Times New Roman"/>
          <w:color w:val="auto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Благоустройство спортивной зоны в районе памятника Первопроходцев г.Мегион («Скейт Парк»)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</w:p>
    <w:p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auto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рамках исполнения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регионального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проекта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«Формирование комфортной городской среды» в рамках национального проекта «Жилье»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выполнены работы по благоустройству объекта «Спортивная зона в районе памятника Первопроходцам г.Мегион»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  <w:r>
        <w:rPr>
          <w:rFonts w:ascii="Times New Roman" w:hAnsi="Times New Roman" w:cs="Times New Roman"/>
          <w:color w:val="auto" w:themeColor="text1"/>
          <w:sz w:val="24"/>
          <w:szCs w:val="24"/>
        </w:rPr>
      </w:r>
    </w:p>
    <w:p>
      <w:pPr>
        <w:pStyle w:val="98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shd w:val="clear" w:color="auto" w:fill="ffffff"/>
        </w:rPr>
        <w:t xml:space="preserve">Продолжает работу в</w:t>
      </w:r>
      <w:r>
        <w:rPr>
          <w:color w:val="000000" w:themeColor="text1"/>
          <w:highlight w:val="white"/>
          <w:shd w:val="clear" w:color="auto" w:fill="ffffff"/>
        </w:rPr>
        <w:t xml:space="preserve">недренный ранее </w:t>
      </w:r>
      <w:r>
        <w:rPr>
          <w:color w:val="000000" w:themeColor="text1"/>
          <w:highlight w:val="white"/>
          <w:shd w:val="clear" w:color="auto" w:fill="ffffff"/>
        </w:rPr>
        <w:t xml:space="preserve">муниципальн</w:t>
      </w:r>
      <w:r>
        <w:rPr>
          <w:color w:val="000000" w:themeColor="text1"/>
          <w:highlight w:val="white"/>
          <w:shd w:val="clear" w:color="auto" w:fill="ffffff"/>
        </w:rPr>
        <w:t xml:space="preserve">ый</w:t>
      </w:r>
      <w:r>
        <w:rPr>
          <w:color w:val="000000" w:themeColor="text1"/>
          <w:highlight w:val="white"/>
          <w:shd w:val="clear" w:color="auto" w:fill="ffffff"/>
        </w:rPr>
        <w:t xml:space="preserve"> инвестиционн</w:t>
      </w:r>
      <w:r>
        <w:rPr>
          <w:color w:val="000000" w:themeColor="text1"/>
          <w:highlight w:val="white"/>
          <w:shd w:val="clear" w:color="auto" w:fill="ffffff"/>
        </w:rPr>
        <w:t xml:space="preserve">ый</w:t>
      </w:r>
      <w:r>
        <w:rPr>
          <w:color w:val="000000" w:themeColor="text1"/>
          <w:highlight w:val="white"/>
          <w:shd w:val="clear" w:color="auto" w:fill="ffffff"/>
        </w:rPr>
        <w:t xml:space="preserve"> стандарт</w:t>
      </w:r>
      <w:r>
        <w:rPr>
          <w:color w:val="000000" w:themeColor="text1"/>
          <w:highlight w:val="white"/>
          <w:shd w:val="clear" w:color="auto" w:fill="ffffff"/>
        </w:rPr>
        <w:t xml:space="preserve">, направленный на </w:t>
      </w:r>
      <w:r>
        <w:rPr>
          <w:color w:val="000000" w:themeColor="text1"/>
          <w:highlight w:val="white"/>
          <w:shd w:val="clear" w:color="auto" w:fill="ffffff"/>
        </w:rPr>
        <w:t xml:space="preserve">орган</w:t>
      </w:r>
      <w:r>
        <w:rPr>
          <w:color w:val="000000" w:themeColor="text1"/>
          <w:highlight w:val="white"/>
          <w:shd w:val="clear" w:color="auto" w:fill="ffffff"/>
        </w:rPr>
        <w:t xml:space="preserve">изацию</w:t>
      </w:r>
      <w:r>
        <w:rPr>
          <w:color w:val="000000" w:themeColor="text1"/>
          <w:highlight w:val="white"/>
          <w:shd w:val="clear" w:color="auto" w:fill="ffffff"/>
        </w:rPr>
        <w:t xml:space="preserve"> системной работы по сопровождению инвестиционных проектов муниципальным образованием</w:t>
      </w:r>
      <w:r>
        <w:rPr>
          <w:color w:val="000000" w:themeColor="text1"/>
          <w:highlight w:val="white"/>
          <w:shd w:val="clear" w:color="auto" w:fill="ffffff"/>
        </w:rPr>
        <w:t xml:space="preserve">, п</w:t>
      </w:r>
      <w:r>
        <w:rPr>
          <w:color w:val="000000" w:themeColor="text1"/>
          <w:highlight w:val="white"/>
        </w:rPr>
        <w:t xml:space="preserve">ри активном участии представителей бизнес-сообщества и жителей города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Проводится активная работа в части актуализации р</w:t>
      </w:r>
      <w:r>
        <w:rPr>
          <w:color w:val="000000" w:themeColor="text1"/>
          <w:highlight w:val="white"/>
        </w:rPr>
        <w:t xml:space="preserve">азработан</w:t>
      </w:r>
      <w:r>
        <w:rPr>
          <w:color w:val="000000" w:themeColor="text1"/>
          <w:highlight w:val="white"/>
        </w:rPr>
        <w:t xml:space="preserve">ного Инвестиционного</w:t>
      </w:r>
      <w:r>
        <w:rPr>
          <w:color w:val="000000" w:themeColor="text1"/>
          <w:highlight w:val="white"/>
        </w:rPr>
        <w:t xml:space="preserve"> профил</w:t>
      </w:r>
      <w:r>
        <w:rPr>
          <w:color w:val="000000" w:themeColor="text1"/>
          <w:highlight w:val="white"/>
        </w:rPr>
        <w:t xml:space="preserve">я</w:t>
      </w:r>
      <w:r>
        <w:rPr>
          <w:color w:val="000000" w:themeColor="text1"/>
          <w:highlight w:val="white"/>
        </w:rPr>
        <w:t xml:space="preserve"> города, который содержит комплексную оценку инвестиционного потенциала города, информацию о доступной инфраструктуре, приоритетных направлениях развития, сведения об инвестиционных площадках, а также готовые бизнес-кейсы. 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инвестиционного развития города и постоянного взаимодействия администрации города с представителями бизнес-сообщества функционирует совещательный орган при главе города</w:t>
      </w:r>
      <w:r>
        <w:rPr>
          <w:rFonts w:ascii="Times New Roman" w:hAnsi="Times New Roman" w:cs="Times New Roman"/>
          <w:sz w:val="24"/>
          <w:szCs w:val="24"/>
        </w:rPr>
        <w:t xml:space="preserve"> Совет по вопросам развития инвестиционной деятельности в городском </w:t>
      </w:r>
      <w:r>
        <w:rPr>
          <w:rFonts w:ascii="Times New Roman" w:hAnsi="Times New Roman" w:cs="Times New Roman"/>
          <w:sz w:val="24"/>
          <w:szCs w:val="24"/>
        </w:rPr>
        <w:t xml:space="preserve">округе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 рамках деятельности Совета в 2025 году рассмотрены вопросы, связанные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 вовлечением земельных участков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 в хозяйственный оборот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, в том числе с торгов,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реализацией инвестиционных проектов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на территории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информированием предпринимательского сообщества о мерах поддержки, услугах, возможностях в рамках предпринимательской деятельности,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овлечени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частного недвижимого имущества в формирование базы свободных инвестиционных площадок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города Мегиона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а также другие вопросы, связанные с развитием инвестиционной деятельности на территории города.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ff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2025 году была продо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лжена работа по сбору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актуализации информации о ходе реализации проектов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shd w:val="clear" w:color="auto" w:fill="ffffff"/>
          <w:lang w:eastAsia="ru-RU"/>
        </w:rPr>
        <w:t xml:space="preserve">входящих в «Карту развития Югры»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 итогам года в «Карту развития Югры» включены 35 проектов, из них 19 уже реализованы (3 в 2025 году). </w:t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  <w:shd w:val="clear" w:color="auto" w:fill="ffffff"/>
        </w:rPr>
      </w:r>
    </w:p>
    <w:p>
      <w:pPr>
        <w:pStyle w:val="923"/>
        <w:widowControl w:val="off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Приоритетным направлением</w:t>
      </w:r>
      <w:r>
        <w:rPr>
          <w:color w:val="000000" w:themeColor="text1"/>
        </w:rPr>
        <w:t xml:space="preserve"> в деятельности администрации </w:t>
      </w:r>
      <w:r>
        <w:rPr>
          <w:color w:val="000000" w:themeColor="text1"/>
        </w:rPr>
        <w:t xml:space="preserve">также является</w:t>
      </w:r>
      <w:r>
        <w:rPr>
          <w:color w:val="000000" w:themeColor="text1"/>
        </w:rPr>
        <w:t xml:space="preserve"> реализация национальных проектов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  <w:highlight w:val="none"/>
        </w:rPr>
        <w:t xml:space="preserve">В 2025 году в России стартовал новый цикл национальных проектов, рассчитанный до 2030 года. Всего было запущено 19 национальных проектов, которые пришли на смену портфелям проектов предыдущего периода.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23"/>
        <w:widowControl w:val="off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  <w:t xml:space="preserve">В 2025 году работа администрации была направлена на запуск и исполнение новых национальных проектов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spacing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 Мегион принима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национальных проектах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том числе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региональных проектах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«Инфраструктура для жизни»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Жилье»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«Формирование комфортной городской среды»);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Молодежь и дети»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Все лучшее детям»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Профессионалитет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Педагоги и наставники»,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«Россия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– страна возможностей»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Мы вместе (Воспитание гармонично развитой личности);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Семья»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eastAsia="ru-RU"/>
        </w:rPr>
        <w:t xml:space="preserve"> (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Семейные ценности и инфраструктура культуры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eastAsia="ru-RU"/>
        </w:rPr>
        <w:t xml:space="preserve">);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Эффективная и конкурентная экономика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(«Малое и среднее предпринимательство и поддержка индивидуальной предпринимательско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инициативы»).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С целью дальнейшего инвестиционного развития города Мегиона в 202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году запланирован ряд проектов,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особое значение из которых имеет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shd w:val="clear" w:color="auto" w:fill="ffffff"/>
          <w:lang w:eastAsia="ru-RU"/>
        </w:rPr>
        <w:t xml:space="preserve"> реализация значимого для города объекта «Строительство дороги по улице Нефтяников от улицы Заречная до улицы Губкина, г.Мегион», строительство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образовательного учреждения для воспитанников с отклонениями в развитии 8 вида, г.Мегион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, ремонт внутриквартальных проездов и площадок, а также</w:t>
      </w:r>
      <w:r>
        <w:rPr>
          <w:color w:val="auto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родолжается работа по созданию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масштабн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инвестиционн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ого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проект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«Создание и развитие промышленного парка на территории города Мегиона»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за счет частных инвестиций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, при реализации которого ожидается создание 50 новых рабочих мест, вовлечение в оборот ранее неиспользуемых земель, повышение инвестиционной привлекательности города, увеличение налоговых поступлений в местный бюджет.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Строительство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Объем выполненных работ по виду экономической деятельности «Строительство» без учета субъектов 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лого предпринимательства за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 составил 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331,7 млн рублей, или 102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к уровню 2024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года в действующих ценах.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6845" w:leader="none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6845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Объем работ, выполненных крупными и средними предприятиями и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6845" w:leader="none"/>
        </w:tabs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виду деят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ельности «Строительство» 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6845" w:leader="none"/>
        </w:tabs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млн рублей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9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0"/>
        <w:gridCol w:w="1485"/>
        <w:gridCol w:w="1359"/>
        <w:gridCol w:w="1485"/>
        <w:gridCol w:w="1352"/>
      </w:tblGrid>
      <w:tr>
        <w:trPr>
          <w:trHeight w:val="130"/>
        </w:trPr>
        <w:tblPrEx/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Темп роста (снижения)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8"/>
        </w:trPr>
        <w:tblPrEx/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  <w:t xml:space="preserve">Объем работ, выполненных по виду деятельности «Строительство»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  <w:t xml:space="preserve">4 398,1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  <w:t xml:space="preserve">4 245,1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  <w:t xml:space="preserve">4 331,7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  <w:t xml:space="preserve">102,0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</w:tr>
    </w:tbl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площадь введенного жилья в городе составила 6,5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тыс.кв.м., что на 73,8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ниже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ня соответствующего периода 2024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области градостроительной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выполнялись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стратегические задачи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реализации на территории города документов территориального планирования градостроительного зонирования, документации по планировке территорий; ведению информационной системы обеспечения градостроительной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Внесены изменения в генеральный план города, правила землепользования и застройки, а также правила благоустройства территории города Мегиона.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рамках исполнения муниципальной программы «Мероприятия в области градостроительной деятельности города Мегиона»: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разработаны проекты планировки и проекты межевания территорий улично-дорожной сети улиц 50 лет Октября, Транспортная, Садовая, Строителей, Геологов и Ленина;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выполнены 1 и 2 этапы муниципального контракта на выполнение научно-исследовательской работы «Комплексный проект градостроительного развития территории города Мегиона».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widowControl w:val="off"/>
        <w:tabs>
          <w:tab w:val="left" w:pos="851" w:leader="none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34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МАЛОЕ ПРЕДПРИНИМАТЕЛЬСТВО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Малое и среднее предпринимательство является важным элементом рыночной экономики. Субъект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 малого и среднего предпри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ниматель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ства присутствуют практически во всех отраслях производственной и непроизводственной сфер деятельности.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Развитие малого и среднего предпри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ниматель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ства способствует повышению благосостояния граждан, созданию новых рабочих мест, увеличению доходной части бюджета.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  <w:t xml:space="preserve">Согласно сведениям из Единого реестра субъектов малого и среднего предпринимательства Федеральной налоговой службы по состоянию на 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  <w:lang w:val="en-US"/>
        </w:rPr>
        <w:t xml:space="preserve">10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  <w:t xml:space="preserve">.01.2026 на территории городского округа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осуществляют свою деятельность в различных отраслях экономики 1 662 субъекта малого и среднего предпринимательства, в том числе 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  <w:t xml:space="preserve">370 микро-, малых и средних предприятий и 1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  <w:t xml:space="preserve">292 индивидуальных предпринимателей, что выше показателя 2024 года на 0,4% (в 2024 году – 1 656 ед.). </w:t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Cs/>
          <w:iCs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  <w:rPr>
          <w:rFonts w:eastAsia="Calibri"/>
          <w:bCs/>
          <w:iCs/>
          <w:highlight w:val="none"/>
        </w:rPr>
      </w:pPr>
      <w:r>
        <w:rPr>
          <w:rFonts w:eastAsia="Calibri"/>
          <w:bCs/>
          <w:iCs/>
          <w:highlight w:val="none"/>
        </w:rPr>
      </w:r>
      <w:r>
        <w:rPr>
          <w:rFonts w:eastAsia="Calibri"/>
          <w:bCs/>
          <w:iCs/>
          <w:highlight w:val="none"/>
        </w:rPr>
      </w:r>
      <w:r>
        <w:rPr>
          <w:rFonts w:eastAsia="Calibri"/>
          <w:bCs/>
          <w:iCs/>
          <w:highlight w:val="none"/>
        </w:rPr>
      </w:r>
    </w:p>
    <w:p>
      <w:pPr>
        <w:pStyle w:val="923"/>
        <w:spacing w:before="0" w:beforeAutospacing="0" w:after="0" w:afterAutospacing="0"/>
        <w:ind w:firstLine="709"/>
        <w:jc w:val="center"/>
        <w:rPr>
          <w:highlight w:val="none"/>
        </w:rPr>
      </w:pPr>
      <w:r>
        <w:rPr>
          <w:highlight w:val="none"/>
        </w:rPr>
        <w:t xml:space="preserve">Показатели развития малого и среднего предпринимательства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before="0" w:beforeAutospacing="0" w:after="0" w:afterAutospacing="0"/>
        <w:ind w:firstLine="70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11"/>
        <w:tblW w:w="0" w:type="auto"/>
        <w:tblInd w:w="0" w:type="dxa"/>
        <w:tblLook w:val="04A0" w:firstRow="1" w:lastRow="0" w:firstColumn="1" w:lastColumn="0" w:noHBand="0" w:noVBand="1"/>
      </w:tblPr>
      <w:tblGrid>
        <w:gridCol w:w="4540"/>
        <w:gridCol w:w="1789"/>
        <w:gridCol w:w="1789"/>
        <w:gridCol w:w="1510"/>
      </w:tblGrid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2024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2025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rStyle w:val="931"/>
                <w:b w:val="0"/>
                <w:sz w:val="20"/>
                <w:szCs w:val="20"/>
                <w:highlight w:val="none"/>
              </w:rPr>
              <w:t xml:space="preserve">Темп роста (снижения), %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Количество субъектов малого и среднего предпринимательства (без учета индивидуальных предпринимателей)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94,9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Индивидуальные предприниматели, человек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266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292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102,1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Среднесписочная численность работающих на малых и средних предприятиях, тыс. человек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98,0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Доля работающих на предприятиях малого и среднего предпринимательства в общей численности работающих,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25,4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24,9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- 0,5 п/п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454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Количество самозанятых граждан, зафиксировавших свой статус и применяющих специальный налоговый режим «Налог на профессиональный доход», нарастающим итогом тыс. человек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89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10" w:type="dxa"/>
            <w:noWrap w:val="false"/>
            <w:textDirection w:val="lrTb"/>
          </w:tcPr>
          <w:p>
            <w:pPr>
              <w:pStyle w:val="923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144,7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80"/>
        <w:ind w:firstLine="709"/>
        <w:contextualSpacing/>
        <w:jc w:val="both"/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80"/>
        <w:ind w:firstLine="709"/>
        <w:contextualSpacing/>
        <w:jc w:val="both"/>
        <w:rPr>
          <w:highlight w:val="none"/>
        </w:rPr>
      </w:pPr>
      <w:r>
        <w:rPr>
          <w:bCs/>
          <w:highlight w:val="none"/>
        </w:rPr>
        <w:t xml:space="preserve">Н</w:t>
      </w:r>
      <w:r>
        <w:rPr>
          <w:bCs/>
          <w:highlight w:val="none"/>
        </w:rPr>
        <w:t xml:space="preserve">аиболее распространенными видами экономической деятельности в сфере малого и среднего предпринимательства на территории города являются деятельность прочего сухопутного транспорта (24,2%), оптовая и розничная торговля (20,5%), деятельность ресторанов и пре</w:t>
      </w:r>
      <w:r>
        <w:rPr>
          <w:bCs/>
          <w:highlight w:val="none"/>
        </w:rPr>
        <w:t xml:space="preserve">д</w:t>
      </w:r>
      <w:r>
        <w:rPr>
          <w:bCs/>
          <w:highlight w:val="none"/>
        </w:rPr>
        <w:t xml:space="preserve">приятий общественного питания, производство хлебобулочных изделий, продуктов питания (4,5%), строительство жилых и нежилых зданий (1,9%), предоставление услуг парикмахерскими и салонами красоты (3,7%), техническое обслуживание и ремонт автотранспортных сре</w:t>
      </w:r>
      <w:r>
        <w:rPr>
          <w:bCs/>
          <w:highlight w:val="none"/>
        </w:rPr>
        <w:t xml:space="preserve">дств (2,6%), образование (2,0%), деятельность в сфере медицины (1,6%).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налоговых поступлений в городской бюджет от субъектов малого бизнеса за январь-декабрь 2025 года составил 267,2 млн рублей, в том числе: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налог, взимаемый с налогоплательщиков, выбравших в качестве объекта налогооблажения доходы, – 189,0 млн рублей;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налог, взимаемый с налогоплательщиков, выбравших в качестве объекта налогооблажения доходы, уменьшенные на величину расходов, – 68,93 млн рублей;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виде стоимости патента в связи с применением патентной системы налогообложения – 9,2 млн рублей.;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единый налог на вмененный доход для отдельных видов деятельности и единый сельскохозяйственный налог – 0,07 млн рублей.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Удельный вес налогов на совокупный доход в общем объеме поступивших налоговых доходов в бюджет города Мегиона вырос с 13,4% в январе-декабре 2024 года до 15,5% в январе-декабре 2025 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Основным инструментом реализации государственной политики в области развития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бизнеса является муниципальная программа «Поддержка и развитие малого и среднего предпринимательства на территории города Мегиона».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Общий объем финансирования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мероприятий программы в 2025 году составил 4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,5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млн рублей.</w:t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В рамках регионального проекта «Малое и среднее предпринимательство и поддержка индивидуальной предпринимательской инициативы» финансовую поддержку в размере 4,5 млн рублей, получили 18 субъектов малого и среднего предпринимательства, осуществляющие социал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ьно-значимые виды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убъекты, осуществляющие деятельность в области здравоохранения, спорта, отдыха и развлечений, гостиниц и прочих мест для временного проживания, в сфере туризма,  предоставления социальных услуг без обеспечения проживания престарелым и инвалидам,  прочих ус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уг (ремонт часов и ювелирных изделий, химчистка, организация похорон, парикмахерские и салоны красоты) получили финансовую поддержку по следующим направлениям: на аренду нежилых помещений, на приобретение оборудования, на коммунальные услуги. Одним из усло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вий предоставления субсидий являлось сохранение рабочих мест на дату подачи заявления, все рабочие места сохранены. 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iCs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В соответствии с постановлением админи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страции города Мегиона  от 30.06.2023 №1098 «Об утверждении Порядка оказания имущественной поддержки (преференции) субъектам малого и среднего предпринимательства и организациям, образующим инфраструктуру поддержки субъектов малого и среднего предпринимате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eastAsia="Calibri" w:cs="Times New Roman"/>
          <w:bCs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в 2025 году была оказана имущественная поддержка физическому лицу, не являющимся индивидуальным предпринимателем и применяющим специальный налоговый режим «Налог на пр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офессиональный доход»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в виде передачи объекта некапитального строения.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iCs/>
          <w:color w:val="ff0000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убъектам малого и среднего предпринимательства оказывается информационно-консультационная поддержка путем размещения объявлений и публикации материалов по актуальным вопросам предпринимательства, о реализации мероприятий муниципальной программы на сайте ад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министрации города, в средствах массовой информации и социальных сетях.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ля координации деятельности субъектов малого и среднего предпринимательства города осуществляют деятельность Нижневартовский филиал Фонда поддержки предпринимательства «Мой бизнес», фонд «Югорская региональная микрокредитная компания», Союз «Нижневартовска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я Территориальная палата предпринимателей»,  Мегионская ассоциация малого и среднего бизнеса.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  <w:t xml:space="preserve">В отчетном году было организовано и проведено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highlight w:val="none"/>
        </w:rPr>
        <w:t xml:space="preserve">праздничное мероприятие, приуроченное ко Дню российского предпринимательства.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В декабре приняли участие в юбилейной выставке «Товары земли Югорской» в городе Ханты-Мансийске, наш город представил шесть торговых площадок.</w:t>
      </w:r>
      <w:r>
        <w:rPr>
          <w:rFonts w:ascii="Roboto" w:hAnsi="Roboto" w:eastAsia="Roboto" w:cs="Roboto"/>
          <w:color w:val="333333"/>
          <w:sz w:val="23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4"/>
          <w:szCs w:val="24"/>
          <w:highlight w:val="none"/>
        </w:rPr>
      </w:r>
    </w:p>
    <w:p>
      <w:pPr>
        <w:widowControl w:val="off"/>
        <w:tabs>
          <w:tab w:val="left" w:pos="851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  <w:t xml:space="preserve"> 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ЖИЛИЩНО-КОММУНАЛЬНЫЙ КОМПЛЕКС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keepNext/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pacing w:val="4"/>
          <w:sz w:val="24"/>
          <w:szCs w:val="24"/>
          <w:lang w:eastAsia="ru-RU"/>
        </w:rPr>
        <w:t xml:space="preserve">Жилищно-коммунальный комплекс является одной из важнейших отраслей социально-экономической сферы Ханты-Мансийского автономного округа – Югры, который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играет важную социальную, экономическую и экологическую роль в жизни современного общества,</w:t>
      </w:r>
      <w:r>
        <w:rPr>
          <w:rFonts w:ascii="Times New Roman" w:hAnsi="Times New Roman" w:eastAsia="Calibri" w:cs="Times New Roman"/>
          <w:color w:val="000000" w:themeColor="text1"/>
          <w:spacing w:val="4"/>
          <w:sz w:val="24"/>
          <w:szCs w:val="24"/>
          <w:lang w:eastAsia="ru-RU"/>
        </w:rPr>
        <w:t xml:space="preserve"> формирует и развивает комфортную </w:t>
      </w:r>
      <w:r>
        <w:rPr>
          <w:rFonts w:ascii="Times New Roman" w:hAnsi="Times New Roman" w:eastAsia="Calibri" w:cs="Times New Roman"/>
          <w:color w:val="000000" w:themeColor="text1"/>
          <w:spacing w:val="4"/>
          <w:sz w:val="24"/>
          <w:szCs w:val="24"/>
          <w:lang w:eastAsia="ru-RU"/>
        </w:rPr>
        <w:t xml:space="preserve">среду для проживания граждан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Стабильность работы и уровень предоставляемых жилищно-коммунальных услуг непосредственно оказывают влияние на качество жизни населения и развития экономики городского округа.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Современное жилищно-коммунальное хозяйство </w:t>
      </w:r>
      <w:r>
        <w:rPr>
          <w:rFonts w:ascii="Times New Roman" w:hAnsi="Times New Roman" w:eastAsia="Calibri" w:cs="Times New Roman"/>
          <w:color w:val="000000" w:themeColor="text1"/>
          <w:spacing w:val="4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это многоотраслевой комплекс, включающий взаимосвязанные между собой предприятия и организации.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Система теплоснабжения городского округа включает: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20 установленных котлов с суммарной тепловой мощностью 487,08 Гкал/час;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24 центральных тепловых пунктов и 6 подмешивающих станций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Общая протяженность сетей теплоснабжения в двухтрубном исчислении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составляет 130,11 км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протяженность сетей с износом более 60% составляет 29,6 %. Всего износ тепловых сетей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составляют 46 %.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Услугой центрального теплоснабжен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ия городского округа охвачено 97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2% общей площади жилищного фонда,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горячим водоснабжением обеспечено 78,9% жилищного фонда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Потребителями тепла являются жилые дома капитального и некапитального испо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лнения, бюджетные организации и прочие потребители.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систему водоснабжения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входят: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 водозабора;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num" w:pos="993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31 артезианская скважина;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num" w:pos="993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 насосные станции II подъема, в том числе: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num" w:pos="993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 единицы водоочистных сооружений;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num" w:pos="993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резервуаров чистой воды.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Общая протяженность водопроводных сетей за 01.01.2026 составляет 152,04 км, имеющие износ более 60% составляют 74,94 км.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Источником водоснабжения города и поселка городского типа Высокий являются подземные воды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Атлым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-Новомихайловского и Тавдинского водоносных комплексов.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территории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общая площадь жилых помещений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составляет 1 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56,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тыс.кв.м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Проблема неплатежей за коммунальные 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для предприятий жилищно-коммунального комплекса остается одной из актуальных.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6 дебиторская задолженность по предприятиям жилищно-коммунального хозяйства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сост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авила 649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07 млн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 рублей, что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9,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9%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меньше, чем за аналогичный период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 года.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Основным дебитором организаций жилищно-коммунального хозяйства, по-прежнему, остается население и в целях снижения дебиторской задолженности предприятиями жилищно-коммунального комплекса города проводится контроль и анализ дебиторской задолженности.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keepNext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bidi="en-US"/>
        </w:rPr>
        <w:t xml:space="preserve">Размер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задолженности населения за оказанные жилищно-коммунальные услуги составляет 593,23  млн рублей (за период с января по декабрь 2025)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в том числе размер просроченной задолженности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(свыше 2 месяцев) 419,66 млн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Ежемесячно осуществляется мониторинг долгов, составление реестров должников с остатками сумм по лицевым счетам, подключение юридической службы для проведения работы по досудебному урегулированию, начисление пени.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Льготной категории населения предоставляются субсидии.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число семей, которым были предоставлены субсидии по оплате жилищно-коммунальных услуг, увеличилось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0,9% и составило 217 семей (215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семей 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Объем предоставленных субсидий на оплату жилого помещения и коммунальных услуг за отчетный период составил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 млн рублей (1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 млн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рублей на 01.01.2025), что на 2,9%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меньше, чем за январь-декабрь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 года.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Улучшению качественных характеристик жилищного фонда, его сохранности, а также продлению срока эксплуатации способствует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комплекс работ и услуг по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содержанию, техническому обслуживанию, текущему и капитальному ремонту,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выполняемых с целью поддержания его потребительских свойств и эффективной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эксплуатации в течение всего жизненного цикла многоквартирных домов.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целях улучшения условий проживания граждан в 2025 году продолжалось переселение граждан из жилищного фонда, признанного непригодным для проживания. В период с января по декабрь 2025 год</w:t>
      </w:r>
      <w:r>
        <w:rPr>
          <w:rFonts w:ascii="Times New Roman" w:hAnsi="Times New Roman"/>
          <w:color w:val="auto"/>
          <w:sz w:val="24"/>
          <w:szCs w:val="24"/>
        </w:rPr>
        <w:t xml:space="preserve">а </w:t>
      </w:r>
      <w:r>
        <w:rPr>
          <w:rFonts w:ascii="Times New Roman" w:hAnsi="Times New Roman"/>
          <w:color w:val="auto"/>
          <w:sz w:val="24"/>
          <w:szCs w:val="24"/>
        </w:rPr>
        <w:t xml:space="preserve">снесено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35</w:t>
      </w:r>
      <w:r>
        <w:rPr>
          <w:rFonts w:ascii="Times New Roman" w:hAnsi="Times New Roman"/>
          <w:color w:val="auto"/>
          <w:sz w:val="24"/>
          <w:szCs w:val="24"/>
        </w:rPr>
        <w:t xml:space="preserve"> многоквартирных домов, включая 2</w:t>
      </w:r>
      <w:r>
        <w:rPr>
          <w:rFonts w:ascii="Times New Roman" w:hAnsi="Times New Roman"/>
          <w:color w:val="auto"/>
          <w:sz w:val="24"/>
          <w:szCs w:val="24"/>
        </w:rPr>
        <w:t xml:space="preserve">5</w:t>
      </w:r>
      <w:r>
        <w:rPr>
          <w:rFonts w:ascii="Times New Roman" w:hAnsi="Times New Roman"/>
          <w:color w:val="auto"/>
          <w:sz w:val="24"/>
          <w:szCs w:val="24"/>
        </w:rPr>
        <w:t xml:space="preserve"> домов в городе и 10 в </w:t>
      </w:r>
      <w:r>
        <w:rPr>
          <w:rFonts w:ascii="Times New Roman" w:hAnsi="Times New Roman"/>
          <w:color w:val="auto"/>
          <w:sz w:val="24"/>
          <w:szCs w:val="24"/>
        </w:rPr>
        <w:t xml:space="preserve">пгт</w:t>
      </w:r>
      <w:r>
        <w:rPr>
          <w:rFonts w:ascii="Times New Roman" w:hAnsi="Times New Roman"/>
          <w:color w:val="auto"/>
          <w:sz w:val="24"/>
          <w:szCs w:val="24"/>
        </w:rPr>
        <w:t xml:space="preserve">. Высокий.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Перспективным направлением деятельности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для города Мегиона является поддержка местных инициатив. Конкурсный отбор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инициативных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проектов направлен на реализацию социально значимых проектов на территории города с привлечением граждан и организаций к деятельности органов местного самоуправления в решении вопросов местного значения.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keepNext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целях информирования населения о переходе на новую систему обращения с отходами на официальном сайте администрации города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Мегиона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 создан раздел «Развитие экологической безопасности на территории города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Мегион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», в котором для населения города размещена вся необходимая информация о переходе, активно выходили новостные ленты по обозначенному вопросу.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Arial"/>
          <w:color w:val="000000" w:themeColor="text1"/>
          <w:sz w:val="24"/>
          <w:szCs w:val="24"/>
          <w:lang w:eastAsia="ru-RU"/>
        </w:rPr>
        <w:t xml:space="preserve">            Также управляющими организациями проводилась работа по информированию населения путем размещения данной информации на обратной стороне квитанций.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keepNext/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города в рамках переданных отдельных государственных полномочий ведется реестр мест накопления твердых коммунальных отходов, который размещен на официальном сайте.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keepNext/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Проводится комплексная работа по определению мест для обустройства площадок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накопления твердых коммунальных отходов.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АГРОПРОМЫШЛЕННЫЙ КОМПЛЕКС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sz w:val="24"/>
          <w:szCs w:val="24"/>
          <w:lang w:eastAsia="ru-RU"/>
        </w:rPr>
      </w:pPr>
      <w:r>
        <w:rPr>
          <w:rFonts w:ascii="Times New Roman" w:hAnsi="Times New Roman" w:eastAsia="Calibri Light" w:cs="Times New Roman"/>
          <w:sz w:val="24"/>
          <w:szCs w:val="24"/>
          <w:lang w:eastAsia="ru-RU"/>
        </w:rPr>
        <w:t xml:space="preserve">Основной составной частью сельскохозяйственной отрасли города Мегиона являются личные хозяйства населения, роль которых сводится к самообеспечению основными продуктами питания.</w:t>
      </w:r>
      <w:r>
        <w:rPr>
          <w:rFonts w:ascii="Times New Roman" w:hAnsi="Times New Roman" w:eastAsia="Calibri Light" w:cs="Times New Roman"/>
          <w:sz w:val="24"/>
          <w:szCs w:val="24"/>
          <w:lang w:eastAsia="ru-RU"/>
        </w:rPr>
      </w:r>
      <w:r>
        <w:rPr>
          <w:rFonts w:ascii="Times New Roman" w:hAnsi="Times New Roman" w:eastAsia="Calibri Light" w:cs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 Light" w:cs="Times New Roman"/>
          <w:sz w:val="24"/>
          <w:szCs w:val="24"/>
          <w:lang w:eastAsia="ru-RU"/>
        </w:rPr>
        <w:t xml:space="preserve">Администрация города осуществляет отдельные государственные полномочия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 поддержке сельскохозяйственного производства, деятельности по заготовке и переработке дикоросов (за исключением мероприятий, предусмотренных федеральными целевыми программами).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Основной задачей в сфе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ре агропромышленного комплекса является создание условий для расширения рынка сельскохозяйственной продукции, сырья и продовольствия, осуществление переданного государственного полномочия автономного округа по поддержке сельскохозяйственного производства.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За отчетный период проведено 238 ярмарок. Для прямого сбыта товаров отечественной продукции сельхозтоваропроизводителей, в том числе произведенной крестьянскими (фермерскими) хозяйствами, личными подсобными хозяйствами, гражданами, занимающимися сад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оводством, огородничеством, животноводством на территории города Мегиона в местах повышенной проходимости действуют 4 торговые площадки на прилегающих территориях к торговым центрам «Уют», «Универсам», торговому комплексу «Купец и К», магазину «Северянка».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Для проведения выставок-ярмарок используется городская площадь на пересечении улиц Заречной и Нефтяников в соответствии с планом-графиком ярмарок, ярмарок «выходного дня».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На 01.01.2026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на территории города Мегиона зарегистрировано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общество с ограниченной ответственностью «Топ Фиш», занимающееся производством и реализацией рыбной продукции.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похозяйственной книге зарегистрировано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личн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ых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подсобн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ых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хозяйств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ПОТРЕБИТЕЛЬСКИЙ РЫНОК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состоянию на 01.01.202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на территории города Мегиона расположено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88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стационарных торговых объекта (магазины) и 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нестационарных торговых объекта (киоски, павильоны) общей торговой площадью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42,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тыс. кв.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Обеспеченность жителей города Мегиона 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стационарных торго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вых объектах составила 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,9% от норматива минимальной обеспеченности населения количеством стационарных торговых объектов (норматив 153 объекта на город Мегион) и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125,0% от норматива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минимальной 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беспеченности населения количеством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стационарных торговых объектов (норматив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32 объекта на город Мегион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Сегодня на потребительском рынке города Мегиона преобладающей формой является частная форма собственности. Оборот розничной торговли, полученный через все каналы реализации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 2025 год составил 16 720,3 млн рублей, что в действующих ценах составило 100,2% к аналогичному периоду 2024 года.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структуре товарооборота за отчетный период 2025 года удельный вес продовольственных товаров составляет более 50,0%.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Оборот розничной торговли города Мегиона за январь-декабрь 2025 года в расчете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душу населения составил 280,9 тыс. рублей (2024 год 279,4 тыс. рублей)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Сеть организаций общественного питания представлена в городе такими формами как кафе, столовые, рестораны.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состоянию на 01.01.2026 в городе работает 77 предприятий общественного питания на 4 237 посадочных мест, в том числе по видам: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рестораны – 3 ед., 242 пос. места;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кафе – 21 ед., 1 344 пос. места;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бары – 5 ед., 91 пос. место;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иные (буфеты, закусочные, магазины-кулинарии) – 26 ед., 194 пос. мест;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столовые – 22 ед., 2 366 пос. мест, из них школьные столовые – 10 ед., 1 836 пос. мест.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При нормативе 40 посадочных мест на 1 000 жителей общедоступная сеть предприяти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  <w:t xml:space="preserve">й общественного питания города Мегиона обеспечивает потребность населения в посадочных местах на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  <w:t xml:space="preserve">78,3%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Помимо торговли и общественного питания, потребительский рынок насыщают также платные услуги.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платных услуг за 2025 год, оказанных населению города Мегиона составил 4 695,4 млн рублей, или 100,1% к аналогичному периоду 2024 года. Более 50% объема платных услуг в январе-декабре 2025 года формировался крупными и средними организациями.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3"/>
        <w:spacing w:before="0" w:beforeAutospacing="0" w:after="0" w:afterAutospacing="0"/>
        <w:ind w:firstLine="709"/>
        <w:jc w:val="both"/>
        <w:rPr>
          <w:highlight w:val="none"/>
        </w:rPr>
      </w:pPr>
      <w:r>
        <w:rPr>
          <w:highlight w:val="none"/>
        </w:rPr>
        <w:t xml:space="preserve">Структура платных услуг населению в отчетном периоде не изменилась, по-прежнему преобладающую долю занимают такие виды услуг как: жилищно-коммунальные, медицинские, услуги связи, транспортные и бытовые услуги.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Каждому жителю города за отчетный период было оказано платных услуг в среднем на 78,6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тыс.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Сохраняется спрос на бытовые услуги. По состоянию на 01.01.2026 бытовые услуги на территории города Мегиона оказывали 143 предприятия (без учета станций технического обслуживания). Индивидуальные предприниматели доминируют на рынке бытовых услуг.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Из общего объема бытовых услуг наибольшим спросом пользуются услуги парикмахерских, фотоателье, пошив и изготовление одежды.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Наиболее неразвитыми остаются виды бытовых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услуг: услуги проката, услуги прачечных самообслуживания, ремонт сумок, зонтов и прочих галантерейных изделий, ремонт швейного оборудования, мебели, уборка квартир, уход за больными, престарелыми и инвалидами, услуги нянь, производство трикотажных изделий.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Основными направлениями развития потребительского рынка на 2026 год является создание условий для удовлетворения спроса населения на потребительские товары и услуги, </w:t>
      </w:r>
      <w:r>
        <w:rPr>
          <w:rStyle w:val="939"/>
          <w:sz w:val="24"/>
          <w:szCs w:val="24"/>
          <w:highlight w:val="none"/>
        </w:rPr>
        <w:t xml:space="preserve">совершенствование инфраструктуры потребительского рынка, обеспечение доступа к товарам и услугам всех социальных групп населения города Мегиона.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widowControl w:val="off"/>
        <w:tabs>
          <w:tab w:val="left" w:pos="709" w:leader="none"/>
        </w:tabs>
        <w:spacing w:after="0" w:line="240" w:lineRule="auto"/>
        <w:jc w:val="both"/>
        <w:rPr>
          <w:rFonts w:ascii="Times New Roman" w:hAnsi="Times New Roman" w:eastAsia="Calibri" w:cs="Times New Roman"/>
          <w:bCs/>
          <w:color w:val="ff0000"/>
          <w:sz w:val="24"/>
          <w:szCs w:val="28"/>
        </w:rPr>
      </w:pPr>
      <w:r>
        <w:rPr>
          <w:rFonts w:ascii="Times New Roman" w:hAnsi="Times New Roman" w:eastAsia="Calibri" w:cs="Times New Roman"/>
          <w:bCs/>
          <w:color w:val="ff0000"/>
          <w:sz w:val="24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8"/>
          <w:lang w:eastAsia="ru-RU"/>
        </w:rPr>
        <w:t xml:space="preserve">ТРАНСПОРТ и СВЯЗЬ</w:t>
      </w:r>
      <w:r>
        <w:rPr>
          <w:rFonts w:ascii="Times New Roman" w:hAnsi="Times New Roman" w:eastAsia="Calibri" w:cs="Times New Roman"/>
          <w:bCs/>
          <w:color w:val="ff0000"/>
          <w:sz w:val="24"/>
          <w:szCs w:val="28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8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Calibri Light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shd w:val="clear" w:color="auto" w:fill="ffffff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shd w:val="clear" w:color="auto" w:fill="ffffff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 задачами транспортной отрасли является полное, своевременное и качественное удовлетворение потребностей населения в перевозках, повышение экономической эффективности работы транспортной системы.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 видом транспорта для городского округа является автомобильный. Для его нормального функционирования территория располагает автомобильными дорогами общего пользования протяже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нностью 84,6 км, из которых 70,7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км с твердым покрытием и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насыпно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-грунтовых.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Внешние транспортные связи осуществляются наземным автомобильным, желез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нодорожным и воздушным транспортом.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Железнодорожная станция дислоцирована в 18 километрах от города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Высокий. Движение поездов осуществляется ежедневно по утвержденным графикам.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Ближайший аэропорт общего пользования находится в 30 километрах от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48 километрах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Высокий, в городе Нижневартовске.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территории городского округа расположена ведомственная вертолетная площадка, с которой осуществляются грузовые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пассажирские перевозки для доставки работников и необходимого оборудования на дальние месторождения. Для доставки на ближние месторождения используется наземный транспорт, для чего имеется сеть насыпных или устроенных из бетонных плит промысловых дорог.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Услуги по перевозке пассажиров и багажа автомобильным транспортом общего пользования на муниципальных автобусных мар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шрутах оказываются в соответствии с заключенными муниципальными контрактами. В 2025 году услуги по перевозке пассажиров и багажа автомобильным транспортом общего пользования на муниципальных автобусных маршрутах осуществляет индивидуальный предприниматель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Карибов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Ш.Ф.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территории городского округа действует 7 муниципальных автобусных маршрутов, из них: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 городе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Мегионе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– 3 маршрута;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– 1 маршрут;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сообщением город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– 1 маршрут;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«дачный»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2 маршрута (действуют только в период май-сентябрь).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всех муниципальных автобусных маршрутах перевозчик использует для перевозки пассажиров и багажа транспортные средства категории М 3, имеющие более 8 посадочных мест и оборудованные мягкими сидениями.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tabs>
          <w:tab w:val="left" w:pos="709" w:leader="none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Для обучающихся в образовательных учреждениях организован бесплатный проезд на общественном транспорте по муниципальным маршрутам.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сегодняшний день бесплат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ная перевозка учащихся обр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азовательных учреждений на пгт.Высокий осуществляется автобусом по маршруту № 4 (Кольцевой), в городе Мегионе по маршруту №2 и №3 (Кольцевой). Два муниципальных автобусных маршрута №3 и №4 проходят в непосредственной близости от образовательных учреждений.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  <w:lang w:eastAsia="ru-RU"/>
        </w:rPr>
        <w:t xml:space="preserve">На сегодняшний день связь является перспективной и динамично развивающейся отраслью, обладающей потенциалом долгосрочного экономического роста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неотъемлемой частью производственной и социальной инфраструктуры, призвана удовлетворять нужды населения, органов власти, охраны правопорядка, обороны и обеспечения безопасности.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widowControl w:val="off"/>
        <w:spacing w:after="0" w:line="240" w:lineRule="auto"/>
        <w:ind w:firstLine="708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городе Мегионе функционируют 11 организаций в сфере связи, включая локальных провайдеров и федеральных операторов. Рынок отличается высокой конкуренцией, обеспечивая качество и доступность услуг.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За 2025 год поступило 7 письменных заявок на согласование мест размещения оборудования связи, все согласованы положительно. Жалоб от операторов не зафиксировано. Обращения рассматриваются в приоритетном порядке.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результате активного развития информационной инфраструктуры, формат видеоконференцсвязи стал набирать значительную популярность. В 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году было организовано 6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33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подключений для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проведения встреч в режиме видеоконференций, это на 4% больше в сравнении с 2024 годом.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Данный показатель свидетельствует о растущей потребности в цифровых коммуникационных решениях, а также о поддержке гибких форматов взаимодействия как в рабочих процессах администрации, так и в коммуникации с жителями города.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И РАСХОДЫ МЕСТНОГО БЮДЖЕТА.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highlight w:val="none"/>
        </w:rPr>
      </w:pPr>
      <w:r>
        <w:rPr>
          <w:rStyle w:val="931"/>
          <w:rFonts w:ascii="Times New Roman" w:hAnsi="Times New Roman" w:cs="Times New Roman"/>
          <w:b w:val="0"/>
          <w:sz w:val="24"/>
          <w:szCs w:val="24"/>
          <w:highlight w:val="none"/>
        </w:rPr>
        <w:t xml:space="preserve">Исполнение местного бюджета по доходам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</w:t>
      </w:r>
      <w:r>
        <w:rPr>
          <w:rStyle w:val="964"/>
          <w:rFonts w:ascii="Times New Roman" w:hAnsi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местного бюджета на 2025 год утверждены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сум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 8 354,7 млн рублей. За январь-декабрь 2025 года в местный бюджет поступило 8 284,9 млн рублей, или 99,2%                      от плана 2025 года. По сравнению с аналогичным периодом 2024 годом поступления увеличились на 1 532,0 млн рублей, или на 22,7%.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Структура доходов местного бюджета характеризуется следующими показателями: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млн рублей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W w:w="973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0"/>
        <w:gridCol w:w="1778"/>
        <w:gridCol w:w="1778"/>
        <w:gridCol w:w="1778"/>
      </w:tblGrid>
      <w:tr>
        <w:trPr>
          <w:trHeight w:val="75"/>
          <w:tblHeader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Style w:val="931"/>
                <w:rFonts w:ascii="Times New Roman" w:hAnsi="Times New Roman" w:cs="Times New Roman"/>
                <w:b w:val="0"/>
                <w:sz w:val="20"/>
                <w:szCs w:val="20"/>
                <w:highlight w:val="none"/>
              </w:rPr>
              <w:t xml:space="preserve">Наименование доходов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Style w:val="931"/>
                <w:rFonts w:ascii="Times New Roman" w:hAnsi="Times New Roman" w:cs="Times New Roman"/>
                <w:b w:val="0"/>
                <w:sz w:val="20"/>
                <w:szCs w:val="20"/>
                <w:highlight w:val="none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Style w:val="931"/>
                <w:rFonts w:ascii="Times New Roman" w:hAnsi="Times New Roman" w:cs="Times New Roman"/>
                <w:b w:val="0"/>
                <w:sz w:val="20"/>
                <w:szCs w:val="20"/>
                <w:highlight w:val="none"/>
              </w:rPr>
              <w:t xml:space="preserve">2025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Style w:val="931"/>
                <w:rFonts w:ascii="Times New Roman" w:hAnsi="Times New Roman" w:cs="Times New Roman"/>
                <w:b w:val="0"/>
                <w:sz w:val="20"/>
                <w:szCs w:val="20"/>
                <w:highlight w:val="none"/>
              </w:rPr>
              <w:t xml:space="preserve">Темп роста (снижения), 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</w:tr>
      <w:tr>
        <w:trPr>
          <w:trHeight w:val="439"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Всего налоговых и неналоговых доходов (собственные доходы)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2 327,9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2 491,1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107,0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33"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том числе: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Налоговые доходы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bottom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1 966,9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bottom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2 161,5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bottom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109,9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</w:tr>
      <w:tr>
        <w:trPr>
          <w:trHeight w:val="381"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Неналоговые доходы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361,0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329,6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91,3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</w:r>
          </w:p>
        </w:tc>
      </w:tr>
      <w:tr>
        <w:trPr>
          <w:trHeight w:val="207"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Безвозмездные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4 425,0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5 793,8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75"/>
        </w:trPr>
        <w:tblPrEx/>
        <w:tc>
          <w:tcPr>
            <w:tcW w:w="4400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931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6 752,9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8 284,9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778" w:type="dxa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122,7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tLeast"/>
        <w:jc w:val="both"/>
        <w:rPr>
          <w:rFonts w:ascii="Times New Roman" w:hAnsi="Times New Roman" w:cs="Times New Roman"/>
          <w:color w:val="ff0000"/>
          <w:highlight w:val="none"/>
        </w:rPr>
      </w:pPr>
      <w:r>
        <w:rPr>
          <w:rFonts w:ascii="Times New Roman" w:hAnsi="Times New Roman" w:cs="Times New Roman"/>
          <w:color w:val="ff0000"/>
          <w:highlight w:val="none"/>
        </w:rPr>
        <w:t xml:space="preserve">           </w:t>
      </w: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отчетном периоде собственные доходы составили 2 491,1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млн рублей и увеличились 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7,0% по отношению к январю-декабрю 2024 года. Основными источниками формирования собственных доходов местного бюджета за</w:t>
      </w:r>
      <w:r>
        <w:rPr>
          <w:rStyle w:val="931"/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Style w:val="931"/>
          <w:rFonts w:ascii="Times New Roman" w:hAnsi="Times New Roman" w:cs="Times New Roman"/>
          <w:b w:val="0"/>
          <w:sz w:val="24"/>
          <w:szCs w:val="24"/>
          <w:highlight w:val="none"/>
        </w:rPr>
        <w:t xml:space="preserve">2025 год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явились: налог на доходы физических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лиц (69,1% от суммы собственных доходов), налоги на имущество (4,6%), налоги на совокупный доход (10,7%), доходы от использования имущества, находящегося в муниципальной собственности (7,0%), доходы от продажи материальных и нематериальных активов (5,1%).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Структура доходов местного бюджета города Мегиона за 2025 год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911"/>
        <w:tblW w:w="0" w:type="auto"/>
        <w:tblInd w:w="0" w:type="dxa"/>
        <w:tblLook w:val="04A0" w:firstRow="1" w:lastRow="0" w:firstColumn="1" w:lastColumn="0" w:noHBand="0" w:noVBand="1"/>
      </w:tblPr>
      <w:tblGrid>
        <w:gridCol w:w="5639"/>
        <w:gridCol w:w="2219"/>
        <w:gridCol w:w="1770"/>
      </w:tblGrid>
      <w:tr>
        <w:trPr>
          <w:trHeight w:val="451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Сумма, млн рублей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Уд. вес %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rPr>
          <w:trHeight w:val="451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Доходы - всего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8 284,9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55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том числе: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Безвозмездные поступления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5 793,8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69,9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422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Налоговые доходы, в том числе: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2 161,5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26,1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налоги на прибыль, доходы (НДФЛ)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1 722,0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20,8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налоги на совокупный доход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267,2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3,2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налоги на имущество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114,8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1,4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прочие налоговые налоги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57,5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0,7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>
          <w:trHeight w:val="485"/>
        </w:trPr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Неналоговые доходы, в том числе: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329,6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4,0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174,9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2,1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126,1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1,5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латежи при пользовании природными ресурсами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16,1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0,2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577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прочие неналоговые доходы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12,5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  <w:tc>
          <w:tcPr>
            <w:tcW w:w="1808" w:type="dxa"/>
            <w:noWrap w:val="fals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0,2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Основную долю налоговых поступлений бюджета города Мегиона составляет налог на доходы физических лиц – 79,7%. </w:t>
      </w:r>
      <w:r>
        <w:rPr>
          <w:rStyle w:val="939"/>
          <w:sz w:val="24"/>
          <w:szCs w:val="24"/>
          <w:highlight w:val="none"/>
        </w:rPr>
        <w:t xml:space="preserve">По сравнению с аналогичным периодом 2024 года налог на доходы физических лиц увеличился на 11,1% и составил 1 722,0 млн рублей.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январь-декабрь 2025 года в бюджет города поступило 21,0 млн рублей налога на товары (работы, услуги) реализуемые на территории Российской Федерации, что на 2,1% больше, чем за аналогичный период 2024 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sz w:val="24"/>
          <w:szCs w:val="24"/>
          <w:highlight w:val="none"/>
        </w:rPr>
      </w:pPr>
      <w:r>
        <w:rPr>
          <w:rStyle w:val="939"/>
          <w:sz w:val="24"/>
          <w:szCs w:val="24"/>
          <w:highlight w:val="none"/>
        </w:rPr>
        <w:t xml:space="preserve">В отчетном периоде на 1,4% увеличились налоги на совокупный доход. Основную долю налогов на совокупный доход составили: налог, взимаемый с налогоплательщиков, выбравших в качестве объекта налогооблажения доходы, 189,0 млн рублей</w:t>
      </w:r>
      <w:r>
        <w:rPr>
          <w:rStyle w:val="939"/>
          <w:sz w:val="24"/>
          <w:szCs w:val="24"/>
          <w:highlight w:val="none"/>
        </w:rPr>
        <w:t xml:space="preserve">,</w:t>
      </w:r>
      <w:r>
        <w:rPr>
          <w:rStyle w:val="939"/>
          <w:sz w:val="24"/>
          <w:szCs w:val="24"/>
          <w:highlight w:val="none"/>
        </w:rPr>
        <w:t xml:space="preserve"> </w:t>
      </w:r>
      <w:r>
        <w:rPr>
          <w:rStyle w:val="939"/>
          <w:sz w:val="24"/>
          <w:szCs w:val="24"/>
          <w:highlight w:val="none"/>
        </w:rPr>
        <w:t xml:space="preserve">или 70,7% налога на совокуп</w:t>
      </w:r>
      <w:r>
        <w:rPr>
          <w:rStyle w:val="939"/>
          <w:sz w:val="24"/>
          <w:szCs w:val="24"/>
          <w:highlight w:val="none"/>
        </w:rPr>
        <w:t xml:space="preserve">ный доход, налог, взимаемый с налогоплательщиков, выбравших в качестве объекта налогооблажения доходы, уменьшенные на величину расходов </w:t>
      </w:r>
      <w:r>
        <w:rPr>
          <w:rStyle w:val="939"/>
          <w:sz w:val="24"/>
          <w:szCs w:val="24"/>
          <w:highlight w:val="none"/>
          <w:lang w:val="en-US"/>
        </w:rPr>
        <w:t xml:space="preserve">68</w:t>
      </w:r>
      <w:r>
        <w:rPr>
          <w:rStyle w:val="939"/>
          <w:sz w:val="24"/>
          <w:szCs w:val="24"/>
          <w:highlight w:val="none"/>
          <w:lang w:val="ru-RU"/>
        </w:rPr>
        <w:t xml:space="preserve">,9,</w:t>
      </w:r>
      <w:r>
        <w:rPr>
          <w:rStyle w:val="939"/>
          <w:sz w:val="24"/>
          <w:szCs w:val="24"/>
          <w:highlight w:val="none"/>
        </w:rPr>
        <w:t xml:space="preserve"> млн рублей (25,8%).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Исполнение 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естного бюджета по неналоговым доходам за 2025 год составило 329,6 млн рублей и по сравнению с аналогичным периодом 2024 года поступление неналоговых доходов уменьшилось на 8,7%. Удельный вес неналоговых доходов в доходах местного бюджета составляет 4,0%.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Наибольшую долю – 53,1% в неналоговых доходах местного бюджета составляют доходы от использования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имущества, находящегося в государственной и муниципальной собственности, которые за январь-декабрь 2025 года составили 174,9 млн рублей.                                  По сравнению с аналогичным периодом 2024 года данные поступления увеличились на 0,3%.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Основную часть доходов бюджета города Мегиона 69,9% сост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ляют безвозмездные поступления от других бюджетов бюджетной системы, что свидетельствует о высокой дотационности городского округа. Безвозмездные поступления за отчетный период увеличились по сравнению с 2024 годом на 30,9% и составили 5 793,8 млн рублей.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расчете на одного жителя доходы бюджета города Мегиона за январь-декабрь 2025 года составили 138,7 тыс. рублей.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0"/>
        <w:spacing w:after="0" w:line="240" w:lineRule="atLeast"/>
        <w:ind w:firstLine="709"/>
        <w:jc w:val="both"/>
        <w:rPr>
          <w:b w:val="0"/>
          <w:highlight w:val="none"/>
        </w:rPr>
      </w:pPr>
      <w:r>
        <w:rPr>
          <w:b w:val="0"/>
          <w:highlight w:val="none"/>
        </w:rPr>
      </w:r>
      <w:r>
        <w:rPr>
          <w:b w:val="0"/>
          <w:highlight w:val="none"/>
        </w:rPr>
      </w:r>
      <w:r>
        <w:rPr>
          <w:b w:val="0"/>
          <w:highlight w:val="none"/>
        </w:rPr>
      </w:r>
    </w:p>
    <w:p>
      <w:pPr>
        <w:pStyle w:val="920"/>
        <w:spacing w:after="0" w:line="240" w:lineRule="atLeast"/>
        <w:ind w:firstLine="708"/>
        <w:jc w:val="both"/>
        <w:rPr>
          <w:b w:val="0"/>
          <w:highlight w:val="none"/>
        </w:rPr>
      </w:pPr>
      <w:r>
        <w:rPr>
          <w:rStyle w:val="931"/>
          <w:b w:val="0"/>
          <w:highlight w:val="none"/>
        </w:rPr>
        <w:t xml:space="preserve">Исполнение местного бюджета по расходам</w:t>
      </w:r>
      <w:r>
        <w:rPr>
          <w:b w:val="0"/>
          <w:highlight w:val="none"/>
        </w:rPr>
      </w:r>
      <w:r>
        <w:rPr>
          <w:b w:val="0"/>
          <w:highlight w:val="none"/>
        </w:rPr>
      </w:r>
    </w:p>
    <w:p>
      <w:pPr>
        <w:pStyle w:val="920"/>
        <w:spacing w:after="0" w:line="240" w:lineRule="atLeast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widowControl w:val="off"/>
        <w:spacing w:after="0" w:line="240" w:lineRule="atLeast"/>
        <w:ind w:firstLine="709"/>
        <w:jc w:val="both"/>
        <w:rPr>
          <w:highlight w:val="none"/>
        </w:rPr>
      </w:pPr>
      <w:r>
        <w:rPr>
          <w:highlight w:val="none"/>
        </w:rPr>
        <w:t xml:space="preserve">Основной целью бюджетной политики в области расходов в отчетном периоде являлось обеспечение расходных обязательств город</w:t>
      </w:r>
      <w:r>
        <w:rPr>
          <w:highlight w:val="none"/>
        </w:rPr>
        <w:t xml:space="preserve">ского округа с соблюдением качества и условий предоставления муниципальных услуг, обеспечение достойной жизни жителей города, содействие социальному и экономическому развитию города при безусловном учете эффективности и результативности бюджетных расходов.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сходная часть бюджета города Мегиона на 2025 год утверждена в сумме 8 697,1 млн рублей. Исполнение бюджета города Мегиона за январь-декабрь 2025 года составило 8 369,2 млн рублей, или 96,2% от плана 2025 года. По сравнению с аналогичным периодом 2024 года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расходы увеличились на 23,2%. В разрезе основных направлений структура расходов бюджета города Мегиона сложилась следующим образом.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tLeast"/>
        <w:ind w:left="0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34"/>
        <w:spacing w:after="0" w:line="24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Структура расходов бюджета города Мегиона за 2024-2025 годы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4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tbl>
      <w:tblPr>
        <w:tblW w:w="9877" w:type="dxa"/>
        <w:tblLayout w:type="fixed"/>
        <w:tblLook w:val="01E0" w:firstRow="1" w:lastRow="1" w:firstColumn="1" w:lastColumn="1" w:noHBand="0" w:noVBand="0"/>
      </w:tblPr>
      <w:tblGrid>
        <w:gridCol w:w="3283"/>
        <w:gridCol w:w="1554"/>
        <w:gridCol w:w="1555"/>
        <w:gridCol w:w="1825"/>
        <w:gridCol w:w="1660"/>
      </w:tblGrid>
      <w:tr>
        <w:trPr>
          <w:trHeight w:val="332"/>
          <w:tblHeader/>
        </w:trPr>
        <w:tblPrEx/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2024 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2025 год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258"/>
          <w:tblHeader/>
        </w:trPr>
        <w:tblPrEx/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e0e0e0"/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сумма, млн руб.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уд. вес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сумма, млн  руб.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0"/>
              <w:widowControl w:val="off"/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уд. вес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414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Расходы – всего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6 793,9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 xml:space="preserve">369,2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rPr>
          <w:trHeight w:val="180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rPr>
          <w:trHeight w:val="377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644,6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9,49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668,2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7,98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39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Обслуживание государственного и муниципального долга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39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16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60,2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84,9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1,02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59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604,1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8,89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862,9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10,31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28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898,9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13,23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1 723,6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20,59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28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0,13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180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3 647,4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53,69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4 008,3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47,89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14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408,6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6,01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450,4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5,38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218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0,45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36,5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0,44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108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108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362,3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5,33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417,1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4,98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114"/>
        </w:trPr>
        <w:tblPrEx/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129,4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1,90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105,6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1,26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tLeast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Приоритетом в бюджетной политике в сфере расходов бюджета города Мегиона являлось обеспечение населения бюджетными услугами отраслей социальной сферы.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финансирование 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раслей социальной сферы за 2025 год направлено 4 982,3 млн рублей, в том числе по разделу образование – 4 008,3 млн рублей, культура, кинематография – 450,4 млн рублей, физическая культура и спорт – 417,1 млн рублей, социальная политика – 105,6 млн рублей.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финансирование других отраслей экономики направлено 3 386,9 млн рублей, что составляет 40,5% в общем объеме расходов.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рамках работы по привлечению дополнительных средств в бюджет муниципального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обра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зования, проведены следующие мероприятия: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осуществлялось взаимодействие администрации города с крупнейшими налогоплательщиками, осуществляющ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ими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свою деятельность на территории города.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Соглас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но заключе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нному Соглашению о соблюдении социально-экономических и экологических интересов населения муниципального образова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ния город Мегион от ООО «Нефтеспецстрой» в городской бюджет поступила сумма в размере 100,0 тыс. рублей на ликвидацию несанкционированных свал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ок на территории города Мегиона,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согласно договорам пожертвования, заключенны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с публичным акционерным обществом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«Славнефть-Мегионнефтегаз»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 в городской бюджет поступила сумма в размере 50 870,0 тыс. рублей на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благоустройство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городских объектов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Кроме этого, в бюджет города поступили денежные средства по распоряжениям Правительства Тюменской области в сумме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3 7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17,5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тыс. рублей.</w:t>
      </w:r>
      <w:r>
        <w:rPr>
          <w:rFonts w:ascii="Times New Roman" w:hAnsi="Times New Roman" w:eastAsia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Для осуществления мер, направленных на ликвидацию задолженности организаций и физических лиц, на территории муниципального образования продолжила работу комиссия по мобилизации доходов в бюджет города по следующим направлениям: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анализ задолженности и принимаемые меры по повышению собираемости налоговых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 неналоговых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платежей на территории городского округа Мегион;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 w:cstheme="minorBidi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взаимодействие администрации города с отделением судебных приставов по городу Мегиону Управления Федерально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й службы судебных приставов по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 Ханты-Мансийскому Автономному округу 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 Югре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4"/>
          <w:szCs w:val="24"/>
          <w:highlight w:val="none"/>
          <w:lang w:eastAsia="en-US"/>
        </w:rPr>
        <w:t xml:space="preserve">.</w:t>
      </w:r>
      <w:r>
        <w:rPr>
          <w:rFonts w:ascii="Times New Roman" w:hAnsi="Times New Roman" w:cs="Times New Roman" w:cstheme="minorBidi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 w:cstheme="minorBidi"/>
          <w:b w:val="0"/>
          <w:bCs w:val="0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127 индивидуальными предпринимателям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и проведена разъяснительная работа о необходимости своевременной уплаты платежей в бюджет и о погашении имеющейся задолженности. Оказана консультация 42 физическим лицам, в том числе </w:t>
      </w:r>
      <w:r>
        <w:rPr>
          <w:rFonts w:ascii="Times New Roman" w:hAnsi="Times New Roman"/>
          <w:sz w:val="24"/>
          <w:szCs w:val="24"/>
          <w:highlight w:val="none"/>
        </w:rPr>
        <w:t xml:space="preserve">самозанятым</w:t>
      </w:r>
      <w:r>
        <w:rPr>
          <w:rFonts w:ascii="Times New Roman" w:hAnsi="Times New Roman"/>
          <w:sz w:val="24"/>
          <w:szCs w:val="24"/>
          <w:highlight w:val="none"/>
        </w:rPr>
        <w:t xml:space="preserve">, о мерах поддержки начинающим предпринимателям с последующим направлением в налоговый орган для постановки на учет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Осуществляла работу комиссия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по</w:t>
      </w:r>
      <w:r>
        <w:rPr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урегулированию задолженности, проводимая совместно с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Межрайонной инспекцией Федеральной налоговой службы России №11 по Ханты-Мансийскому автономному округу – Югре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в отношении юридических и физических лиц, зарегистрированных на территории муниципального образования и имеющих задолженность перед бюджетом.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Проводила</w:t>
      </w:r>
      <w:r>
        <w:rPr>
          <w:rFonts w:ascii="Times New Roman" w:hAnsi="Times New Roman"/>
          <w:sz w:val="24"/>
          <w:szCs w:val="24"/>
          <w:highlight w:val="none"/>
        </w:rPr>
        <w:t xml:space="preserve">сь работа со списками должников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</w:rPr>
        <w:t xml:space="preserve"> работников администрации города, органов администрации города, бюджетных, казенных и автономных учреждений города на предмет задолженности по уплате налогов и сборов во все уровни бюджетов.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На территории муниципального образования в течение отчетного периода осуществлялись мероприятия по информированию населения о погашении задолженности. Ин</w:t>
      </w:r>
      <w:r>
        <w:rPr>
          <w:rFonts w:ascii="Times New Roman" w:hAnsi="Times New Roman"/>
          <w:sz w:val="24"/>
          <w:szCs w:val="24"/>
          <w:highlight w:val="none"/>
        </w:rPr>
        <w:t xml:space="preserve">формация размещалась на официальном сайте администрации города Мегиона в сети Интернет, </w:t>
      </w: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ц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ы</w:t>
      </w:r>
      <w:r>
        <w:rPr>
          <w:rFonts w:ascii="Times New Roman" w:hAnsi="Times New Roman"/>
          <w:sz w:val="24"/>
          <w:szCs w:val="24"/>
          <w:highlight w:val="none"/>
        </w:rPr>
        <w:t xml:space="preserve">х сетях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рамках проведенных мероприятий по взысканию задолженности по оплате за муниципальное имущество, включая земельные участки, в бюджет города поступило 13 027</w:t>
      </w:r>
      <w:r>
        <w:rPr>
          <w:rFonts w:ascii="Times New Roman" w:hAnsi="Times New Roman"/>
          <w:sz w:val="24"/>
          <w:szCs w:val="24"/>
          <w:highlight w:val="none"/>
        </w:rPr>
        <w:t xml:space="preserve">,4</w:t>
      </w:r>
      <w:r>
        <w:rPr>
          <w:rFonts w:ascii="Times New Roman" w:hAnsi="Times New Roman"/>
          <w:sz w:val="24"/>
          <w:szCs w:val="24"/>
          <w:highlight w:val="none"/>
        </w:rPr>
        <w:t xml:space="preserve"> тыс. рублей.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8"/>
        <w:jc w:val="both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целях реализации решения Думы города Мегиона от </w:t>
      </w:r>
      <w:r>
        <w:rPr>
          <w:rFonts w:ascii="Times New Roman" w:hAnsi="Times New Roman"/>
          <w:sz w:val="24"/>
          <w:szCs w:val="24"/>
          <w:highlight w:val="none"/>
        </w:rPr>
        <w:t xml:space="preserve">09.12.2024</w:t>
      </w:r>
      <w:r>
        <w:rPr>
          <w:rFonts w:ascii="Times New Roman" w:hAnsi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/>
          <w:sz w:val="24"/>
          <w:szCs w:val="24"/>
          <w:highlight w:val="none"/>
        </w:rPr>
        <w:t xml:space="preserve">427</w:t>
      </w:r>
      <w:r>
        <w:rPr>
          <w:rFonts w:ascii="Times New Roman" w:hAnsi="Times New Roman"/>
          <w:sz w:val="24"/>
          <w:szCs w:val="24"/>
          <w:highlight w:val="none"/>
        </w:rPr>
        <w:t xml:space="preserve"> «О бюджете городского округа Мегион Ханты-Мансийского автономного округа – Югры на 2025</w:t>
      </w:r>
      <w:r>
        <w:rPr>
          <w:rFonts w:ascii="Times New Roman" w:hAnsi="Times New Roman"/>
          <w:sz w:val="24"/>
          <w:szCs w:val="24"/>
          <w:highlight w:val="none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 и 202</w:t>
      </w: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 годов» был разработан план мероприятий по росту доходов,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оптимизации расходов и поддержанию муниципального долга городского округа на безопасном уровне, утвержден постановлением администрации города от </w:t>
      </w:r>
      <w:r>
        <w:rPr>
          <w:rFonts w:ascii="Times New Roman" w:hAnsi="Times New Roman"/>
          <w:sz w:val="24"/>
          <w:szCs w:val="24"/>
          <w:highlight w:val="none"/>
        </w:rPr>
        <w:t xml:space="preserve">04</w:t>
      </w:r>
      <w:r>
        <w:rPr>
          <w:rFonts w:ascii="Times New Roman" w:hAnsi="Times New Roman"/>
          <w:sz w:val="24"/>
          <w:szCs w:val="24"/>
          <w:highlight w:val="none"/>
        </w:rPr>
        <w:t xml:space="preserve">.0</w:t>
      </w:r>
      <w:r>
        <w:rPr>
          <w:rFonts w:ascii="Times New Roman" w:hAnsi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</w:rPr>
        <w:t xml:space="preserve">.202</w:t>
      </w:r>
      <w:r>
        <w:rPr>
          <w:rFonts w:ascii="Times New Roman" w:hAnsi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/>
          <w:sz w:val="24"/>
          <w:szCs w:val="24"/>
          <w:highlight w:val="none"/>
        </w:rPr>
        <w:t xml:space="preserve">173</w:t>
      </w:r>
      <w:r>
        <w:rPr>
          <w:rFonts w:ascii="Times New Roman" w:hAnsi="Times New Roman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О мерах по реализации решения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Думы города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 «О бюджете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  <w:lang w:eastAsia="ru-RU"/>
        </w:rPr>
        <w:t xml:space="preserve">Ханты-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  <w:lang w:eastAsia="ru-RU"/>
        </w:rPr>
        <w:t xml:space="preserve">Мансийского автон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  <w:lang w:eastAsia="ru-RU"/>
        </w:rPr>
        <w:t xml:space="preserve">омного округа – Югры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на 2025 год и плановый период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2026 и 2027 годов» </w:t>
      </w:r>
      <w:r>
        <w:rPr>
          <w:rFonts w:ascii="Times New Roman" w:hAnsi="Times New Roman"/>
          <w:sz w:val="24"/>
          <w:szCs w:val="24"/>
          <w:highlight w:val="none"/>
        </w:rPr>
        <w:t xml:space="preserve">(с изменениями).</w:t>
      </w:r>
      <w:r>
        <w:rPr>
          <w:rFonts w:ascii="Times New Roman" w:hAnsi="Times New Roman"/>
          <w:sz w:val="24"/>
          <w:szCs w:val="24"/>
          <w:highlight w:val="none"/>
        </w:rPr>
        <w:t xml:space="preserve"> План мероприятий включает в себя 10 мероприятий по росту доходов, планируемый бюджетный эффект от мероприятий по росту доходов в 202</w:t>
      </w:r>
      <w:r>
        <w:rPr>
          <w:rFonts w:ascii="Times New Roman" w:hAnsi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</w:rPr>
        <w:t xml:space="preserve"> году – 70 064,1</w:t>
      </w:r>
      <w:r>
        <w:rPr>
          <w:rFonts w:ascii="Times New Roman" w:hAnsi="Times New Roman"/>
          <w:sz w:val="24"/>
          <w:szCs w:val="24"/>
          <w:highlight w:val="none"/>
        </w:rPr>
        <w:t xml:space="preserve"> тыс. рублей.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Итогом реализации плана мероприятий является фактически полученный бюджетный эффе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кт за 2025 год в размере 71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376,1 тыс. рублей.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Продолжается работа по сокращению невыясненных платежей. За 202</w:t>
      </w:r>
      <w:r>
        <w:rPr>
          <w:rFonts w:ascii="Times New Roman" w:hAnsi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</w:rPr>
        <w:t xml:space="preserve"> год</w:t>
      </w:r>
      <w:r>
        <w:rPr>
          <w:rFonts w:ascii="Times New Roman" w:hAnsi="Times New Roman"/>
          <w:sz w:val="24"/>
          <w:szCs w:val="24"/>
          <w:highlight w:val="none"/>
        </w:rPr>
        <w:t xml:space="preserve"> составлены и направлены в Управление Федерального казначейства по Ханты-Мансийскому автономному округу – Югре </w:t>
      </w:r>
      <w:r>
        <w:rPr>
          <w:rFonts w:ascii="Times New Roman" w:hAnsi="Times New Roman"/>
          <w:sz w:val="24"/>
          <w:szCs w:val="24"/>
          <w:highlight w:val="none"/>
        </w:rPr>
        <w:t xml:space="preserve">1 205</w:t>
      </w:r>
      <w:r>
        <w:rPr>
          <w:rFonts w:ascii="Times New Roman" w:hAnsi="Times New Roman"/>
          <w:sz w:val="24"/>
          <w:szCs w:val="24"/>
          <w:highlight w:val="none"/>
        </w:rPr>
        <w:t xml:space="preserve"> уведомлени</w:t>
      </w:r>
      <w:r>
        <w:rPr>
          <w:rFonts w:ascii="Times New Roman" w:hAnsi="Times New Roman"/>
          <w:sz w:val="24"/>
          <w:szCs w:val="24"/>
          <w:highlight w:val="none"/>
        </w:rPr>
        <w:t xml:space="preserve">й</w:t>
      </w:r>
      <w:r>
        <w:rPr>
          <w:rFonts w:ascii="Times New Roman" w:hAnsi="Times New Roman"/>
          <w:sz w:val="24"/>
          <w:szCs w:val="24"/>
          <w:highlight w:val="none"/>
        </w:rPr>
        <w:t xml:space="preserve"> об уточнении вида и принадлежности платежа, которые впоследствии были уточнены и зачислены на соответствующие коды доходов бюджетной классификации.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рамках проведения ана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лиза обоснованности и эффективности применения налоговых расходов, утверждены постановления администрации города от 26.03.2020 №595 «О порядке формирования перечня налоговых расходов города Мегиона» (с изменениями), от 23.07.2020 №1348 «О порядке оценки 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логовых расходов городского округа город Мегион» (с изменениями).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нормативно - правовыми актами осуществляется мониторинг налоговых расходов по земельному налогу и налогу на имущество физических лиц. Налоговые расходы, которые предоставлены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нормативных актов представительного органа местного самоуправления, обоснованы и эффективны, так как предоставляются социально-незащищенным категориям населения, а также позволяют снизить расходы на содержание органов местного самоуправления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муниципальных учреждений, финансируемых из бюджета городского округа. Результаты оценки эффективности налоговых расходов муниципального образования в виде аналитической записки размещены на официальном сайте администрации города Мегиона в сети Интернет.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рамках реализации мероприятий по повышению роли имущественных налогов, на официальном сайте администрации города в сети Интернет была размещена информация об информировании налогоплательщиков – собственников недвижимого имущества о необходимости уточне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технических характеристик объектов недвижимости, сведений об их правообладателях по предварительному перечню на 2026 год и перечень объектов недвижимого имущества, в отношении которых налоговая база определяется как кадастровая стоимость, на 2026 год.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рамках работы по урегулированию кредиторской и дебиторской задолженности муниципальных учреждений проведены следующие мероприятия: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 целях обеспечения в текущем году снижения общего объема кредиторской задолженности в соответствии с приказом департамента финансов администрации города Мегиона, в рамках сдачи отчетности за 202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год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проведен мониторинг кредиторской задолженности. Итоги проведения мониторинга кредиторской задолженности за 202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год будут представлены в Департамент финансов Ханты-Мансийского автономного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округа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Югры в составе отчетности;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 сроки, установленные приказом Департамента финансов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Ханты-Мансийского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автономного округа – Югры для сдачи годовой, квартальной и месячной бюджетной отчетности об исполнении бюджета городского округа Мегион, предоставляются сведения о состоянии дебиторской и кредиторской задолженности;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ежемесячно проводится анализ состояния дебиторской и кредиторской задолженности учреждений городского округа Мегиона с целью, выявления обоснованности возникновения сумм задолженности;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по всем договорам бюджетных кредитов имеются решения Арбитражных судов в пользу администрации города Мегиона и составлены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акты сверок. В рамках взаимодействия по взысканию сумм дебиторской задолженности регулярно направляется информация в юридическое управление администрации города с целью предоставления сведений о реализации решений суда;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 целью взаимодействия по погашению дебиторской задолженности по договорам бюджетных кредитов в Управление федеральной службы судебных приставов по Ханты-Мансийскому автономному округу – Югре направлены письма с реквизитами для перечисления задолженности.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 целях осуществления финансового контроля за задолженностью по налогам и сборам, во избежание возникновения задолженности регулярно проводился мониторинг задолженности по налогам и сборам.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 целью выявления и погашения задолженности по налогам, пе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ням, штрафам проведена совместная работа с Управлением федеральной налоговой службы по Ханты-Мансийскому автономному округу – Югре. Муниципальным учреждениям направлены письма о незамедлительном погашении имеющейся задолженности.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Проводилась работа по восстановлению дебиторской задолженности, числящейся   на балансе учреждений. По состоянию на 01.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01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.202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года восстановлено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6 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217 007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67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рублей, из них, в части средств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56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830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/>
        </w:rPr>
        <w:t xml:space="preserve">05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рублей.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Ежеквартально на заседание Думы города Мегиона представляется отчет о состоянии дебиторской и кредиторской задолженности в разрезе всех муниципальных учреждений.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Не допускалось нецелевое использование субсидий, субвенций и иных межбюджетных трансфертов, полученных из бюджета автономного округа и имеющих целевое назначение.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По состоянию на 01 число каждого месяца отсутствует просроченная кредиторская задолженность по выплате заработной платы работников бюджетной сферы и начислениям на выплаты по оплате труда, по оплате коммунальных услуг.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Погашение кредиторской задолженности осуществляется по мере поступления доходов в бюджет городского округа.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РЕАЛИЗАЦИЯ МУНИЦИПАЛЬНЫХ ПРОГРАММ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 бюджете города Мегион на 2025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год были запланированы средства на финансирование 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муниципальных программ.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течение года в программы вносились изменения в связи с уточнением сумм финансирования, мероприятий по реализации программ.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Муниципальные программы города Мегиона направлены на решение таких задач как, повышение качества жизни населения, устойчивое развитие экономики города, повышение эффективности муниципального управления.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Утвержденные программы предусматривают софинансирование из бюджетов других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уровней.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финансирования мероприятий программ за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 8 279,8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рублей, или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8,9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общего объема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расходов бюджета (2024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 6 668,3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рублей, или 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общего объема расходов бюджета), в том числе: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158,7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 – средства федерального бюджета;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4 726,1 млн рублей – средства бюджета автономного округа;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3 395,0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 – средства бюджета муниципального образования.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Оценка эффективности муниципальных программ проводится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соответствии с постановлением администрации города от 04.02.2016 №176 «О методике оценки эффективности реализации муниципальных программ городского округа город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Мегион»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             (с изменениями).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Основным критерием оценки эффективности муниципальных программ является уровень финансового обеспечения программы.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Из 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муниципальных программ с наилучшим результатом (100%) исполнены две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программы: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«Поддержка и развитие малого и среднего предпринимательства на территории города Мегиона»;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«Развитие муниципальной службы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город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Мегион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Исполнение более 90% составило по 16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программам, по 5 муниципальным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программам исполнение составило менее 90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%.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highlight w:val="white"/>
        </w:rPr>
      </w:pP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highlight w:val="white"/>
          <w:lang w:eastAsia="ru-RU"/>
        </w:rPr>
        <w:t xml:space="preserve">Исполнение расходных обязательств по муниципальным программам </w:t>
      </w: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highlight w:val="white"/>
        </w:rPr>
      </w: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ascii="Calibri" w:hAnsi="Calibri" w:eastAsia="Times New Roman" w:cs="Times New Roman"/>
          <w:color w:val="000000" w:themeColor="text1"/>
        </w:rPr>
      </w:pP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highlight w:val="white"/>
          <w:lang w:eastAsia="ru-RU"/>
        </w:rPr>
        <w:t xml:space="preserve">города Мегиона за 20</w:t>
      </w: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lang w:eastAsia="ru-RU"/>
        </w:rPr>
        <w:t xml:space="preserve">25</w:t>
      </w:r>
      <w:r>
        <w:rPr>
          <w:rFonts w:ascii="Times New Roman CYR" w:hAnsi="Times New Roman CYR" w:eastAsia="Times New Roman" w:cs="Times New Roman CYR"/>
          <w:color w:val="000000" w:themeColor="text1"/>
          <w:sz w:val="24"/>
          <w:szCs w:val="24"/>
          <w:lang w:eastAsia="ru-RU"/>
        </w:rPr>
        <w:t xml:space="preserve"> год</w:t>
      </w:r>
      <w:r>
        <w:rPr>
          <w:rFonts w:ascii="Calibri" w:hAnsi="Calibri" w:eastAsia="Times New Roman" w:cs="Times New Roman"/>
          <w:color w:val="000000" w:themeColor="text1"/>
        </w:rPr>
      </w:r>
      <w:r>
        <w:rPr>
          <w:rFonts w:ascii="Calibri" w:hAnsi="Calibri" w:eastAsia="Times New Roman" w:cs="Times New Roman"/>
          <w:color w:val="000000" w:themeColor="text1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tbl>
      <w:tblPr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92"/>
        <w:gridCol w:w="1877"/>
      </w:tblGrid>
      <w:tr>
        <w:trPr>
          <w:trHeight w:val="821"/>
          <w:tblHeader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Наименование муниципальной программы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Процент исполнения к плановому значению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Поддержка и развитие малого и среднего предпринимательства на территории города Мегиона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муниципальной службы в городе Мегионе 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профилактика экстремизма и терроризма в городе Мегионе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информационного общества на территории города Мегиона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Улучшение условий и охраны труда в городе Мегионе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гражданского общества на территории города Мегиона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физической культуры и спорта, укрепление общественного здоровья в городе Мегионе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систем гражданской защиты населения города Мегиона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99,1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муниципальными финансами в городе Мегионе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жилищной сферы на территории города Мегиона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Культурное пространство в городе Мегионе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образования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Информационное обеспечение деятельности органов местного самоуправления города Мегиона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муниципального управления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96,6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7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Молодежная политика города Мегиона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Профилактика правонарушени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в сфере общественного порядка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незаконного оборота и злоупотребления наркотиками в городе Мегионе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экологической безопасности на территории города Мегиона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</w:rPr>
              <w:t xml:space="preserve">93,3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транспортной системы города Мегиона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</w:rPr>
              <w:t xml:space="preserve">93,2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в области градостроительной деятельности города Мегиона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89,5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жилищно-коммунального комплекса и повышение энергетической эффективности в городе Мегионе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86,3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муниципальным имуществом города Мегиона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83,5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8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доступной среды для инвалидов и других маломобильных групп населения на территории города Мегиона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52,9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1"/>
        </w:trPr>
        <w:tblPrEx/>
        <w:tc>
          <w:tcPr>
            <w:tcW w:w="7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комфортной городской среды города Мегиона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50,5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2025 году город Мегион включен в реализацию 15 государственных программ.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План финансирования государственных программ за счет всех источников финансирования на 2025 год составляет 4 713 522,2 тыс. рублей, в том числе: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бюджет – 156 316,0 тыс. рублей;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бюджет автономного округа – 4 388 352,4 тыс. рублей;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местный бюджет – 168 853,8 тыс. рублей.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 январь-декабрь месяц в бюджет города на реализацию государственных программ поступило 4 572 356,4 тыс. рублей, или 97,0% от плановых значений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бюджет – 155 314,4 тыс. рублей;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бюджет автономного округа – 4 262 821,8 тыс. рублей;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местный бюджет – 154 220,2 тыс. рублей.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состоянию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01.01.2026 освоение средств, поступивших на реализацию государственных программ, составило – 4 572 356,3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или 100,0% к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финансированию (97,0% от плана), в том числе: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tabs>
          <w:tab w:val="left" w:pos="7839" w:leader="none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бюджет – 155 314,4 тыс. рублей, или 100,0% к финансированию (99,4% от плана);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бюджет автономного округа – 4 262 821,8 тыс. рублей, или 100,0% к финансированию (97,1% от плана);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местный бюджет – 154 220,2 тыс. рублей, или 100,0% к финансированию (91,3% от плана).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ДЕНЕЖНЫЕ ДОХОДЫ И РАСХОДЫ НАСЕЛЕНИЯ, ОПЛАТА ТРУДА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 доходов населения формируется из следующих основных источников: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объем трудовых доходов;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государственная и негосударственная пенсии, льготы, пособия и другие виды социальных выплат льготной категории населения;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прочие виды доходов.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Основным по величине компонентом, участвующим в формировании денежных доходов населения, является оплата труда работающего населения.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Средняя заработная плата по крупным и средним предприятиям на 01.01.202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выросла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%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и составляет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13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348 рублей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(124 733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рубля на 01.01.202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5).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Реальный уровень заработной платы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у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меньшился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2,8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 процентных пункта и составил 10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3,37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%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(106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20% на 01.01.202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5).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1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spacing w:after="0" w:line="240" w:lineRule="auto"/>
        <w:ind w:firstLine="1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Среднемесячная заработная плата работников среднесписочного состава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1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крупных и средних предприятий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4-202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1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1307"/>
        <w:gridCol w:w="1417"/>
        <w:gridCol w:w="1559"/>
      </w:tblGrid>
      <w:tr>
        <w:trPr>
          <w:trHeight w:val="7"/>
          <w:tblHeader/>
        </w:trPr>
        <w:tblPrEx/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5/202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122"/>
        </w:trPr>
        <w:tblPrEx/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Уровень номинальной начисленной среднемесячной заработной платы работников среднесписочного состава крупных и средних предприятий (по данным отдела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Госстатистики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рублей на 1 работника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124 733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34 348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107,7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25"/>
        </w:trPr>
        <w:tblPrEx/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Индекс потребительских цен,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04,2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-3,7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процентный пункт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636"/>
        </w:trPr>
        <w:tblPrEx/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Динамика уровня реальной заработной платы,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3,4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  <w:t xml:space="preserve">процентных пункта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tabs>
          <w:tab w:val="left" w:pos="28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среднемесячной заработной платы по основным отраслям экономики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4-202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годы работников среднесписочного состава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(по данным отдела Тюменьстат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ff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16"/>
          <w:szCs w:val="16"/>
        </w:rPr>
      </w:r>
      <w:r>
        <w:rPr>
          <w:rFonts w:ascii="Times New Roman" w:hAnsi="Times New Roman" w:eastAsia="Times New Roman" w:cs="Times New Roman"/>
          <w:color w:val="ff0000"/>
          <w:sz w:val="16"/>
          <w:szCs w:val="16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16"/>
          <w:lang w:eastAsia="ru-RU"/>
        </w:rPr>
        <w:t xml:space="preserve">рублей на 1 работника в месяц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16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16"/>
        </w:rPr>
      </w: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1730"/>
        <w:gridCol w:w="1731"/>
        <w:gridCol w:w="1497"/>
      </w:tblGrid>
      <w:tr>
        <w:trPr>
          <w:trHeight w:val="131"/>
          <w:tblHeader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Темп роста (снижения),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Номинальная начисленная среднемесячная заработная плата работников крупных и средних предприятий среднесписочного состава, рублей на 1 работника в месяц (по данным отдела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Госстатистики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124 733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134 348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107,7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1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отраслям: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7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добыча полезных ископаемых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173 392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177 391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102,3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7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обрабатывающие производства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91 112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103 439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113,5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5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электроэнергией, газом и паром, кондиционирование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120 466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132 790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110,2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112 919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123 904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109,7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транспортировка и хранение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116 905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126 013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108,3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финансирование и страхование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116 317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132 935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114,3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профессиональная и научная деятельность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160 293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171 366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106,9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торговля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65 161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64 442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88 853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99 778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112,3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здравоохранение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112 528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124 901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111,0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29"/>
        </w:trPr>
        <w:tblPrEx/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культура, физическая культура и спорт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96 797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111 811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115,5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Наибольшие темпы 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ста заработной платы по сравнению с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 годом отмечены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следующим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видам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культура, физическая культура и спорт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15,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5%,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финансирование и страхование – 114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3%, обрабатывающие производства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113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5%,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образование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3%,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здравоохранение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 среднедушевой денежный доход состави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60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340 рубл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ей, или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106,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9%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 аналогичному показателю 2024 года (56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435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Показатель денежных среднемесячных расходов населения имеет тенденцию к увеличению и 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год, увеличившись к аналогичному показателю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9%, составил 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149,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92 рублей на одного жителя в месяц.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ЗАНЯТОСТЬ НАСЕЛЕНИЯ И БЕЗРАБОТИЦА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Численность населения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экономически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активном возрасте составляет 40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718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или же 68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2% от общей численности населения.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Из их числа 35 068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 (8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%) заняты в экономике.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8763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Немногим менее половины числа занятых в экономике, или же 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1%, трудятся в крупных и средних пред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приятиях городского округа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27,4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заняты в сфере малого бизнеса, остальные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5%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учитываются по строке «неучтенный сектор», включающий в себя числен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ность работающих  в организациях, дислоцированных на территории городского округа, но производящих работы на других территориях и учитываемых в показателях той территории, работающих вахтовым методом, без заключения трудового договора, безработных граждан.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занят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ости населения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город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tabs>
          <w:tab w:val="left" w:pos="6072" w:leader="none"/>
          <w:tab w:val="right" w:pos="963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ff0000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color w:val="ff0000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16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</w:p>
    <w:tbl>
      <w:tblPr>
        <w:tblStyle w:val="993"/>
        <w:tblW w:w="0" w:type="auto"/>
        <w:tblLook w:val="04A0" w:firstRow="1" w:lastRow="0" w:firstColumn="1" w:lastColumn="0" w:noHBand="0" w:noVBand="1"/>
      </w:tblPr>
      <w:tblGrid>
        <w:gridCol w:w="4673"/>
        <w:gridCol w:w="1238"/>
        <w:gridCol w:w="1238"/>
        <w:gridCol w:w="1238"/>
        <w:gridCol w:w="1239"/>
      </w:tblGrid>
      <w:tr>
        <w:trPr>
          <w:trHeight w:val="535"/>
          <w:tblHeader/>
        </w:trPr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</w:t>
            </w:r>
            <w:r>
              <w:rPr>
                <w:color w:val="000000" w:themeColor="text1"/>
              </w:rPr>
              <w:t xml:space="preserve">3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</w:t>
            </w:r>
            <w:r>
              <w:rPr>
                <w:color w:val="000000" w:themeColor="text1"/>
              </w:rPr>
              <w:t xml:space="preserve">4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  <w:t xml:space="preserve">25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%,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</w:t>
            </w:r>
            <w:r>
              <w:rPr>
                <w:color w:val="000000" w:themeColor="text1"/>
              </w:rPr>
              <w:t xml:space="preserve">5/202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51"/>
        </w:trPr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экономически активного населения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40 188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279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40 718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96,3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занятого в экономике населения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35 330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35 959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35 068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97,5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4673" w:type="dxa"/>
            <w:noWrap w:val="false"/>
            <w:textDirection w:val="lrTb"/>
          </w:tcPr>
          <w:p>
            <w:pPr>
              <w:tabs>
                <w:tab w:val="left" w:pos="6072" w:leader="none"/>
                <w:tab w:val="right" w:pos="9638" w:leader="none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 них: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</w:tcPr>
          <w:p>
            <w:pPr>
              <w:tabs>
                <w:tab w:val="left" w:pos="6072" w:leader="none"/>
                <w:tab w:val="right" w:pos="9638" w:leader="none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</w:tcPr>
          <w:p>
            <w:pPr>
              <w:tabs>
                <w:tab w:val="left" w:pos="6072" w:leader="none"/>
                <w:tab w:val="right" w:pos="9638" w:leader="none"/>
              </w:tabs>
              <w:jc w:val="both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</w:tcPr>
          <w:p>
            <w:pPr>
              <w:tabs>
                <w:tab w:val="left" w:pos="6072" w:leader="none"/>
                <w:tab w:val="right" w:pos="9638" w:leader="none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</w:tcPr>
          <w:p>
            <w:pPr>
              <w:tabs>
                <w:tab w:val="left" w:pos="6072" w:leader="none"/>
                <w:tab w:val="right" w:pos="9638" w:leader="none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27"/>
        </w:trPr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индивидуальных предпринимателей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234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24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266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2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102,1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6"/>
        </w:trPr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</w:t>
            </w:r>
            <w:r>
              <w:rPr>
                <w:color w:val="000000" w:themeColor="text1"/>
                <w:sz w:val="24"/>
                <w:szCs w:val="24"/>
              </w:rPr>
              <w:t xml:space="preserve">самозанятых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2 468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24"/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3 822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2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5 488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143,6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4673" w:type="dxa"/>
            <w:noWrap w:val="false"/>
            <w:textDirection w:val="lrTb"/>
            <w:vAlign w:val="center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неучтенный сектор </w:t>
            </w:r>
            <w:r>
              <w:rPr>
                <w:color w:val="000000" w:themeColor="text1"/>
              </w:rPr>
              <w:t xml:space="preserve">(численность работающих (жителей города </w:t>
            </w:r>
            <w:r>
              <w:rPr>
                <w:color w:val="000000" w:themeColor="text1"/>
              </w:rPr>
              <w:t xml:space="preserve">Мегион</w:t>
            </w:r>
            <w:r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 xml:space="preserve">пгт.</w:t>
            </w:r>
            <w:r>
              <w:rPr>
                <w:color w:val="000000" w:themeColor="text1"/>
              </w:rPr>
              <w:t xml:space="preserve"> Высокий) в организациях, дислоцированных на территории городского округа, но производящих работы на других территориях и учитываемых в показателях той территории; работающие вахтовым методом; без заключения договора, безработных граждан и т.д.)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12 437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10 777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8" w:type="dxa"/>
            <w:noWrap w:val="false"/>
            <w:textDirection w:val="lrTb"/>
            <w:vAlign w:val="center"/>
          </w:tcPr>
          <w:p>
            <w:pPr>
              <w:ind w:hanging="2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8 254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39" w:type="dxa"/>
            <w:noWrap w:val="false"/>
            <w:textDirection w:val="lrTb"/>
            <w:vAlign w:val="center"/>
          </w:tcPr>
          <w:p>
            <w:pPr>
              <w:ind w:hanging="3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76,6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tabs>
          <w:tab w:val="left" w:pos="6072" w:leader="none"/>
          <w:tab w:val="right" w:pos="963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tabs>
          <w:tab w:val="left" w:pos="6072" w:leader="none"/>
          <w:tab w:val="right" w:pos="963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Поотраслевая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численность работников среднесписочного состава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крупных и средних предприятий за 2024-2025 годы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9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1788"/>
        <w:gridCol w:w="1789"/>
        <w:gridCol w:w="1161"/>
      </w:tblGrid>
      <w:tr>
        <w:trPr>
          <w:jc w:val="center"/>
          <w:trHeight w:val="461"/>
          <w:tblHeader/>
        </w:trPr>
        <w:tblPrEx/>
        <w:tc>
          <w:tcPr>
            <w:tcW w:w="4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Отрасли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Численность работающих среднесписочного состава,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5/202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jc w:val="center"/>
          <w:trHeight w:val="329"/>
          <w:tblHeader/>
        </w:trPr>
        <w:tblPrEx/>
        <w:tc>
          <w:tcPr>
            <w:tcW w:w="4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399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17 153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 xml:space="preserve">17 221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 xml:space="preserve">100,4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9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Добыча полезных ископаемых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4 431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4 411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99,5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99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Обрабатывающие производства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727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717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98,6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1 188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105,3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036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992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95,8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Торговля, ремонт автотранспортных средств и мотоциклов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451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551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122,2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510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Транспортировка и хранение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537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471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510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финансовая и страховая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1 202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640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136,4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709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603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85,1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64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управление и обеспечение военной безопасности; социальное обеспечение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747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756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101,2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425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106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043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в области здравоохранения  и социальных услуг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530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1 505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98,4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438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351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80,1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jc w:val="center"/>
          <w:trHeight w:val="559"/>
        </w:trPr>
        <w:tblPrEx/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прочих видов услуг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65,8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 общая численность работников крупных и средних предприятий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увеличилась на 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4%.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Поотраслевая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численность работников муниципальных учреждений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3-202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годы (по отчетным данным учреждений)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39"/>
        <w:gridCol w:w="1522"/>
        <w:gridCol w:w="1522"/>
        <w:gridCol w:w="1522"/>
        <w:gridCol w:w="1523"/>
      </w:tblGrid>
      <w:tr>
        <w:trPr>
          <w:tblHeader/>
        </w:trPr>
        <w:tblPrEx/>
        <w:tc>
          <w:tcPr>
            <w:tcW w:w="3539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Отрасли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66" w:type="dxa"/>
            <w:gridSpan w:val="3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Численность работающих среднесписочного состава на конец года,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2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rPr>
          <w:trHeight w:val="437"/>
          <w:tblHeader/>
        </w:trPr>
        <w:tblPrEx/>
        <w:tc>
          <w:tcPr>
            <w:tcW w:w="353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2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885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798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94,2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359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357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342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93,9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Молодежная политика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107,0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муниципальные учреждения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103,0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3539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592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522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2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Среднесписочная численность работников бюджетной сферы увеличилас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ь в отрасли «молодежная политика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6,1%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«прочие муниципальные учреждения» на 3,0%, в остальных отраслях численность снижается в пределах 4,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6,1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%, что связано с оптимизацией деятельности учреждений.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28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tabs>
          <w:tab w:val="left" w:pos="2856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Безработица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ff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tabs>
          <w:tab w:val="left" w:pos="2856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в качестве безработных зарегистрировано 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что на 5,9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выше, чем 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(34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2856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Уровень зарегистриро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ванной безработицы на 01.01.2026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составля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ет 0,09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0,08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Мероприятия по содействию занятости населения осуществлялись в рамках государственной программы Ханты-Мансийского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автономного округа – Югры «Поддержка занятости населения».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 течени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е 2025 года было трудоустроено 1 768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граждан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на рабочие места постоянного и временного характера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проведения оплачиваемых общественных работ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64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 (АППГ – 75)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временного трудоустройства граждан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испытывающих трудности в поиске работы – 13 человек (АППГ – 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стажировка инвалидов молодого возраста и инвалидов, получивших инвалидность впервые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 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(АППГ – 2)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временного трудоустройства граждан предпенсио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нного и пенсионного возраста – 5 человек (АППГ – 2)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временного трудоустройства выпускников в возрасте от 18 до 25 лет, имеющих среднее профессиона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льное или высшее образование –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(АППГ – 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временного трудоустройства несовершеннолетних граждан в возрасте от 14 до 18 лет в свободное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учебы время – 1 659 человек (АППГ – 1 362)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(АППГ – 3)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организация трудоустройства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одиноких родителей, родителей, воспитывающих детей-инвалидов, многодетных родителей, через создание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дополнительных (в том числе надомных) постоянных рабочих мест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– 1 человек (АППГ – 1);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абочие места – 1 человек (АППГ – 2)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содействие началу осуществления предпринимательской деятельности безработных граждан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18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в т.ч. 1 гражданин пенсионного возраста (АППГ – 18)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709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Было направлено в течение 2025 года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профессиональное обучение и дополнительное профессиональное обра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зование безработных граждан – 29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(АППГ – 34)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Особое внимание уделялось трудоустройству подростков из льготных категорий семей: непол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ных, многодетных семей и семей, потерявших кормильца; семей, где родители являются безработными; дети родителей-инвалидов; подростки, состоящие на учете в комиссии по делам несовершеннолетних; дети-сироты и дети, оставшиеся без попечения родителей и т.д.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трудоустройства лиц, освободившихся из мест лишения свободы и испытывающих трудности в поиске работы, на предприятиях 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орода не было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зарезервировано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ни одного рабочего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места</w:t>
      </w: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Постановлением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администрации города от 21.04.2017 №745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«О резервировании временных рабочих мест для лиц,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освободившихся из мест лишения свободы и испытывающих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трудности в поиске работы, на предприятиях города Мегиона»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определено минимальное количество временных рабочих мест для приема на работу граждан, освободившихся из мест лишения свободы и испытывающих трудности в поиске работы, в следующи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х организациях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город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муниципальное унитарное предприятие «Тепловодоканал»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кционерное общество «Региональные электрические сети – Восток»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общество с ограниченной ответственностью «Жилищно-коммунальное управление»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ЗДРАВООХРАНЕНИЕ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Основной целью здравоохранения остается защита и укрепление здоровья населения, увеличение продолжительности жизни, повышение доступности и качества медицинской помощи.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соответствии с пунктом 14 части 1 статьи 16 Федерального закона от 06.10.2003 №131-ФЗ «Об общих принципах организации местного самоуправления в Российской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Федерации» к вопросам местного значения относится создание условий для оказания медицинской помощи населению на территории города. Организация и качество оказания услуг здравоохранения занимают важное место в социально-экономическом развитии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время, на территории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функционирует бюджетное учреждение Ханты-Мансийского автономного округа – Югры «Мегионская городская больница»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(далее – БУ ХМАО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Югры «Мегионская городская больница»)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которое является основным многопрофильным лечебно-диагностическим учреждением города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Высокий и осуществляет следующие основные виды деятельности: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первичная медико-санитарная помощь;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специализированная медицинская помощь; 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скорая, в том числе скорая специализированная, медицинская помощь;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паллиативная медицинская помощь; 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медицинская экспертиза; 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медицинские осмотры и медицинские освидетельствования;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фармацевтическая деятельность;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деятельность, связанная с оборотом наркотических средств, психотропных веществ и 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прекурсоров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заготовка и хранение донорской крови и (или) ее компонентов. 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структуру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городской больницы входят городская поликлиника, детская поликлиника, амбулатория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Высокий, отделение медицинской реабилитации для детей, подразделения стационара – хирургический корпус, терапевтический корпус, детский больничный корпус, инфекционный корпус.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году в БУ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ХМАО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Югры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Мегионская город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ская больница»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для оказания паллиативной медицинской помощи взрослом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 населению создано отделение выездной патронажной паллиативной медицинской помощи взрослым с учетом зоны обслуживания в границах административной территории городских округов Лангепас, Мегион, Покачи, так же создано отделение медико-социальной помощи для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комплексного обеспечения здоровья, социальной адаптации и поддержки участников и ветеранов боевых действий, принимавших участие в специальной военной операции и членов их семей, 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так же участников боевых действий на территории Афганистана, Чеченской Республики и прилегающих к ней территориях Северного Кавказа, ветеранов ВОВ, инвалидов ВОВ, тружеников тыла, узников концлагерей, вдовы (вдовцы) инвалидов и участников ВОВ, детей войны.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целях повышения качества и доступности оказания медицинской помощи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ХМАО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Югры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«Мегионская городская больница»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приобретено современное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оборудовани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е, выполнены капитальные ремонты первой очереди на двух объектах. Получен и введен в эксплуатацию один автомобиль скорой медицинской помощи.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Кроме БУ «Мегионская городская больница» в системе здравоохранения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функционируют учреждения: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bidi="en-US"/>
        </w:rPr>
        <w:t xml:space="preserve">автономное учреждение Ханты-Мансийского автономного округа – Югры «Мегионская городская стоматологическая поликлиника»;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bidi="en-US"/>
        </w:rPr>
        <w:t xml:space="preserve">бюджетное учреждение Ханты-Мансийского автономного округа – Югры «Психоневрологическая больница имени Святой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bidi="en-US"/>
        </w:rPr>
        <w:t xml:space="preserve">преподобномученицы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bidi="en-US"/>
        </w:rPr>
        <w:t xml:space="preserve"> Елизаветы».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5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Автономное учреждение Ханты-Мансийского автономного округа – Югры «Мегионская городская стоматологи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ческая поликли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ника»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состоит из трех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отделений: терапевтического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детского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ортопедического.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Терапевтическое отделение состоит из девяти кабинетов. Детский прием ведется в одном кабинет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Ортопедическое отделение состоит из двух кабинетов и зуботехнической лаборатории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Работает кабинет неотложной помощи. Неотложная помощь оказывается по обращаемости жителям города Мегиона, пгт. Высокий, Нижневартовского района, автономного округа и из других субъектов РФ, пациентам из ближнего и дальнего зарубежья.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пределами стоматологической поликлиники функционируют стационарные стоматологические кабинеты, расположенные в обще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образовательных школах города,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Высокий 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бюджетном учреждении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Ханты-Мансийского автономного округа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Югры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«Мегионская городская больница»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Бюджетное учреждение Ханты-Мансийского автономного округа – Югры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Псих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иневрологическая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больница имени Святой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преподобномученицы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Елизаветы»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оказывает специализированную стационарную и амбулаторно-поликлиническую квалифицированную помощь лицам с нервно-психическими и наркологическими расстройствами, консультирует по психиатрической и наркологической помощи.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Материально-техническая база больницы включает в себя лечебный корпус с административными, амбулаторными, стационарными, экспертными помещениями, клинической лабораторией, отделение пограничных состояний, стационарное отделение в городе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Лангепасе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Система оказания психиатрической и наркологической помощи в больнице носит многоступенчатый характер. Ее структура включает стационарную и амбулаторную помощь, реабилитацию. Проведение диагностических, лечебно-реабилитационных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социо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-реабилитационных мероприятий направлено на выполнение главной цели – возвращение пациента в общество на возможно более высоком социальном уровне.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Стационарная помощь осуществляется в режиме оказания неотложной помощи больным с психическими и наркологическими расст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ройствами с дальнейшей восстановительной терапией. Амбулаторно-поликлиническая психиатрическая помощь осуществляется кабинетами диспансерного принципа работы. Пациенты получают поддерживающее лечение, а также рекомендации по реабилитации и трудоустройству.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Также предоставляются услуги психотерапевта и психолога. Широко ведется профилактическая работа как наркологическим, так и психиатрическим кабинетами (лекции, беседы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тренинги, конференции и т.д.).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Развито тесное сотрудничество с судебными органами, органами прокурорского надзора, органами социальной защиты населения.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Учреждение оснащено современным медицинским оборудованием для диагностики (включая специфическую диагностику психических расстройств и химических зависимостей), лечения (как неотложного, так и восстановительного).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оказания медицинской помощи город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располагает следующими общедоступными мощностями: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амбулаторно-поликлиническими учреждениями на 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287 посещений в смену. Обеспеченность населения амбулаторными мощно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стями составляет 215,5 посещений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на 10,0 тыс. населения;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tabs>
          <w:tab w:val="left" w:pos="720" w:leader="none"/>
          <w:tab w:val="left" w:pos="8091" w:leader="none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368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койко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/местами круглосуточного стационара. Обеспеченность койками круглосуточного стационара составляет 61,6 койки на 10,0 тыс. населения;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widowControl w:val="off"/>
        <w:tabs>
          <w:tab w:val="left" w:pos="720" w:leader="none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120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койко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/местами дневного стационара, обеспеченность населения койками дневного стационара составляет 20,1 коек на 10,0 тыс. населения.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 учреждениях здравоохранения трудится 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4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33 человек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а, из них: 188 врачей, 634 среднего медперсонала и 611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прочего персонала.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Обеспеченность врачами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всех специальностей составляет 31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5 человек на 10,0 тыс. населения, сре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дним медицинским персоналом – 106,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1 человек на 10,0 населения.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3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Всего за 2025 год было зарегистрировано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49,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 тыс. посещений в общедоступные амбулаторно-поликлинические подразд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еления учреждения, отработано 86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койко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/дней,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930 больных пролечено на койках дневного стационара. За отчетный период бригады скорой помощи выезжали к пациентам 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656 раз.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Помимо государственных учреждений здравоохранения Ханты-Мансийского автономного округа – Югры на территории города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услуги здравоохранения широкого спектра населению оказывают организации частной формы собственности.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ОБРАЗОВАНИЕ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Образование Мегиона – это эффективная, развивающаяся система, направленная в первую очередь на достижение национальной цели Российской Федерации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обеспечение возможности самореализации и развития талантов.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Основными целями образовательной политики горо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дской системы образования в 2025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году являлись: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формирование эффективной системы выявления, поддержки и развития способностей</w:t>
      </w:r>
    </w:p>
    <w:p>
      <w:pPr>
        <w:widowControl w:val="off"/>
        <w:spacing w:after="0" w:line="240" w:lineRule="auto"/>
        <w:ind w:firstLine="0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 талантов у детей и молодежи.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Действенным механизмом решения поставленных задач является национальный проект «Молодежь и дети». Все показатели национального проекта в 2025 году достигнуты.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Style w:val="9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87"/>
        <w:gridCol w:w="992"/>
        <w:gridCol w:w="1134"/>
      </w:tblGrid>
      <w:tr>
        <w:trPr>
          <w:trHeight w:val="344"/>
        </w:trPr>
        <w:tblPrEx/>
        <w:tc>
          <w:tcPr>
            <w:tcW w:w="42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uppressLineNumbers w:val="0"/>
              <w:spacing w:line="283" w:lineRule="atLeast"/>
              <w:ind w:left="113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</w:tr>
      <w:tr>
        <w:trPr>
          <w:trHeight w:val="542"/>
        </w:trPr>
        <w:tblPrEx/>
        <w:tc>
          <w:tcPr>
            <w:tcW w:w="425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pStyle w:val="925"/>
              <w:numPr>
                <w:numId w:val="15"/>
                <w:ilvl w:val="0"/>
              </w:numPr>
              <w:suppressLineNumbers w:val="0"/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7087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right="57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детей в возрасте от 5 до 18 лет, охваченных дополнительным образованием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87,77%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90,51%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513"/>
        </w:trPr>
        <w:tblPrEx/>
        <w:tc>
          <w:tcPr>
            <w:tcW w:w="425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pStyle w:val="925"/>
              <w:numPr>
                <w:numId w:val="15"/>
                <w:ilvl w:val="0"/>
              </w:numPr>
              <w:suppressLineNumbers w:val="0"/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7087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right="57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детей и молодежи в возрасте 7 до 35 лет, у которых выявлены выдающиеся способности и таланты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0,57%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1,18%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447"/>
        </w:trPr>
        <w:tblPrEx/>
        <w:tc>
          <w:tcPr>
            <w:tcW w:w="425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pStyle w:val="925"/>
              <w:numPr>
                <w:numId w:val="15"/>
                <w:ilvl w:val="0"/>
              </w:numPr>
              <w:suppressLineNumbers w:val="0"/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7087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right="57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обучающихся 6-11 классов, охваченных комплексом профориентационных мероприятий в рамках Единой модели профориентации 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43%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pacing w:before="0" w:after="0" w:line="283" w:lineRule="atLeast"/>
              <w:ind w:left="113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57,74%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региональным проектом «Модернизация школьной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Ханты-Мансийского автономного округа – Югры» регионального проекта «Все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tabs>
          <w:tab w:val="left" w:pos="709" w:leader="none"/>
        </w:tabs>
        <w:spacing w:after="0" w:line="240" w:lineRule="auto"/>
        <w:ind w:left="0" w:right="0" w:firstLine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лучшее детям» 01.09.2025 завершен капитальный ремонт объекта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автономного общеобразовательного учреждения «Средняя общеобразовательная 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№4». На объекте общеобразовательной организации выполнен комплексный капитальный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ремонт, включая 14 видов работ, кроме того была обновлена материально-техническая база.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проведена работа по благоустройству территорий, включая обустройство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оснащение плоскостных спортивных сооружений, развивающих площадок.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проекта по строительству объекта «Средняя общеобразовательная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в 20 микрорайоне города Мегиона» в 2025 году утверждено техническое задание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школы на 1 200 мест, заключен государственный контракт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выполнение инженерных изысканий, осуществление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проектной и рабочей документации в целях строительства объекта капитального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строительства, получены положительные результаты проверки на предмет эффективности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 средств бюджета Ханты-Мансийского автономного округа – Югры.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 муниципальный контракт на оказание услуг по разработке проектно-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сметной документации по объекту «Капитальный ремонт здания корпуса №2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автономного дошкольного образовательного учреждения №1 «Сказка».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проведены подготовительные мероприятия по строительству объекта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специального (коррекционного) образовательного учреждения для обучающихся,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воспитанников с отклонениями в развитии 8 вида. Начало строительства запланировано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году.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инициативных проекта стали победителями регионального конкурса инициативных проектов и были реализованы на средства окружного и местного бюджетов при поддержке спонсоров: </w:t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муниципальном автономном общеобразовательном учр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еждении №5 «Гимназия» с начала нового учебного года начала работу «Вкуснотория» – обновленная и современная школьная столовая. Концепция предполагает использование столовой не только по прямому назначению. Здесь можно смотреть фильмы, проводить классные 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сы, родительские собрания и дни рождения. Пространство по-настоящему многофункциональное, оно трансформируется и изменяется под потребности нового поколения. Общий объем привлеченных средств составил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14 840,5 тыс. рублей;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муниципальном автономном общеобразовательном учре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ждении «Средняя общеобразовательная школа №4»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изован проект «Врач со школьной скамьи». На средства, полученные в рамках гранта, школа приобрела оборудование для медицинского класса, включая цифровые лаборатории по химии и биологии, микроскопы, телементо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для практических занятий. Общий объем привлеченных средств состави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3 403,8 тыс. рублей.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автономном общеобразовательном учреждении №5 «Гимназия»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поддержке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публичного акционерного общества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«Славнефть-Мегионнефтегаз»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открылась первая IT-лаборатория для школьников. Ее появление стало завершающим этапом в создании уникального для города образовательного пространства – Центра детских научных инициатив. Центр детских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научных инициатив представляет собой уникальное для Мегиона образовательное пространство. Он формирует у молодежи интерес к естественным наукам и инженерно-конструкторской деятельности, создает условия для подготовки кадрового резерва нефтегазовой отрасли.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центре уже действуют класс робототехники и лаборатории для углубленного изучения химии, биологии и физики. За 2 года реализации проекта привлечено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20 336,9 тыс.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Первая соляная комнат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 открыта в дошкольном образовательном учреждении  в 2025 году на базе муниципального автономного дошкольного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«Детский сад №10 «Золотая рыбка». Проект реализован на средства депутатского фонда, общей стоимостью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1 400,0 тыс. рублей.  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Основные приоритеты и направления развития системы образования определены в муниципальной программе «Развитие образования».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Общий объем средств, предусмотренных муниципальной программой, составляет             3 739,3 млн рублей. 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 последние 5 лет наблюдается динамика увеличения следующих социально-экономических показателей: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среднемесячной номинальной начисленной заработной платы работников: муниципальных дошкольных образовательных учреждений на 72,2% (2020 год – 48 395,6 рублей; 2025 год – 83 349,9 рублей);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муниципальных общеобразовательных учреждений на 65,2% (2020 год – 61 658,7 рублей; 2025 год – 101 830,4 рублей);</w:t>
      </w:r>
    </w:p>
    <w:p>
      <w:pPr>
        <w:widowControl w:val="off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учителей муниципальных общеобразовательных учреждений на 76,1% (2020 год – 66 335,6 рублей; 2025 год – 116 839,4 рублей);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расходов бюджета муниципального образования на общее образование в расчете на 1 обучающегося в муниципальных общеобразовательных учреждениях на 60% (2020 год – 175,6 тыс.рублей; 2025 год – 280,9 тыс.рублей);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расходов бюджета муниципального образования на общее образование на 40,5% (2020 год – 1 372 289,1 тыс.рублей; 2025 год – 1 928 319,9 тыс.рублей).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Все социально важные решения в сфере образования подготавливаются и принимаются с участием Общественного совета в сфере образования (далее – Общественный совет). 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2025 году проведено три заседания Общественного совета, на которых были рассмотрены и приняты значимые решения для муниципальной системы образования: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«О реализации мероприятий по капитальному ремонту объекта муниципального автономного общеобразовательного учреждения «Средняя общеобразовательная школа №4», здание корпуса №1, расположенное по адресу: Ханты-Мансийский автономный округ – Югра, город Мегио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н, ул. Сутормина, 16/1».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«Об общественном контроле в области школьного питания на 2025-2026 учебный год».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«О завершении реализации мероприятий по капитальному ремонту здания корпуса №1 муниципального автономного общеобразовательного учреждения «Средняя общеобразовательная школа №4», в том числе благоустройства территории, включая спортивное ядро».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«О рассмотрении результатов независимой оценки качества образовательной деятельности организаций, осуществляющих образовательную деятельность на территории города Мегиона в 2025 году».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Каждое из принятых решений направлено на укрепление образовательной и социальной инфраструктуры, обеспечивая устойчивое развитие города и повышение качества жизни его жителей.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Дошкольное образование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Структура дошкольного образования представлена 10 дошкольными образовательными организациями, 1 структурным подразделением при общеобразовательной организации.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Во всех образовательных организациях дошкольного образования созданы условия для обучения и воспитания гармонично развитой и социально ответственной личности.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беспечение и сохранение 100-процентной доступности дошкольного образования для детей от 1 года осуществляется во исполнение указов Президента Российской Федерации от 07.05.2012 №599 «О мерах по реализации государственной политики в области образования и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уки» и от 07.05.2024 №309 «О национальных целях развития Российской Федерации на период до 2030 года и перспективу до 2036 года».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Численность детей в возрасте от 1 года до 8 лет, получающих дошкольное образование, составляет 2 434 воспитанника (в 2024 году – 2 566).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Данные о количестве воспитанников в дошкольных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образовательных организациях за 5 лет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  <w:t xml:space="preserve">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tbl>
      <w:tblPr>
        <w:tblStyle w:val="933"/>
        <w:tblW w:w="9638" w:type="dxa"/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276"/>
        <w:gridCol w:w="992"/>
        <w:gridCol w:w="1134"/>
        <w:gridCol w:w="1134"/>
      </w:tblGrid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Год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детей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012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746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ind w:left="0"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widowControl w:val="off"/>
        <w:spacing w:after="0" w:afterAutospacing="0" w:line="240" w:lineRule="auto"/>
        <w:ind w:left="0" w:right="0" w:firstLine="709"/>
        <w:jc w:val="both"/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Calibri Light"/>
          <w:color w:val="auto"/>
          <w:sz w:val="24"/>
          <w:szCs w:val="24"/>
          <w:highlight w:val="white"/>
        </w:rPr>
        <w:t xml:space="preserve">Наблюдается снижение численности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детей дошкольного возраста, которое объясняется демографическими и миграционными процессами. 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r>
    </w:p>
    <w:p>
      <w:pPr>
        <w:pStyle w:val="92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дошкольники города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Мегиона принимали активное участие в различных конкурсах: «Алло, мы ищем таланты», «Горжусь тобой, моя Россия», «Юные изобретатели»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«Математический знайка», «Дети рулят»,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а также участвовали в благотворительных акциях, фестивалях. В марте 2025 года на базе муниципального автономного дошкольного образовательного учреждения «Детский сад №2  «Рябинка» проведен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II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открытый фестиваль музыкально-художественного творчества «Крымская весна - 11 лет в городах полуострова Крым и дружеский градус в Югре», посвященный 11-ой годовщине воссоединения Крыма с Россией.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spacing w:after="0" w:afterAutospacing="0" w:line="240" w:lineRule="auto"/>
        <w:ind w:left="0" w:right="0" w:firstLine="709"/>
        <w:jc w:val="both"/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Важно отметить значимую активность дошкольников, родительских и педагогических сообществ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в волонтерской деятельности, направленной, в первую очередь, на поддержку военнослужащих автономного округа.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обенно стоит отметить участие семей и работников детских садов в общественной жизни города. Кроме того,  детские сады «Умка» и «Югорка» продолжают  взаимодействовать с подшефными детскими садами города Макеевки, оказывая им помощь в приобретении печатных 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зданий, необходимых для занятий с дошкольниками, канцелярских и школьных принадлежностей.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 итогам 2025 года детские сады «Югорка» и «Ласточка» стали победителями Всероссийского смотра-конкурса «Детский сад года». Детские сады «Золотая рыбка» и детский сад «Морозко» являются победителями Всероссийского смотра-конкурса «Образцовый детский сад 20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24-2025».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 итогам результатов независимой оценки качества образовательной деятельности организаций, реализующих дошкольную образовательную программу на территории города Мегиона в 2025 году, все 10 дошкольных образовательных организаций города получили высшую оценк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у – отлично.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среднее образование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города Мегиона действуют 7 муниципальных общеобразовательных организаций.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01.09.2025 в школах города сформировано 266 классов, в которых обучается 6 577 школьников (01.09.2024 – 277 классов, 6 839 обучающихся).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осударственная итоговая аттестация в 2025 году была проведена в соответствии с требованиями действующего законодательства, Порядком проведения государственной итоговой аттестации. В общеобразовательных организациях в течение всего учебного года были создан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условия для подготовки и проведения государственной итоговой аттестации.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итоговой аттестации были допущены 692 выпускника 9-х классов и 278 выпускников 11-х классов. Подводя результаты государственной итоговой аттестации в 2025 году стоит отметить, что в сравнении с предыдущим годом результаты и процентные пока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атели ЕГЭ стабильны и по некоторым показателям были улучшены результаты предыдущего года. Средний тестовый бал ЕГЭ выпускников по русскому языку - 57 баллов, по математике (профильный уровень) – 60. Отмечается значительное повышение среднего балла ЕГЭ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сравнении с прошлым годом по учебным предметам: «английский язык» (на 8 баллов), «история» (на 13 баллов). В 2025 году один выпускник 11-х классов набрал максимальный балл ЕГЭ. Стобалльный результат ЕГЭ был получен по учебному предмету «химия».  Стоит отме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ить, что по указанному учебному предмету выпускники школы набирают максимальный балл второй год подряд. В 2025 году, как и в предыдущие годы, администрацией города реализовано мероприятие по поощрению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казанных обучающихся денежными премиями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22 391,00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учетом послания Президента Российской Федерации Федеральному Собранию с 2024 года добавлены два дополнительных дня для пересдачи ЕГЭ выпускниками текущего года. В эти дни выпускники могут пересдать один из своих результатов текущего года. Таким правом в 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 году воспользовались 85 человек, что составляет 30,6% от общего количества выпускников 11-х классов, и это на 9,5% выше, чем в 2024 году.  По итогам сдачи единого государственного экзамена в дополнительные сроки большинство мегионских школьников улучшили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не только свой результат единого государственного экзамена, но и получили медаль «За особые успехи в учении».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итогам государственной итоговой аттестации 278 выпускников 11-х классов получили аттестат о среднем общем образовании. Аттестат об основном общем образовании получил 691 девятиклассник, из них с отличием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42 человека (6%).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2024 года выпускники школ смогли получить медали первой и второй степени. По итогам окончания учебного года и сдачи единого государственного экзамена в основные и дополнительные дни в 2025 году количество выпускников, окончивших школу с медалью «За особые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успехи в учении», составило 54 человека (19,4% от общего количества выпускников), из которых I степени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34 человека, медалью II степени – 20 человек. Этот показатель в сравнении с 2024 годом остался на прежнем уровне.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результатам работы муниципальных общеобразовательных организаций за 2024-2025 учебный год: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 аттестованных – 6 человек (0,1%), аналогичный период предыдущего года – 6 человек (0,1%);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закончивших учебный год на «4 и 5»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2 332 человека (34,5%), что на 207 человек (1,8%) ниже, чем по итогам 2023-2024 учебного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2 539 человек (36,3%).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Общегородской процент качества по итогам 2024-2025 учебного года составляет 41,8 %, что на 1,8% ниже, чем по итогам 2023-2024 учебного года (43,6%).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Общий процент успеваемости в целом по городу по итогам 2024-2025 учебного года составляет 99%, как и в 2023-2024 учебном году (99%).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о-прежнему образовательные организации города предоставляют образование по программам профильного обучения. В 2024-2025 учебном году в школах города были открыты следующие профили: естественно-научный, гуманитарный, социально-экономический, технологический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и универсальный. Также стоит отметить, что  с 2023 года в муниципальном автономном общеобразовательном учреждении «Средняя общеобразовательная школа №1»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№1»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одолжают работу группы  психолого-педагогического профиля на уровне среднего общего образования, а в муниципальном автономном общеобразовательном учреждении «Средняя общеобразовательная школа №3 имени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вана Ивановича Рынкового»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соответствии с соглашением о взаимодействии между Департаментом образования и науки Ханты-Мансийского автономного округа – Югры и Уполномоченным по защите прав предпринимателей в автономном округе, для раннего профессионального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ориентирования учеников выпускных классов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осуществляется реализация пилотного проекта «Бизнес-классы Югры». Помимо вышеуказанных классов, уже с нового 2025-2026 учебного года на базе муниципального автономного общеобразовательного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«Средняя общеобразовательная школа №2»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№2»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откр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ылся полицейский и нефтяной класс, а на базе муниципального автономного общеобразовательного учреждения «Средняя общеобразовательная школа №4»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(далее – МАОУ «СОШ №4»)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медицинский.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01.09.2025 доля обучающихся, занимающихся во II смену, уменьшилась и составила – 9,7% (628 человек). Главной причиной достижения указанного показателя явилась возобновление работы после капитального ремонта объекта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№4»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итогам результатов независимой оценки качества образовательной деятельности организаций,  все 7 общеобразовательных организаций города получили высшую оценку – отлично.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работы с одаренными детьми и профориентация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Приоритетным направлением муниципальной системы образования остается работа с одаренными детьми. В городе созданы условия развития индивидуальных способностей и одаренности обучающихся, стимулирования творческих детей.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заключительном этапе Всероссийской олимпиады школьников приняли участие семь обучающихся города Мегиона, один из них стал призером. 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городе Новый Уренгой лучшие ученики состязались по предмету «Химия», по результатам соревнований призовое место занял ученик 10-го класса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Аваков Георгий.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региональном этапе Всероссийского форума научной молодежи «Шаг в будущее»  в дистанционном формате приняли участие 6 обучающихся МАОУ №5 «Гимназия», четверо из них стали победителями (Елизаров Макар, Таматаева Алиса, Горшанников Тимофей, Есипёнок Арина)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 двое – призерами (Бурмасова Александра, Гейко Дарина).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региональном этапе молодежного образовательного проекта «Дети Сократа. Литературные дебаты», который проводился в городе Ханты-Мансийск стала призером (3-е место) Шевцова Александра, обучающаяся 11 класса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».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Во Всероссийском конкурсе сочинений - 2025 Марсель Лукманов, ученик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№4»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признан победителем. Торжественная церемония прошла на площадке Минпросвещения России.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общеобразовательных организациях реализуется Единая модель профессиональной ориентации – профориентационный минимум: курс занятий «Россия – мои горизонты».</w:t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целях организации эффективной профориентационной работы с обучающимися, выявления профессиональных предпочтений и склонностей обучающихся к различным видам профессиональной деятельности, осуществляется сопровождение профессионального самоопределения школ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ников. Проводится профориентационное тестирование обучающихся 5-7 классов, 8-11 классов и организуются индивидуальные консультации-рекомендации, осуществляется подбор сфер профессиональной деятельности. Обучающиеся 6-11 классов проходят профдиагностику в 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амках реализации проектов «Билет в будущее» и «Будущий профессионал».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рамках проектов реализуются профориентационные инновационные мероприятия с учащимися, с последующим построением индивидуальной траектории профессионального развития на основе интересов, способностей, особенностей личности и особенностей надпрофессиональны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х компетенций. </w:t>
      </w:r>
    </w:p>
    <w:p>
      <w:pPr>
        <w:widowControl w:val="off"/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2025  году департаментом образования совместно с публичным акционерным обществом «Славнефть-Мегионнефтегаз» (далее – ПАО «Славнефть-Мегионнефтегаз») организовано участие и сопровождение обучающихся в интеллектуальном турнире «Умножая таланты», проводимом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публичным акционерным обществом «Газпром нефть» при поддержке университета ИТМО (город Санкт-Петербург). Команда из Мегиона стала призером по итогам Всероссийского финала.</w:t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 октября 2025 года заключено двухстороннее соглашение между администрацией города Мегиона и публичным акционерным обществом «Славнефть-Мегионнефтегаз» о сотрудничестве при осуществлении образовательной, научной и инновационной деятельности, реализации Еди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ной модели профессиональной ориентации обучающихся города Мегиона в рамках национального проекта «Молодежь и дети» и профориентационного проекта «МЕСТО РОСТА».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ind w:left="0" w:right="0" w:firstLine="709"/>
        <w:jc w:val="center"/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  <w:t xml:space="preserve">истема воспитательной работы</w:t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Образовательные организации активно участвуют в реализа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ции государственной политики в сфере защиты прав детей. В городе сформирована система профилактики безнадзорности и правонарушений несовершеннолетних, выявления и устранения причин и условий, способствующих этому.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Одним из важных направлений остае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тся профилактика чрезвычайных происшествий с детьми. Образовательными организациями реализуются мероприятия в рамках широкомасштабной профилактической операции «Год», а также 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модуля автоматизированного контроля и координации рисков детства (далее – модуль, «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АК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КОРД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 – Югра») подсистемы «Безопасное детство» государственной информационной системы «Цифровая образовательная платформа Ханты-Мансийского автономного округа – Югры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охватывающие все необходимые направления по сохранению здоровья и жизни обучающихся, а 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кже модуля автоматизированного контроля и координации рисков детства подсистемы «Безопасное детство» государственной информационной системы «Цифровая образовательная платформа Ханты-Мансийского автономного округа – Югры».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целью профилактики детского дорожно-транспортного травматизма в каждой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школе действуют отряды Юных инспекторов дорожного движения.  В 2025 году команда МБОУ «Средняя общеобразовательная школа №6» стала победителем в окружном этапе соревнований среди отрядов юных инспекторов движения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настоящее время в условиях современных вызовов реализуется Всероссийский проект «Разговоры о важном». Во всех общеобразовательных организациях введена должность советников директоров по воспитанию.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каждой школе открыто первичное отделение Общероссийского общественно-государственного движения детей и молодежи «Движение первых».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Большое внимание в сфере образования уделяется гражданско-патриотическому воспитанию.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tLeast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оведены мероприятия, направленные на формирование и повышение уровня патриотического сознания, чувства гордости и верности своему Отечеству: классные часы «Уроки мужества», «Есть такая профессия – Родину защищать», «Зарница 2.0», игра «Честь имею!».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off"/>
        <w:tabs>
          <w:tab w:val="left" w:pos="0" w:leader="none"/>
          <w:tab w:val="left" w:pos="1134" w:leader="none"/>
        </w:tabs>
        <w:spacing w:after="0" w:afterAutospacing="0"/>
        <w:ind w:left="0" w:right="0" w:firstLine="709"/>
        <w:jc w:val="both"/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pP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В 2025 году образ</w:t>
      </w: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овательные организации принимали активное участие в многочисленных акциях по поддержке участников специальной военной операции и населения города Макеевки</w:t>
      </w: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r>
    </w:p>
    <w:p>
      <w:pPr>
        <w:widowControl w:val="off"/>
        <w:tabs>
          <w:tab w:val="left" w:pos="0" w:leader="none"/>
          <w:tab w:val="left" w:pos="1134" w:leader="none"/>
        </w:tabs>
        <w:spacing w:line="283" w:lineRule="atLeast"/>
        <w:ind w:left="0" w:right="0" w:firstLine="0"/>
        <w:jc w:val="center"/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  <w:t xml:space="preserve">Развитие кадрового</w:t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  <w:t xml:space="preserve"> потенциала</w:t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  <w:rPr>
          <w:rFonts w:ascii="Times New Roman" w:hAnsi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2025 учебном году в образовательных организациях города работают свыше 1 000 педагогов. Высшую квалификационную категорию имеют 27%, первую квалификационную категорию 22%. 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  <w:rPr>
          <w:rFonts w:ascii="Times New Roman" w:hAnsi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Показатель охвата педагогов дополнительным профессиональным образованием и курсо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вой подготовкой в 2024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-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учебном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году достигнут.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Ханты-Мансийского автономного округа – Югры,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городе Мегионе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100%.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  <w:rPr>
          <w:rFonts w:ascii="Times New Roman" w:hAnsi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 целью развит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ия профессиональной компетенции педагогов в региональной системе научно-методического сопровождения педагогических работников и управленческих кадров Ханты-Мансийского автономного округа – Югры в региональный методический актив включены 5 педагогов города.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  <w:rPr>
          <w:rFonts w:ascii="Times New Roman" w:hAnsi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рамках работы по развитию кадрового потенциала общеобразовательных организаций в муниципальном образовании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педагоги города вовлечены в реализацию Целевой модели наставничества, эффективно реализуется комплекс 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ер по созданию эффективной среды,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профессии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Значительную роль в развитии кадрового потенциала системы образования играет вовлеч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ени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 педагогов в систему мероприятий, направленных на выявление, поощрение                и распространение лучшего педагогического опыта. В 2025 году мероприятия по достижению показателя были направлены на расширение пространства педагогического творчества ч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ерез участие в конкурсных мероприятиях, фестивалях, проектах регионального и федерального значения. Конкурсы мотивируют педагогов к постоянному самосовершенствованию и обучению, что способствует общему повышению уровня профессионализма в сфере образования.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uppressLineNumbers w:val="0"/>
        <w:spacing w:after="0" w:afterAutospacing="0" w:line="283" w:lineRule="atLeast"/>
        <w:ind w:left="0" w:right="0" w:firstLine="709"/>
        <w:jc w:val="both"/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Во вс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ер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оссийском конкурсе профессионального мастерства педагогов (региональном этапе всероссийских конкурсов профессионального мастерства в сфере образования Ханты-Мансийского автономного округа – Югры «Педагог года Югры - 2025») призером (3 место) – в конкурсе «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От сердца к сердцу» (для классных руководителей), а также победителем в номинации «Приз ученических симпатий» стал Чернушенко Юрий Николаевич, учитель математики МАОУ «Средняя общеобразовательная школа №9». </w:t>
      </w:r>
    </w:p>
    <w:p>
      <w:pPr>
        <w:suppressLineNumbers w:val="0"/>
        <w:spacing w:after="0" w:afterAutospacing="0" w:line="283" w:lineRule="atLeast"/>
        <w:ind w:left="0" w:right="0" w:firstLine="709"/>
        <w:jc w:val="both"/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6 мая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 2025 года в городе Ханты-Мансийске завершился Региональный этап конкурса «За нравственный подвиг учителя» XX Всероссийского конкурса в области педагогики, воспитания и работы с детьми и молодежью до 20 лет. Победителем (1 место)  в номинации «За организац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ию ду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ховно-нравственного воспитания в образовательной организации» стал коллектив авторов МАДОУ «Детский сад №14 «Умка» города Мегиона: Тихонова Ольга Николаевна, воспитатель, Потапова Светлана Валерьевна, старший методист, Мищанюк Надежда Николаевна, воспитате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ль с дополнительной общеразвивающей программой духовно-нравственного и гражданско-патриотического воспитания «Спешите делать добро».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0" w:after="40" w:line="283" w:lineRule="atLeast"/>
        <w:ind w:left="0" w:right="0" w:firstLine="708"/>
        <w:jc w:val="both"/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читель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снов безопасности и защиты Родины</w:t>
      </w:r>
      <w:r>
        <w:rPr>
          <w:rFonts w:ascii="Segoe UI" w:hAnsi="Segoe UI" w:eastAsia="Segoe UI" w:cs="Segoe UI"/>
          <w:color w:val="000000"/>
          <w:sz w:val="20"/>
        </w:rPr>
        <w:t xml:space="preserve"> 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№3»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, участник Специальной военной операции Владимир Александрович Усанов стал одним из 20 лучших наставников России. Его заслуги высоко оценили на Всероссийском конкурсе «Быть, а не казаться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!».</w:t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процессе реализации федеральных и региональных проектов в сфере образования, учитывая необходимость концентрации сил всех уровней управления муниципальной системой образования, на Августовском совещании педагогических работников города Мегиона  определены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задачи на 2026 год: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.Создание условий для предоставления услуг ранней помощи на межведомственной основе, обеспечивающих выявление нарушений здоровья и ограничений жизнедеятельности на ранней стадии развития, оптимальное развитие и адаптацию детей, интеграцию семьи и ребенка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общество, профилактику или снижение выраженности ограничений жизнедеятельности, укрепление физического и психического здоровья, повышение доступности образования для детей.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2.Усиление практики раннего выявления особых образовательных потребностей у детей с ОВЗ и инвалидностью с целью своевременного предоставления необходимого сопровождения.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3.Обеспечение прохождения курсов по профильной подготовке учителям-предметникам, работающим в профильных классах в 2025-2026 учебном году.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4.Проведение практического семинара учителей математики и учителей начальных классов по выработке единых подходов к образовательным результатам; учителям математики и информатики скорректировать учебные программы.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.Продолжение работы по повышению престижа профессий, профессиональной ориентации обучающихся, способствующей формированию их профессионального, личностного и социального самоопределения, в том числе совместные мероприятия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ПАО «Славнефть-Мегионнефтегаз».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.Содействие взаимодействию с организациями, обладающими ресурсами, необходимыми для осуществления мероприятий по профессиональной ориентации, индивидуальными  предпринимателями,  а  в  части,  касающейся  реализации  мероприятий, направленных на созд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ание и обеспечение функционирования системы мер ранней профессиональной ориентации обучающихся  6-11 классов, реализацию мероприятий  по  профессиональной  ориентации в рамках  реализации проекта «Билет в будущее».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7.Создание условий для эффективной реализации комплексного плана мероприятий по повышению качества математического и естественно-научного образования на период до 2030 года.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8.Принятие исчерпывающих мер для дебюрократизации процессов в образовании.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9.Обеспечение функционирования и методического сопровождения городских  методических объединений по предметам/направлениям.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10.Обеспечение реализации мер по созданию условий в общеобразовательных организациях  групп продленного дня и увеличения численности обучающихся 1-4 классов, посещающих группы продленного дня.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11.Продолжить создавать условия для реализации проекта осуществления профессиональной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12.Продолжить реализацию мер, направленных на формирование и развитие духовно-нравственных ценностей обучающихся, а также создание условий для развития на базе школ общероссийского общественно-государственного движения детей и молодежи «Движение первых».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13.Привлечение дополнительных источников развития образовательных организаций посредством участия в грантовых конкурсах, программах, проектах.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14.Принятие мер, направленных на реализацию мероприятий в рамках федеральных проектов национального проекта «Молодежь и дети», государственных и окружных программ.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5.Обеспечение исполнения приказа Министерства просвещения Российской Федерации от 9 октября 2024 года №704 «О внесении изменений в некоторые приказы Министерства просвещения Российской Федерации, касающиеся образовательных программ начального общего 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ования, основного общего образования и среднего общего образования».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Отдых и оздоровление детей и молодежи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Организация оздоровительной кампании для детей и подростков является неотъемлемой частью социальной политики города Мегиона.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 реализацию оздоровительной кампании в 2025 году направлено  61 753,8 тыс. рублей, аналогичный период 2024 году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42 040,4 тыс.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рамках выездного отдыха в оздоро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вительные организации, которые расположены в климатически благоприятных регионах Российской Федерации, в летний период 2025 года были направлены 394 человека (2024 год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332 человека), в том числе: в детский оздоровительный лагерь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«Солнечный»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(город-курорт Геленджик)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– 192 человека;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спортивно-оздоровительный лагерь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«Дружба» (г. Ишим Тюменской области)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96 человек; в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highlight w:val="white"/>
        </w:rPr>
        <w:t xml:space="preserve">детский оздоровительно-образовательный центр</w:t>
      </w:r>
      <w:r>
        <w:rPr>
          <w:rFonts w:ascii="Arial" w:hAnsi="Arial" w:eastAsia="Arial" w:cs="Arial"/>
          <w:b/>
          <w:color w:val="auto"/>
          <w:sz w:val="24"/>
          <w:highlight w:val="white"/>
        </w:rPr>
        <w:t xml:space="preserve"> 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«Ал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ые паруса» (г. Тюмень)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106 человек.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Кроме того, на отдых дети 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рода были направлены по линии окружных департаментов Ханты-Мансийского автономного округа – Югры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31 человек, бюджетного учреждения  «Мегионский комплексный центр социального обслуживания населения»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60 человек, поискового отряда «Истоки»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11 человек.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рамках внутригородского отдыха на территории города Мегиона организована работа 21 лагеря с дневным пребыванием детей на базе общеобразовательных и дошкольных учреждениях, на базе учреждений физической культуры и спорта, учреждений молодежной поли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тики и культуры с общим охватом 2 255 человек (2024 год – 2 254 человека).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летний период 2025 года организована работа 22 площадок с общим охватом 13 098 человек (2024 год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12 870).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0" w:leader="none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Профессиональное образование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53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территории городского округа профессиональное обучение осуществляется на базе бюджетного учреждения профессионального образования Ханты-Мансийского автономного округа – Югры «Мегионский политехнический колледж».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Численность обучающихся на 01.01.202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 составляет 756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что 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4,5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ниже числа студентов в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году. Все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студент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ы обучаются на очном отделении.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число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студентов составляло 792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человека, из них все обучающиеся очного отделения.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Обучение ведется по следующим направлениям: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5111"/>
        <w:gridCol w:w="1516"/>
        <w:gridCol w:w="1516"/>
        <w:gridCol w:w="1516"/>
      </w:tblGrid>
      <w:tr>
        <w:trPr>
          <w:trHeight w:val="156"/>
          <w:tblHeader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01.01.202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01.01.202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6/202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67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Информационные системы и программирование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0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Техническая  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95,2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0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Эксплуатация и обслуживание электрического электромеханического оборудования (по отраслям)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аналитического контроля химических соединений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104,2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76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 эксплуатация нефтяных и газовых месторождений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75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Техническое обслуживание и ремонт двигателей, систем и агрегатов автомобилей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4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Экономика и бухгалтерский учет (по отраслям)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02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эстетических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67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Поварское и кондитерское дело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81,3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1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53,2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1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Документационное обеспечение управления и архивоведение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188,0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по обработке цифровой информации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отраслям)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53,2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Оператор нефтяных и газовых скважин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Бурильщик эксплуатационных и разведочных скважин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по ремонту и обслуживанию автомобилей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Повар, кондитер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"/>
        </w:trPr>
        <w:tblPrEx/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Делопроизводитель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53,2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Увеличение числа студентов в том или ином направлении обусловлено востребовательностью данной профессии на рынке труда городского округа.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Молодежная политика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На территор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ии города проживае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т 15 085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молодых людей в возраст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 14-35 лет, что составляет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25,3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% от общей численности населения.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Работа с молодежью осуществляется в соответствии с муниципальной программой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«Молодежная политика города Мегиона».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ля реализации мероприятий молодежной политики функционирует муниципальное автономное учреждение «Центр гражданского и патриотического воспитания имени Егора Ивановича Горбатова» (далее – Учреждение). Основными целями Учреждения являются расширение возможно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ей для эффективной самореализации детей и молодежи, повышение уровня его творческого, профессионального, интеллектуального потенциала, патриотическое воспитание, творчество, активный досуг населения, координация работы по гражданскому и патриотическому вос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питанию населения работы с молодежью.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Одно из наиболее перспективных направлений деятельности Учреждения –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организация трудоустройства несовершеннолетних граждан от 14 до 18 лет.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летний период были организованы 4 трудовых отряда по уборке мусора на центральных улицах города.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Круглогодично работают два трудовых отряда по благоустройству и уборке от мусора и снега территорий памятных мест, улиц города, детских игровых площадок в микрорайонах города Мегиона и пгт. Высокий.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новной целью временного трудоустройства несовершеннолетних граждан является профилактика безнадзорности, правонарушений и наркозависимости, экстремистских проявлений среди несовершеннолетних, их ранняя профориентация, помощь в овладении трудовыми навыками,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поддержка ребят из семей льготных категорий.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заключено 33 договора с учреждениями города Мегиона и пгт. Высокий «О совместной деятельности по организации временного трудоустройства несовершеннолетних граждан в возрасте 14 -18 лет в свободное от учебы время».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За 2025 год трудоустроено 1 617 подростков, из них 775 – подростков относятся к категории детей, нуждающихся в особой заботе государства, в том числе 37 несовершеннолетних, состоящих на учете КДН и ЗП.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пгт. Высокий за 2025 год было трудоустроено 197 несовершеннолетних.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учебный период трудоустроен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851 подросток, в летний период 2025 года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776 подростков: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площадка временного пребывания «Зеле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ный патруль»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541 подросток;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лагеря труда и отдыха «Ориентир»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225 подростков.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проведено 506 мероприятий с охватом 28 258 человек, направленных на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гражданское и военно-патриотическое воспитание детей и молодежи. 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Воспитанники клубных формиров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аний принимали участие в мероприятиях, приуроченных к памятным датам, таким как празднование Дня Государственного флага Российской Федерации, Дня Победы в Великой Отечественной войне, Дня окончания Второй мировой войны, а также участвовали в городских спор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тивных соревнованиях. 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Клубные формирования охватывают туристическое направление, проводят выездные экспедиции на места былых сражений. В 2025 году поисковый отряд «Истоки» совершил три экспедиции в Волгоградскую область и Псковскую область, где были найдены и торжествен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но перезахоронены останки 100 советских солдат, из них 5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именных.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части формирования у молодежи пропаганды здорового образа жизни в целях укрепления здоровья и снижения заболеваемости населения города Мегиона, а также популяризации и развития легкой атлетики, прошел экстремальный забег «Гонка первых», в котором приняли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участие более 250 человек из города Мегиона, Нижневартовска, Лангепаса и Пыть-Яха.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собое место в работе занимает подготовка и проведение мероприятий с участием военнослужащих специальной военной операции и членов их семей. В «Комнате Боевой Славы» прошли 22 экскурсии, в которых приняли участие ученики школ, с общим охва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том 947 человек. 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Также организовывались передвижные выставки экспонатов, найденных в ходе поисковых экспедиций.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Для реализации регионального проекта «Россия – страна возможностей» национального проекта «Молодежь и дети»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было вовлечено в мероприятия 16 323 человека.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мероприятия регионального проекта «Мы вместе» (Воспитание гармонично развитой личности) национального проекта «Молодежь и дети»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было вовлечено 6 656 человек.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Учреждении волонтерскую деятельность осуществляет 4 волонтерских формирования с общим охватом 524 человека по направлениям: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1.«Волонтеры Победы»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2.«Событие»;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3.«Школа волонтера»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white"/>
        </w:rPr>
        <w:t xml:space="preserve">4.«В центре событий»</w:t>
      </w:r>
      <w:r>
        <w:rPr>
          <w:highlight w:val="non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white"/>
        </w:rPr>
        <w:t xml:space="preserve">Деятельность клубного ф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ормирования «Волонте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ры Победы» включает в себя следующие направления: помощь ветеранам Великой Отечественной войны, благоустройство памятных мест и воинских захоронений, проведение мероприятий и акций различного уровня, направленные 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популяризацию изучения истории Отечества. Клубным формированием проводятся такие мероприятия, как: Благотворительная акция «Красная гвоздика», Всероссийская акции «Георгиевская лента», адресные поздравления ветеранов Великой Отечественной войны с наступающ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ими праздниками (День защитника Отечества, Международный женский день, День Победы, Новый Год), Международный субботник и другие.</w:t>
      </w:r>
    </w:p>
    <w:p>
      <w:pPr>
        <w:widowControl w:val="off"/>
        <w:spacing w:after="0" w:line="240" w:lineRule="auto"/>
        <w:ind w:left="0" w:right="0"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Клубное формирование «Событие» совмещает в себе несколько направлений волонтерства: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Медицинское волонтерство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главная задача штаба не только популяризация здорового образа жизни, но и профилактика употребления психоактивных веществ и наркотических средств.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спитанники распространяют буклеты на тему здорового образа жизни, вреда наркотической, алкогольной и табачной продукции, проводят беседы на тему различных заболеваний (онкологические, ВИЧ/СПИД и другие), организовывают производственные гимнастики с сотрудн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иками Учреждения, в летний период проводят эстафеты. На регулярной основе осуществляется сопровождение городских спортивных мероприятий («Лыжня России», «Кросс Нации», «Гонка Первых», соревнования по мотоциклетному спорту и другие).</w:t>
      </w:r>
    </w:p>
    <w:p>
      <w:pPr>
        <w:widowControl w:val="off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Волонтеры данного направления сотрудничают и проводят совместные мероприятия с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бюджетным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Ханты-Мансийского автономного округа – Югры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«Мегионская городская больница»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бюджетным учреждением Ханты-Мансийского автономного округа – Югры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«Психоневрологическая больница имени Святой Преподо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бномученицы Елизаветы»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spacing w:after="0" w:line="240" w:lineRule="auto"/>
        <w:ind w:left="0" w:right="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Экологическое волонтерство – проводятся экологические субботники на территории города Мегион (мемориальный комплекс «Аллея Славы», памятник «Воину освободителю», городское кладбище</w:t>
      </w:r>
      <w:r>
        <w:rPr>
          <w:rFonts w:ascii="Times New Roman" w:hAnsi="Times New Roman" w:cs="Times New Roman"/>
          <w:sz w:val="24"/>
        </w:rPr>
        <w:t xml:space="preserve"> (территория «Аллея Славы»), территория оз. </w:t>
      </w:r>
      <w:r>
        <w:rPr>
          <w:rFonts w:ascii="Times New Roman" w:hAnsi="Times New Roman" w:cs="Times New Roman"/>
          <w:sz w:val="24"/>
        </w:rPr>
        <w:t xml:space="preserve">Согра</w:t>
      </w:r>
      <w:r>
        <w:rPr>
          <w:rFonts w:ascii="Times New Roman" w:hAnsi="Times New Roman" w:cs="Times New Roman"/>
          <w:sz w:val="24"/>
        </w:rPr>
        <w:t xml:space="preserve">, территория аэродром «Западный»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Также волонтеры проводят лекции и интеллектуальные игры на тему экологии («Экологическая кругосветка», «Сортируй мусор правильно» и другие).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Ежегодно проводится социально-экологическая городская акция «ЭКО-ВЕКТОР», в которой участвуют учреждения города. Они приносят макулатуру, пластиковые крышки, батарейки, которые в последующем передаются в центр переработки в городе Нижневартовск.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Социальное волонтерство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это помощь незащищенным слоям населения, нуждающимся во внимании, заботе и постоянном уходе. Социальные волонтеры помогают инвалидам и семьям, попавшим в трудную жизненную ситуацию, социализироваться в обществе.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Социальные волонтеры работают во взаимодействии со Всероссийским обществом инвалидов </w:t>
      </w:r>
      <w:r>
        <w:rPr>
          <w:rFonts w:ascii="Times New Roman" w:hAnsi="Times New Roman" w:cs="Times New Roman"/>
          <w:sz w:val="24"/>
        </w:rPr>
        <w:t xml:space="preserve">г</w:t>
      </w:r>
      <w:r>
        <w:rPr>
          <w:rFonts w:ascii="Times New Roman" w:hAnsi="Times New Roman" w:cs="Times New Roman"/>
          <w:sz w:val="24"/>
        </w:rPr>
        <w:t xml:space="preserve">оро</w:t>
      </w:r>
      <w:r>
        <w:rPr>
          <w:rFonts w:ascii="Times New Roman" w:hAnsi="Times New Roman" w:cs="Times New Roman"/>
          <w:sz w:val="24"/>
        </w:rPr>
        <w:t xml:space="preserve">да Мегиона, со школой для детей с ограниченными возможностями здоровья, с центрами социального обслуживания населения, пансионатом для людей пенсионного возраста, инвалидами-колясочниками и другими людьми, которым нужна помощь в социализации в обществе. </w:t>
      </w:r>
      <w:r>
        <w:rPr>
          <w:rFonts w:ascii="Times New Roman" w:hAnsi="Times New Roman" w:cs="Times New Roman"/>
          <w:sz w:val="24"/>
        </w:rPr>
        <w:t xml:space="preserve">В данном направлении проводились следующие мероприятия: «Сказка для детей с ОВЗ», «Своя игра», «100 к 1» и другие.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Клубное формирование «Школа волонтера» с</w:t>
      </w:r>
      <w:r>
        <w:rPr>
          <w:rFonts w:ascii="Times New Roman" w:hAnsi="Times New Roman" w:cs="Times New Roman"/>
          <w:sz w:val="24"/>
        </w:rPr>
        <w:t xml:space="preserve">отрудничает с детскими садами </w:t>
      </w:r>
      <w:r>
        <w:rPr>
          <w:rFonts w:ascii="Times New Roman" w:hAnsi="Times New Roman" w:cs="Times New Roman"/>
          <w:sz w:val="24"/>
        </w:rPr>
        <w:t xml:space="preserve">для обучения воспитанников дошкольных учреждений основам добровольчества.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Клубное формирование</w:t>
      </w:r>
      <w:r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 xml:space="preserve">ает</w:t>
      </w:r>
      <w:r>
        <w:rPr>
          <w:rFonts w:ascii="Times New Roman" w:hAnsi="Times New Roman" w:cs="Times New Roman"/>
          <w:sz w:val="24"/>
        </w:rPr>
        <w:t xml:space="preserve"> по разным направлениям</w:t>
      </w:r>
      <w:r>
        <w:rPr>
          <w:rFonts w:ascii="Times New Roman" w:hAnsi="Times New Roman" w:cs="Times New Roman"/>
          <w:sz w:val="24"/>
        </w:rPr>
        <w:t xml:space="preserve">, в том числе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патриотическое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медицинское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социальное 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экологическое волонтерство</w:t>
      </w:r>
      <w:r>
        <w:rPr>
          <w:rFonts w:ascii="Times New Roman" w:hAnsi="Times New Roman" w:cs="Times New Roman"/>
          <w:sz w:val="24"/>
        </w:rPr>
        <w:t xml:space="preserve">. Участники «Школы волонтера» занимались облагораживанием территорий памятников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ветеранам войны</w:t>
      </w:r>
      <w:r>
        <w:rPr>
          <w:rFonts w:ascii="Times New Roman" w:hAnsi="Times New Roman" w:cs="Times New Roman"/>
          <w:sz w:val="24"/>
        </w:rPr>
        <w:t xml:space="preserve"> в преддверии дня окончания Второй Мировой войны</w:t>
      </w:r>
      <w:r>
        <w:rPr>
          <w:rFonts w:ascii="Times New Roman" w:hAnsi="Times New Roman" w:cs="Times New Roman"/>
          <w:sz w:val="24"/>
        </w:rPr>
        <w:t xml:space="preserve">, делают открытки для ветеранов Великой Отечественной войны, </w:t>
      </w:r>
      <w:r>
        <w:rPr>
          <w:rFonts w:ascii="Times New Roman" w:hAnsi="Times New Roman" w:cs="Times New Roman"/>
          <w:sz w:val="24"/>
        </w:rPr>
        <w:t xml:space="preserve">выращивают цветы для дальнейшей высадки на территории дошкольного учреждения, участвуют в Параде Победы и других мероприятиях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с воспитанниками данного клубного формирования проводятся беседы на медицинские, патриотические и экологические темы (здоровый образ жизни, как разделять мусор правильно, беседы на темы памятных дат и другие).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  <w:t xml:space="preserve">Клубное формирование «</w:t>
      </w:r>
      <w:r>
        <w:rPr>
          <w:rFonts w:ascii="Times New Roman" w:hAnsi="Times New Roman" w:cs="Times New Roman"/>
          <w:sz w:val="24"/>
          <w:highlight w:val="white"/>
        </w:rPr>
        <w:t xml:space="preserve">В центре событий»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</w:rPr>
        <w:t xml:space="preserve">овременная творческая лаборатория для подростков и молодежи. Это пространство, где идеи превращаются в контент, а участники получают практические навыки, востребованные в сегодняшнем </w:t>
      </w:r>
      <w:r>
        <w:rPr>
          <w:rFonts w:ascii="Times New Roman" w:hAnsi="Times New Roman" w:cs="Times New Roman"/>
          <w:sz w:val="24"/>
        </w:rPr>
        <w:t xml:space="preserve">медиапространстве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 фокусом клуба является полноценное видеопроизводство. Участники проходят весь ц</w:t>
      </w:r>
      <w:r>
        <w:rPr>
          <w:rFonts w:ascii="Times New Roman" w:hAnsi="Times New Roman" w:cs="Times New Roman"/>
          <w:sz w:val="24"/>
        </w:rPr>
        <w:t xml:space="preserve">икл создания видео от разработки идеи и написания сценария до съемки и финального монтажа. Они учатся работать с камерой, выставлять свет и звук, осваивают профессиональные монтажные программы, что позволяет им создавать качественные ролики разных жанров.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Важной частью работы является развитие ораторских навыков и отработка написания текстов. Участники пробуют себя в роли сценаристов и ведущих. Они учатся писать сценарии, готовить тексты для публикаций и уверенно держаться перед камерой.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5"/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Клуб активно вовлечен в жизнь Учреждения. Участники становятся его внутренними медиа: освещают события, снимают репортажи с мероприятий и фестивалей, берут интервью</w:t>
      </w:r>
      <w:r>
        <w:rPr>
          <w:rFonts w:ascii="Times New Roman" w:hAnsi="Times New Roman" w:cs="Times New Roman"/>
          <w:sz w:val="24"/>
        </w:rPr>
        <w:t xml:space="preserve"> (слет добровольцев «</w:t>
      </w:r>
      <w:r>
        <w:rPr>
          <w:rFonts w:ascii="Times New Roman" w:hAnsi="Times New Roman" w:cs="Times New Roman"/>
          <w:sz w:val="24"/>
        </w:rPr>
        <w:t xml:space="preserve">МегаДобро</w:t>
      </w:r>
      <w:r>
        <w:rPr>
          <w:rFonts w:ascii="Times New Roman" w:hAnsi="Times New Roman" w:cs="Times New Roman"/>
          <w:sz w:val="24"/>
        </w:rPr>
        <w:t xml:space="preserve">», фестиваль работающей молодежи «Снова в школу», лекции и беседы на темы вреда употребления наркотических веществ, экстремистских проявлений, деструктивного поведения, многонациональный фестиваль «Семейные традиц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и», День Государственного флага Российской Федерации и др</w:t>
      </w:r>
      <w:r>
        <w:rPr>
          <w:rFonts w:ascii="Times New Roman" w:hAnsi="Times New Roman" w:cs="Times New Roman"/>
          <w:sz w:val="24"/>
        </w:rPr>
        <w:t xml:space="preserve">у</w:t>
      </w:r>
      <w:r>
        <w:rPr>
          <w:rFonts w:ascii="Times New Roman" w:hAnsi="Times New Roman" w:cs="Times New Roman"/>
          <w:sz w:val="24"/>
        </w:rPr>
        <w:t xml:space="preserve">гие)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учреждении организована работа клубных формирований, таких как: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«Близкие»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активно пропагандирует среди молодежи ценности семейной жизни, крепкой благополучной семьи. Клуб объединяет молодые семьи нашего города для участия в различных мероприятиях (конкурсы, фестивали, мастер-классы, игровые программы, семейные праз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дники туристические походы, встречи и тд.).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Особо значимые мероприятия 2025 года: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30 августа на территории аэродрома «Западный» состоялся молодежный фестиваль «Аура», где приняли участие семьи нашего города;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 сентября в Учреждении в рамках муниципальной программы «Укрепление межнационального и межконфессионального согласия, профилактика экстремизма и терроризма в городе Мегион» прошел межнациональный городской фестиваль «Семейные традиции». Фестиваль включил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 себя мастер-классы, презентацию национальных блюд и семейных традиций, творческие номера от представителей разных национальностей.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Есть идея». Воспитанники данного клуба организовывают флешмобы, в том числе и на улицах города Мегион (День России, День государственного флага Российской Федерации, День народного единства, экстремальный забег «Гонка Первых», молодежный фестиваль «Аура»,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городской турнир по военно-тактическим играм и другие).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«Своя волна». Данное клубное формирование направлено на развитие потенциала и деятельности молодежи в пгт. Высокий. В рамках реализации клубного формирования участники состязаются в шахматном турнире, участвуют в интел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лектуальных викторинах («Богатыри Руси Великой», «Хлеб всему голова», проведенной в рамках Всемирного дня хлеба), проводятся спортивные эстафеты, активные подвижные игры (футбол, волейбол, баскетбол и другие).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«Техно»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современное образовательное пространство, где подростки и молодежь гармонично сочетают увлечение компьютерными играми с приобретением практических цифровых навыков. Воспитанники осва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ивают творческие дисциплины, такие как работа в графических редакторах, участвуют в тематических конкурсах.</w:t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Форумная кампания.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Молодые люди приняли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участие в мероприятиях федерального уровня: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Форум «Создавай.Таврида» (территория академии «Меганом» в республике Крым); марафон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«Знание.Первые»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(город Москва),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Всероссийский форум муниципальных отделений Всероссийского общественног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 движения «Волонтеры Победы»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(Ивановская область)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форум «Мы с Невы»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город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Санкт-Петербург).</w:t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Кроме того, ребята приняли участие в мероприятиях регионального уровня: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Слет актива региональных отделений Общероссийского общественного движения «Поисковое движение России» в Уральском федеральном округе, ежегодный форум «Добрые люди»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площадка, объединяющая неравнодушных, инициативных и социально активных людей со все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страны. На протяжении трех дней участники слушали лекции от экспертов в сфере добровольчества, обменивались опытом с коллегами из других регионов. От Учреждения приняли участие специалист по работе с молодежью и начальник отдела по волонтерскому (добровол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ьческому) движению. На форуме они представляли собственный инициативный проект «Память жива» и другие.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Российское движение детей и молодежи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Местному отделению «Движения первых» оказано содействие в заключении  договора на безвозмездное пользование нежилым помещением с автономной некоммерческой организацией «Молодежный центр города Мегиона» и материально-технического оснащения на базе Учрежд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ения молодежной политики.</w:t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Молодежная политика активно участвует в развитии и реализации проектов общероссийского общественно-государственного движения «Движения первых», в таких как: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проведение мастер-класса по оказанию первой медицинской помощи;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ганизация и проведение семейного туристического слета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 молодежного фестиваля «Аура»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территории аэродрома «Западный». Для участников проведены мастер-класс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 первой доврачебной помощи, гиганские игры (шашки, крестики-нолики, дженга), функциональная тренировка, пикник и тд.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КУЛЬТУРА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440" w:leader="none"/>
          <w:tab w:val="left" w:pos="660" w:leader="none"/>
          <w:tab w:val="right" w:pos="9345" w:leader="dot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направления развития отрасли «Культу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ра» в 2025 году во многом определили Указы Президента Российской Федерации, задав вектор развития на создание условий и равных возможностей доступа к культурным ценностям, цифровым ресурсам, самореализацию и раскрытие таланта каждого жителя города Мегиона.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 задачами в област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культуры города Мегиона 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являлись: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создание комфортных условий в учреждениях культуры для увеличения числа посещений;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оцифровка музейных предметов, книжных памятников культуры (краеведческие фонды библиотек);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повышение квалификации творческих и управленческих кадров в сфере культуры;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развитие федерального проекта «Пушкинская карта»;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техническое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автономного учреждения «Региональный историко-культурный и экологический цен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рамках национального проекта «Семья»;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и проведение крупномасштабных брендовых фес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тивалей и конкурсов, (открытый городской фестиваль-конкурс детского анимационного кино «ТаЕЖкины сказки», Открытый городской фестиваль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X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Региональный фестиваль «Хатлые», открытый городской конкурс-фестиваль молодых исполнителей народной песни «Вечёрки»),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формирующих положительный имидж, туристическую привлекательность города;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повышение уровня удовлетворенности граждан качеством услуг, предоставляемых учреждениями культуры;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сохранение и разви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тие сложившейся уникальной системы учреждений дополнительного образования в сфере культуры и искусства, обеспечивающей выявление и поддержку одаренных детей, продвижение талантливой молодежи, повышение престижа музыкального и художественного образования;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обеспечение участия учреждений культуры в национальных проектах, грантах.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Сфера культуры в городе Мегионе представлена следующими типами учреждений и структурными подразделениями: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Библиотечная система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Центральная городская библиотека, Модельная детская юношеская библиотека, Библиотека семейного чтения, Детская библиотека, Модельная библиотека поселка городского типа Высокий (пять объектов);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Социокультурная сфера – Дворец искусств, Дом культуры «Прометей» (культурно-досуговый комплекс (с кинотеатром), Дом культуры «Сибирь», Парк аттракционов, Клуб ветеранов войны и труда (пять объектов);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Профессиональное искусство представлено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«Камерным музыкальным театром» (один объект);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Музейная и выставочная деятельность – Краеведческий музей, Музей народных художественных промыслов и ремесел, Музейно-этнографический и экологический парк «Югра» (три объекта);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Два учреждени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я дополнительного образования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Детская школа искусств им.А.М.Кузьмина (два объекта) и Детская художественная школа (один объект).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Деятельность по сохранению историко-культурного наследия в Мегионе осуществляет муниципальное учреждение «Региональный историко-культурный и экологический центр». Общий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бъем музейных ценностей в 2025 году составил 21 663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единицы. Объем увеличился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 сравнению с 2024 годом на 449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единиц, рост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2,12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%.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учреждениях дополни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тельного образования в сфере культуры в настоящее время обучаются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1 393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из них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904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обучающихся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 предпрофессиональным программам, 346 обучаются по общеразвивающим программам,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143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 получают дополнительное образование на платной основе.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Главным инструментом решения задач и источником финансирования реализуемых мероприятий является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муниципальная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рамма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«Культурное пространство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городе Мегионе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Реализация муниципальной программы осуществляется в значимых сферах социально-экономического развития города: культура и искусство, историко-культурное наследие, дополнительное образование в сфере культуры, государственная национальная политика.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2025 году количество негосударственных (немуниципальных), в том числе некоммерческих организаций, предоставляющих услуги в сфере культуры по сравнению с предыдущим 2024 годом не изменилось: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автономная некоммерческая организация содействия развитию молодежи «До 16 и старше (далее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АНО СРМ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До 16 и старше»);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местная Мегионская городская общественная организация «Национально-культурный центр «Азербайджан»;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общественная организация «Татарская наци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онально-культурная автономия 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Мегиона «Булгар»;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автономная некоммерческая организация «Культурно-досуговый центр спортивно-патриотического воспитания и экологического просвещения «Держава»;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автономная некоммерческая организация «Мегионский центр развития города «Меце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нат»;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автономная некоммерческая организация «Центр обеспечения безопасности и содействия укреплению межнационального согласия «Многонациональный Мегион»;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автономная некоммерческая организация «Центр культурных инициатив «Притяжение»;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автономная Некоммерчес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кая организация Молодежный Центр Развития Культуры «Кавказ»;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автономная Некоммерческая организация «Культурно-Спортивный Просветительский Центр Поддержки Белорусов «Свядомы»;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местная Мегионская городская культурно-просветительская общественная организация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«Восток»;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индивидуальный предприниматель Крапивина Татьяна Васильевна.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реализации региональных проектов «Культурная среда», «Творческие люди» и «Цифровая культура» национального проекта «Культура» достигнуты показатели: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«Творческие люди»: 145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вовлечены в волонтерск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ое движение в сфере культуры, это на 5 человек больше, чем в предыдущем периоде 2024 года.  В 2025 году в рамках проекта «Творческие люди» прошли повышение квалификации 10 работников сферы культуры в Центре непрерывного образования и повышения квалификации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творческих и управленческих кадров в сфере культуры, созданных на базе Российской государственной библиотеки, Санкт-Петербургского государственного института кино и телевидения, Дальневосточного Государственного института искусств,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Академии хорового искусства имени В.С.Попова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Дальневосточного государственного института искусств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Челябинского государственного института культуры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Сибирского государственного института искусств имени Дмитрия Хворостовского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дистанционном формате. Исполнение плана регионального проекта «Творческие люди» в 2025 году составило 100%;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3"/>
        <w:widowControl w:val="o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«Цифровая культура»: на портале «Культура.РФ» размещено 2 онлайн-трансляции значимых мероприятий города, обратившихся к электронным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ресурсам по счетчикам «Цифровая культура»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211 895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обращений, что на 270 обращений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или на 0,1% меньше, чем в предыдущем 2024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году, незначительное снижение показателя обусловлено процессом интеграции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порт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ала «Культура.РФ»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Яндекс форм.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23"/>
        <w:widowControl w:val="o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«Культурная среда»: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улучшена 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атериально-техническая база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муниципального бюджетного учреждения дополнительного образования «Детская шко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ла искусств им. А.М.Кузьмина»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Проведе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н текущий ремонт помещений школы  на более 2 500 тыс. рублей.  Пополнился библиотечный фонд школы, закуплено необходимое оборудование и инвентарь на 319 тыс. рублей.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23"/>
        <w:widowControl w:val="o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В 2025 году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Правительством Ханты-Мансийского автономного округа – Югры на город Мегион установлена декомпозиция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</w:rPr>
        <w:t xml:space="preserve">KPI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реализации программы «Пушкинская карта»  - 9 291 билет, из расчета 1,5 билета на одного человека от числа жителей возраста с 14 до 22 лет,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и 4 336 держателей Пушкинских карт, из расчета 70% числа жителей возраста с 14 до 22 лет. По итогам 2025 года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роцент исполнения декомпозиции по продаже билетов составил 97,7%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9 084 билета.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По данным департамента образования города Мегиона и Мегионского политехнического колледжа число учащихся в образ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овательных организациях города,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подключенных к программе «Пушкинская карта»,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 составляет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2 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257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 обучающихся, что составляет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88,3%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молодежи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 от общего числа обучающихся в образовательных организациях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По состоянию на 31.12.2025 года, исполнено 52% от устано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вленного показателя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держателей Пушкинских карт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целях поддержки участников специальной военной операции и членов их семей учреждения культуры: муниципальное автономное учреждение «Дворец искусств» (далее – МАУ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«Дворец искусств»), МАУ «Экоцентр»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муниципальное автономное учреждение «Камер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ный музыкальный театр» (далее – МАУ «Камерный музыкальный театр»), муниципальное бюджетное учреждение «Централизованная библиотечная система» (МБУ «Централизованная библиотечная система») предоставляют скидку 10% на посещение мероприятий по карте «Zабота».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Граждане, принимающие (принявшие) участие в специальной военной операции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 члены их семей один раз в месяц на безвозмездной основе получают: экскурсионное обслуживание по действующим экспозициям и по музею-стойбищу рода Казамкиных в Музейно-этнографическом и экологическом парке «Югра»; посещение концерт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ных программ и спектаклей в МАУ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«Камерный музыкальный театр»; посещение детских игровых программ в МАУ «Дворец искусств»; посещение клубов семейного досуга в МБУ «Централизованная библиотечная система».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целью увековечивания памяти уч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астников боевых действий в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году занесено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имен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 мемориальный комплекс «Аллея славы»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двух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ников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Великой Отечественной войны 1941-1945 годов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одного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участника боевых действий в Демократической Республике Афганистан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widowControl w:val="off"/>
        <w:shd w:val="clear" w:color="auto" w:fill="ffffff"/>
        <w:spacing w:after="0" w:afterAutospacing="0" w:line="240" w:lineRule="auto"/>
        <w:ind w:firstLine="0"/>
        <w:jc w:val="both"/>
        <w:outlineLvl w:val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widowControl w:val="off"/>
        <w:shd w:val="clear" w:color="auto" w:fill="ffffff"/>
        <w:spacing w:after="0" w:afterAutospacing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Библиотечная деятельность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widowControl w:val="off"/>
        <w:shd w:val="clear" w:color="auto" w:fill="ffffff"/>
        <w:spacing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Деятельность библиотек направлена на реализацию Концепции библиотечного обслуживания населения, Концепции поддержки и развития чтения в автономном округе на 2018-2025 годы, Стратегии государственной национальной политик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Российской Федерации на период до 2025 года, Стратегии государственной антинаркотической политики на период до 2030 года, Стратегии противодействия экстремизму, Стратегии противодействия терроризму, развития волонтерского движения, на реализацию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«Наше наследие» по ресурсам Президентской библиотеки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проведению Года народного сплочения в Югре, Года семьи в России и т.д.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Централизованная библиотечная система города (МБУ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«ЦБС») состоит из 5 библиотек: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Центральная городская библиотека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ул. Заречная, 16 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Модельная детско-юношеская библиотека имени Виктора Николаевича Козлова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пр.Победы,30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2024 году Модельной детско-юношеской библиотеке муниципального бюджетного учреждения «Централизованная библиотечная система» было присвоено имя геолога,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мегионского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писателя и поэта Виктора Николаевича Козлова.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Детская библиотека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ул. Садовая, 16/1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Библиотека семейного чтения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ул. Садовая, 16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Модельная библиотека поселка городского типа Высокий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п. Высокий, ул. Ленина, 6а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Обеспеченность библиотеками составляет 83% (расчет в соответствии с распоряжением Министерства культуры Российской Федерации от 18 ноября 2025 г. №Р-494). Услугами общедоступных библиотек пользуется 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% жителей города, что количественно составляет 15 822 читателей.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r>
    </w:p>
    <w:p>
      <w:pPr>
        <w:widowControl w:val="off"/>
        <w:spacing w:after="0" w:afterAutospacing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widowControl w:val="off"/>
        <w:tabs>
          <w:tab w:val="left" w:pos="-4536" w:leader="none"/>
          <w:tab w:val="left" w:pos="1134" w:leader="none"/>
        </w:tabs>
        <w:spacing w:after="0" w:afterAutospacing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Динамика показателей развития отрасли в муниципальном образовании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tabs>
          <w:tab w:val="left" w:pos="-4536" w:leader="none"/>
          <w:tab w:val="left" w:pos="1134" w:leader="none"/>
        </w:tabs>
        <w:spacing w:after="0" w:afterAutospacing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tbl>
      <w:tblPr>
        <w:tblStyle w:val="985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409"/>
        <w:gridCol w:w="1282"/>
        <w:gridCol w:w="1549"/>
        <w:gridCol w:w="1117"/>
        <w:gridCol w:w="1499"/>
        <w:gridCol w:w="1499"/>
      </w:tblGrid>
      <w:tr>
        <w:trPr>
          <w:trHeight w:val="860"/>
          <w:tblHeader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Показатели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Темп роста (снижения) 2025 к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52"/>
          <w:tblHeader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библиотек в городе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,0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57"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6237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число жителей на 1 библиотеку,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14 750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14 793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11 943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11 946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,0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1"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Число читателей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15 930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15 138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15 708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15 822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1"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Книговыдача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298 632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242 051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263 137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72 570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3,6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1"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Посещения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162 314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227 424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227 784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188 664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82,8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1"/>
        </w:trPr>
        <w:tblPrEx/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Объем фонда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170 137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174 224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180 931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5 324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tabs>
          <w:tab w:val="left" w:pos="-4536" w:leader="none"/>
          <w:tab w:val="left" w:pos="1134" w:leader="none"/>
        </w:tabs>
        <w:spacing w:after="0" w:afterAutospacing="0" w:line="240" w:lineRule="auto"/>
        <w:jc w:val="right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Снижение показателя «посещение» и, соотвественно, «посещаемость» произошло из-за снижения уровня просмотров удаленных пользователей на портале PROКультура.РФ.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 библиотек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направлена на реализацию Концепции библиотечного обслуживания населения, Концепции поддержки и развития чтения в автономном округе на 2018-2025 годы, Указа Президента Российской Федерации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 основах государственной политики по сохранению и укреплению традиционных российских духовно-нравственных ценностей, Стратегии государственной национальной политики Российской Федерации на период до 2025 года, Стратегии государственной антинаркотической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олитики на период до 2030 года, Стратегии противодействия экстремизму, Стратегии противодействия терроризму, на реализацию проекта по ресурсам Президентской библиотеки, проведению Года защитника Отечества в России, Года исторического наследия в Югре и т.д.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Библиотечный фонд МБУ «ЦБС» г. Мегиона на 01.01.2026 года составляет 185 324 экземпляра документов на всех видах носителей, это на 3% больше уровня прошлого года (2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024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181 133). За отчетный период книжный фонд пополнился на 7 168 единицу хранения (2024 – 9 044), в том числе на 1 864 экземпляра периодических изданий (2024 – 2 011). Поступления в единый фонд распределялись с учетом количества пользователей, книгообеспече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ости, обращаемости книжного фонда и общего состояния фондов. Если проанализировать количество новых поступлений относительно предыдущего года, то можно констатировать, что в 2025 году отмечено снижение новых поступлений на 1 876 экземпляров (2024 – 9 044).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обслуживания людей с инвалидностью в Центральной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ородской библиотеке установлено автоматизированное рабочее место с синтезатором речи, клавиатурой со шрифтом Брайля, имеются в наличии принтер для печати документов шрифтом Брайля, тифлофлешплееры, настольные лупы, индукционные системы и другое оснащение.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пожилых читателей и инвалидов, у которых нет возможности 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посещать библиотеку, ведется обслуживание на дому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 2025 году библиотекари посещали на дому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14 читателей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инвалидностью.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индивидуальном информировании находится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 человек (инвалида), на групповом – 4 учреждения.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2025 год был отмечен рядом достижений, характеризующих укрепление имиджа общедоступных муниципальных библиотек города: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Состоялось два литературных моста в рамках литературно-патриотического проекта «Любовь к Родине объединяет регионы». К литературным межрегиональным встречам присоединились Луганск, Санкт-Петербург, Нижний Новгород, Ставрополь, города Югры;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Состоялся первый славянский фестиваль «Разноцвет»;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В МБУ «ЦБС» прошли: городской конкурс чтецов «К живым огням родного очага», третья городская читатель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ская конференция «Фантастика в молодежном пространстве», посвященная научной фантастике XXI века; городской конкурс детского творчества «Это моя Югра»; открытый городской конкурс социальной рекламы «Мой взгляд», муниципальный этап Цифрового литературно-худ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ожественного конкурса чтецов «Победа помнит героев», посвященного сохранению памяти о Великой Отечественной войне и блокаде Ленинграда в рамках проекта «Блокада Ленинграда: эхо блокады в Югре. Победа помнит героев»; открытый городской литературный конкурс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«Мой Мегаград», посвященный 45-летию образования города Мегиона и 95-летию Ханты-Мансийского автономного округа – Югры; муниципальном этапе II Всероссийского семейного фестиваля сбережений и инвестиций; всероссийская экологическая акция «БумБатл» и другие.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III Открытая городская литературно-краеведческая конференция «Живое югорское слово». Мероприяти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е было приурочено к нескольким важным датам: Году защитника Отечества, 80-летию Победы в Великой Отечественной войне, Году сохранения исторического наследия в Югре, 95-летию образования Ханты-Мансийского автономного округа – Югры и 45-летию города Мегиона.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город Мегион в рамках окружного фестиваля детской и юношеской книги посетили современные детские писатели из город Санкт-Петербурга – Ольга Замятина и Евгения Русинова.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состоялись традиционные «Библионочь», «Ночь искусств», Неделя детской книги, Единый день чтения, акция «Читаем Пушкина», участие в Международной акции «Читаем детям о войне» и другие.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Ежегодно на площадке Модельной детско-юношеской библиотеки имени В.Н.Козлова проходит Большой этнографический диктант, фе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деральный этап Всероссийской ярмарки трудоустройства «Работа России. Время возможностей», а также в первые прошел этап регионального проекта «Лидеры изменений Югры. Первые» и муниципальный этап II Всероссийского семейного фестиваля сбережений и инвестиций.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Центральная городская библиотека Мегиона вошла в число победителей Всероссийского конкурса по созданию модельных библиотек нового поколения. 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итогам окружного конкурса на лучшее библиографическое пособие для детей «Высший пилотаж» победителями стали мегионские библиотекари.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ноябре 2025 года состоялось подведение итогов окружно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 конкурса «Родное слово» ХI фестиваля «PROчтение», организатором которого является муниципальное бюджетное учреждение культуры «Сургутская районная централизованная библиотечная система». От Модельной детско-юношеской библиотеки имени В.Н.Козлова в конку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рсе приняли участие ребята из нашего города. В номинации «Коллективная» за творческую работу – стихотворение «Елка» Юлии Друниной Дипломом победителя за 3 место награждены ученики МБОУ «СОШ №6» пгт.Высокий: Чепчуренко Алена, Закарьев Малик, Яхъяев Ибрагим.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widowControl w:val="off"/>
        <w:tabs>
          <w:tab w:val="left" w:pos="993" w:leader="none"/>
        </w:tabs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Cs/>
          <w:highlight w:val="yellow"/>
        </w:rPr>
      </w:r>
      <w:r>
        <w:rPr>
          <w:rFonts w:ascii="Times New Roman" w:hAnsi="Times New Roman" w:cs="Times New Roman"/>
          <w:bCs/>
          <w:highlight w:val="yellow"/>
        </w:rPr>
      </w:r>
    </w:p>
    <w:p>
      <w:pPr>
        <w:widowControl w:val="off"/>
        <w:spacing w:after="0" w:afterAutospacing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Социально-культурная деятельность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widowControl w:val="off"/>
        <w:spacing w:after="0" w:afterAutospacing="0" w:line="240" w:lineRule="auto"/>
        <w:ind w:left="0" w:right="0"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Всего за 2025 год МАУ «Дворец искусств» проведено 630 мероприятий,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которые посетили 109 579 человек,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что на 50 мероприятий больше, чем за 2024 год. На территории города Мегиона и пгт. Высокий осуществляют деятельность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39 (АППГ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клубных формирований самодеятельного народного творчества. В отчетном периоде их посетило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человек, что 11 человек больше, чем в предыдущем году, показатель посещаемости клубных формирований самодеятельного народного творчества вырос на 1,7%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Доме культуры «Прометей» (культурно-досуговый комплекс «Калейдоскоп») осуществляется кинопоказ. За отчетный период было продемонстрировано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2 220 сеансов кино, что на 30 сеансов больше, чем 2024 году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Количество посетителей составило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22 389 (22 413 АППГ)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Показатель посещаемости кинозала остается  стабильным на протяжении последних 3-х лет, с незначительными отклонениями не более чем на  1%.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Тихонова Наталья Владимировна, заведующий отделом по культурно-массовой работе и руководитель клубного формирования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муниципального автономного учреждения «Дворец искусств»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отмечена дипломом обладателя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Все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российской премии «Человек с большим сердцем» в номинации «Сердце без границ» город Москва. В учреждении Наталья Владимировна реализует проект для лиц с ограниченными возможностями здоровья «Социально-ориентированный проект «Театральная студия «ОПТИМИСТЫ».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Лауреатом 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ружного фестиваля достижения творческих коллективов «Югра фестивальная» стала Конюхова Наталья Вячеславовна, руководитель клубного формирования «Самодеятельная народная студия «Сёльси» в номинации «За вклад в развитие народного художественного творчества».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Муниципальное автономное учреждение «Дворец искусств»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инициировало подачу заявки участника проекта «Зо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лотые имена многонациональной Югры».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И.В.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Елизарова, главного врача ООО «ЛДЦ ДентАрт». Династия семьи медиков-Елизаровых, стала лауреатом общественно-государственной премии Ханты-Мансийского автономного округа – Югры «Золотые имена многонациональной Югры».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widowControl w:val="off"/>
        <w:tabs>
          <w:tab w:val="left" w:pos="142" w:leader="none"/>
        </w:tabs>
        <w:spacing w:after="0" w:afterAutospacing="0" w:line="24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widowControl w:val="off"/>
        <w:tabs>
          <w:tab w:val="left" w:pos="142" w:leader="none"/>
        </w:tabs>
        <w:spacing w:after="0" w:afterAutospacing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Массовые мероприятия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tabs>
          <w:tab w:val="left" w:pos="142" w:leader="none"/>
        </w:tabs>
        <w:spacing w:after="0" w:afterAutospacing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9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786"/>
        <w:gridCol w:w="878"/>
        <w:gridCol w:w="947"/>
        <w:gridCol w:w="878"/>
        <w:gridCol w:w="891"/>
        <w:gridCol w:w="879"/>
        <w:gridCol w:w="900"/>
        <w:gridCol w:w="1186"/>
      </w:tblGrid>
      <w:tr>
        <w:trPr>
          <w:trHeight w:val="393"/>
          <w:tblHeader/>
        </w:trPr>
        <w:tblPrEx/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Показатели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Темп роста (снижения)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8"/>
        </w:trPr>
        <w:tblPrEx/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216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774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1 087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1 241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1 428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102,7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</w:tr>
      <w:tr>
        <w:trPr>
          <w:trHeight w:val="318"/>
        </w:trPr>
        <w:tblPrEx/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из них для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695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949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986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1 202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1 220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101,5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</w:tr>
      <w:tr>
        <w:trPr>
          <w:trHeight w:val="545"/>
        </w:trPr>
        <w:tblPrEx/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Посещений массовых мероприятий,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5 410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18 806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28 944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36 863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41 644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61 587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147,9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</w:tr>
      <w:tr>
        <w:trPr>
          <w:trHeight w:val="146"/>
        </w:trPr>
        <w:tblPrEx/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в том числе детьми,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3 199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15 166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22 161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26 952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28 716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32 659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142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113,7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r>
          </w:p>
        </w:tc>
      </w:tr>
    </w:tbl>
    <w:p>
      <w:pPr>
        <w:widowControl w:val="off"/>
        <w:shd w:val="clear" w:color="auto" w:fill="ffff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eastAsia="Times New Roman" w:cs="Times New Roman"/>
          <w:bCs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</w:p>
    <w:p>
      <w:pPr>
        <w:widowControl w:val="off"/>
        <w:shd w:val="clear" w:color="auto" w:fill="ffff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eastAsia="Times New Roman" w:cs="Times New Roman"/>
          <w:bCs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  <w:r>
        <w:rPr>
          <w:rFonts w:ascii="Times New Roman" w:hAnsi="Times New Roman" w:cs="Times New Roman"/>
          <w:color w:val="000000" w:themeColor="text1"/>
          <w:highlight w:val="yellow"/>
        </w:rPr>
      </w:r>
    </w:p>
    <w:p>
      <w:pPr>
        <w:widowControl w:val="off"/>
        <w:spacing w:after="0" w:afterAutospacing="0" w:line="24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Музейная и выставочная деятельность. Сохранение и развитие народных художественных промыслов и ремесел.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widowControl w:val="off"/>
        <w:spacing w:after="0" w:afterAutospacing="0" w:line="24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 по сохранению историко-культурного наследия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 муниципальное учреждение «Региональный историко-культурный и экологический центр» (далее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Экоцентр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который в общественной жизни города занимает особое место, являя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сь одним из доступных видов учреждений культуры. Он совмещает в себе многообразные функции: научно-исследовательского и культурно-просветительского учреждения, является местом организации досуга и проведения различного рода культурно-массовых мероприятий.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709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widowControl w:val="off"/>
        <w:spacing w:after="0" w:afterAutospacing="0" w:line="240" w:lineRule="auto"/>
        <w:ind w:firstLine="70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Сравнительные данные основных показателей муниципального автономного учреждения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Экоцентр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widowControl w:val="off"/>
        <w:spacing w:after="0" w:afterAutospacing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highlight w:val="white"/>
        </w:rPr>
      </w:r>
      <w:r>
        <w:rPr>
          <w:rFonts w:ascii="Times New Roman" w:hAnsi="Times New Roman" w:cs="Times New Roman"/>
          <w:bCs/>
          <w:color w:val="000000"/>
          <w:highlight w:val="white"/>
        </w:rPr>
      </w:r>
      <w:r>
        <w:rPr>
          <w:rFonts w:ascii="Times New Roman" w:hAnsi="Times New Roman" w:cs="Times New Roman"/>
          <w:bCs/>
          <w:color w:val="000000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59"/>
        <w:gridCol w:w="1056"/>
        <w:gridCol w:w="845"/>
        <w:gridCol w:w="1006"/>
        <w:gridCol w:w="1134"/>
        <w:gridCol w:w="1138"/>
        <w:gridCol w:w="1407"/>
      </w:tblGrid>
      <w:tr>
        <w:trPr>
          <w:trHeight w:val="430"/>
          <w:tblHeader/>
        </w:trPr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 Показатели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2021 год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2022 год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Темп роста (снижения) 2025 к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, %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>
          <w:trHeight w:val="236"/>
        </w:trPr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Число предметов музейного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19 997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20 336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20 799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21 214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663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102,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</w:tr>
      <w:tr>
        <w:trPr>
          <w:trHeight w:val="611"/>
        </w:trPr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Количество музейных предметов внесенных в электронный каталог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19 997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20 336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20 799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21 214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663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102,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</w:tr>
      <w:tr>
        <w:trPr>
          <w:trHeight w:val="611"/>
        </w:trPr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Число музейных предметов, имеющих цифровые изображения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19 851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20 170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20 630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21 050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450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Количество оцифрованных музейных предметов, представленных в сети 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14 391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14 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654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16 532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16 956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17 215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</w:tr>
      <w:tr>
        <w:trPr>
          <w:trHeight w:val="689"/>
        </w:trPr>
        <w:tblPrEx/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Количество музейных предметов основного фонда, которые экспонировались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5" w:type="dxa"/>
              <w:top w:w="0" w:type="dxa"/>
              <w:right w:w="105" w:type="dxa"/>
              <w:bottom w:w="0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2 384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5" w:type="dxa"/>
              <w:top w:w="15" w:type="dxa"/>
              <w:right w:w="15" w:type="dxa"/>
              <w:bottom w:w="15" w:type="dxa"/>
            </w:tcMar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1 954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2 270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2 270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2 270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r>
          </w:p>
        </w:tc>
      </w:tr>
    </w:tbl>
    <w:p>
      <w:pPr>
        <w:widowControl w:val="off"/>
        <w:spacing w:after="0" w:afterAutospacing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</w:rPr>
      </w:r>
      <w:r>
        <w:rPr>
          <w:rFonts w:ascii="Times New Roman" w:hAnsi="Times New Roman" w:cs="Times New Roman"/>
          <w:bCs/>
          <w:color w:val="000000"/>
        </w:rPr>
      </w:r>
      <w:r>
        <w:rPr>
          <w:rFonts w:ascii="Times New Roman" w:hAnsi="Times New Roman" w:cs="Times New Roman"/>
          <w:bCs/>
          <w:color w:val="000000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Электронный каталог музея включает 21 214 записей. Банк сохраненных изображений музея составляет 21 050 единиц, из них 14 311 единиц хранения основного фонда 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внесена в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Государственный каталог музейного фонда Российской Федерации.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</w:r>
      <w:r>
        <w:rPr>
          <w:rFonts w:ascii="Times New Roman" w:hAnsi="Times New Roman" w:cs="Times New Roman"/>
          <w:bCs/>
          <w:shd w:val="clear" w:color="auto" w:fill="ffffff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Экспозиции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 выставки – основная форма музейной коммуникации, которая позволяет более пристально и глубоко познакомиться как с музейными предметами, так и с историей их бытования. В течение года, с целью сохранения и популяризации историко-культурного наследия Югры,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Экоцентром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были организованы 40 выставочных проектов, 32 из которых проходили на базе учреждения, 8 – за его пределами.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стационарных условиях функционируют 5 экспозиций, на базе которых проходят временные выставки. Временные выст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авки учреждения формировались на основе приоритетных направлений деятельности учреждения на запланированный период, в соответствии с юбилейными мероприятиями и значимыми событиями в Российской Федерации, Ханты-Мансийском автономном округе – Югра, в городе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Мегионе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В 2025 году значимыми событиями для муниципального автономного учреждения «Региональный историко-культурный и экологический центр» стали: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ar-SA"/>
        </w:rPr>
        <w:t xml:space="preserve">X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Региональный фестиваль «Хатлые» («Қӓтӆәли»)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. Фестиваль реализуется с 2016 года под руководством Русланы Богдановны Галив и позволяет пополнять музейные фонды предметами материальной и нематериальной культу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ры, направлен на сохранение и популяризацию культуры коренных малочисленных народов Севера, повышение туристической привлекательности города Мегиона. В этом году участниками фестиваля стали 1228 человек (представители территорий Ханты-Мансийского автономно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го округа-Югры: городов Ханты-Мансийск, Сургут, Когалым, Лянтор, Нефтеюганск, поселков Аган, Варьеган, Угут, Сытомино, Лямино, деревни Русскинская, а также участники из Екатеринбурга, Томска), из них 49 представителей коренных малочисленных народов Севера.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Региональный фестиваль «Хатлые» в очередной раз был отмечен на высоком уровне и получил Диплом Победителя окружного этапа за первое место в VI Всероссийской премии за личный вклад в этнокуль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ту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рное развитие и укрепление единства народов России «ГОРДОСТЬ НАЦИИ - 2025», а также Дипломом Лауреата I степени в номинации «За вклад в сохранение и развитие культуры народов РФ» в региональном этапе конкурса I Всероссийской премии «ГОРДОСТЬ НАЦИИ - 2025»;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участие в конкурсе «Музейный олимп Югры 2025», организованного Департаментом культуры Ханты-Мансийского автономного округа  – Югры совместно с Музеем геологии, нефти и газа.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Сразу три проекта учре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ждения вышли в финал конкурса: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проект издательск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ой деятельности МАУ «Экоцентр»;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историческая экспозиция «Мегионцы на фронт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ах Великой Отечественной войны»;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проект «Хранители».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В конкурсе приняли участие представители 15 регионов России, включая Донецкую Народную Республи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ку, Республику Коми, регионы Урала и Сибири. Конкурс является ключевой площадкой для признания достижений в музейном деле. Его главные цели – поддержка музеев, продвижение культурного наследия, стимулирование инноваций и укрепление профессиональных связей;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по итогам года Госпаблик муниципального автономного учреждения «Экоцентр» (https://vk.com/ecocentr_megion)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отмечен в топ-8 лучших в Югре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, попал в обзор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успешных постов от югорских госпабликов ЦУР, отмечен Благодарностью директора департамента внутренней политики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сотрудники «Экоцентра» приняли участие в более 30-ти общероссийских, межрегиональных, окружных и региональных конкурсах, акциях, фестивалях, по итогам которых получены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Диплом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1 степени, Диплом 2 степени,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иплом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участников,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Диплом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финалист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ов конкурса, шесть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сертификат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слу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шателей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опубликовано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 статей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на выставке «Товары земли Югорской», которая состоялась в декабре 2025 года, Экоцентром был представлен мерч, изготовленный в рамках реализации проекта «Резиденция Йахли-Ики». Уже несколько лет он реализуется на терри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тории музейно-этнографического и экологического парка «Югра», знакомит жителей и гостей Мегиона с традициями коренного населения. В рамках мероприятия были представлены: авторская фарфоровая продукция, разработанная на основе легенд коренных жителей Югры,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сувенирная продукция с изображением карты угодий Йахли-Ики, виртуальный тур по парку «Югра», продукция «УгостиЮгра», почта Йахли-Ики и др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</w:rPr>
        <w:t xml:space="preserve">. Благодаря уникальности разработки, многообразию материалов, техник изготовления, сувенирная продукция из города Мегиона уже известна далеко за его пределами.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afterAutospacing="0" w:line="240" w:lineRule="auto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Профессиональная творческая деятельность.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Теа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тра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льная деятельность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spacing w:after="0" w:afterAutospacing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основе деятельности муниципального автономного учрежд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ения «Камерный музыкальный театр» – удовлетворение культурных и духовных запросов населения, эстетическое воспитание зрителей, влияние на общий культурный уровень горожан, пропаганда классической хоровой музыки, лучших образцов эстрадной и народной музыки.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достижения целей учреждение организует и проводит концертные, театральные, зрелищные мероприятия, музыкальные спектакли (в том числе для семейного просмотра), сольные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показатели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автономного учреждения «Камерный музыкальный театр»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487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973"/>
        <w:gridCol w:w="992"/>
        <w:gridCol w:w="992"/>
        <w:gridCol w:w="994"/>
        <w:gridCol w:w="950"/>
        <w:gridCol w:w="1032"/>
        <w:gridCol w:w="1186"/>
      </w:tblGrid>
      <w:tr>
        <w:trPr>
          <w:jc w:val="center"/>
          <w:trHeight w:val="904"/>
          <w:tblHeader/>
        </w:trPr>
        <w:tblPrEx/>
        <w:tc>
          <w:tcPr>
            <w:tcW w:w="16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Значения показателей качества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tabs>
                <w:tab w:val="left" w:pos="-4536" w:leader="none"/>
                <w:tab w:val="left" w:pos="1134" w:leader="none"/>
              </w:tabs>
              <w:spacing w:after="0" w:afterAutospacing="0" w:line="240" w:lineRule="auto"/>
              <w:ind w:hanging="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Темп роста (снижения)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36"/>
          <w:tblHeader/>
        </w:trPr>
        <w:tblPrEx/>
        <w:tc>
          <w:tcPr>
            <w:tcW w:w="1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</w:tcPr>
          <w:p/>
        </w:tc>
      </w:tr>
      <w:tr>
        <w:trPr>
          <w:jc w:val="center"/>
          <w:trHeight w:val="137"/>
        </w:trPr>
        <w:tblPrEx/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число зрителей на одном мероприятии,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449"/>
        </w:trPr>
        <w:tblPrEx/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 наполняемость концертного зала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103"/>
        </w:trPr>
        <w:tblPrEx/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Число мероприятий, всего,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,9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107"/>
        </w:trPr>
        <w:tblPrEx/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Число зрителей,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5 112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5 315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7 690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7 945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8 426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  <w:vAlign w:val="center"/>
          </w:tcPr>
          <w:p>
            <w:pPr>
              <w:widowControl w:val="off"/>
              <w:spacing w:after="0" w:afterAutospacing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106,1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spacing w:after="0" w:afterAutospacing="0" w:line="240" w:lineRule="auto"/>
        <w:ind w:firstLine="0"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widowControl w:val="off"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2025 году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16 артистов Камерного музыкального театра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ступили в Союз театральных деятелей России.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МАУ «Камерный музыкальный театр» принял участие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Окружном театральном фестивале «Белое пространство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2025» (Лучшая музыка к спектаклю «Спасти камер-юнкера Пушкина»,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спец-приз Союза театральных деятелей РФ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Камерный музыкальный театр – «За азартный актерский ансамбль»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Создан и реализуется просветительский проект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И.Стоцкой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«Опера на каме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рной сцене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результате участия в конкурсных процедурах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для предоставления в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году и плановом периоде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годов субсидий из федерального бюджета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поддержку творческой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укрепление материально-технической базы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муниципальных театров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населенных пунктах с численностью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населения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 300 тысяч жителей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а также на поддержку творческой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техническое оснащение детских и кукольных театров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предоставлена субсидия в сумме 2,3 млн рублей.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widowControl w:val="off"/>
        <w:spacing w:after="0" w:afterAutospacing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eastAsia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900"/>
        <w:keepNext w:val="0"/>
        <w:keepLines w:val="0"/>
        <w:widowControl w:val="off"/>
        <w:shd w:val="clear" w:color="auto" w:fill="ffffff"/>
        <w:spacing w:before="0" w:after="0" w:afterAutospacing="0" w:line="240" w:lineRule="auto"/>
        <w:ind w:left="0" w:right="0" w:firstLine="709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Деятельность образовательных учреждений в сфере культуры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white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Образовательную деятельность в сфере культуры на территории города осуществляют муниципальное бюджетное учреждение дополнительного образования «Детская школа искусств имени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А.М.Кузьмина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муниципальное образовательное учреждение дополнительного образования «Детская художественная школа».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учреждениях дополнительного обра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зования в сфере культуры на отчетный период 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учаются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393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человек, из них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904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 по предпрофессиональным программам,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89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человек получают дополнительное образование на платной основе.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widowControl w:val="off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учреждениях постоянно совершенствуется система поиска выявления и сопровождения талантливых детей. Одно из основных направлений развития творческих способностей ребенка – участие в конкурсах различных уровней.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Обучающаяся МБОУ ДО «Детская художественная школа»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Налобина Юлия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стала лауреатом Премии Губернатора Ханты-Мансийского автономного округа – Югры.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обучающихся художественной школы и 1 преподаватель стали призерами XIII Международного многожанрового креатив-конкурса «Талант-2025» город Москва;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площадке МБОУ ДО «ДХШ» проведен IV Всероссийский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конкурс в сфере художественного образования «Акварельная Палитра» через платформу Яндекс-Телемост.  Организатором конкурса является БПОУ Чувашской Республики «Чебоксарское художественное училище (техникум)». Два обучающихся стали призерами конкурса. Восемн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адцать учащихся художественной школы стали победителями (лауреаты 1, 2, 3 степени) в Межрегиональном конкурсе «Акварельная живопись-2025», который проводился на площадке МБОУ ДО «ДХШ» через платформу Яндекс-телемост, организаторы г. Чебоксары, 18 призеров;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Высокие профессиональные результаты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МБУ ДО «ДШИ им. А.М.Кузьмина» проявляются в успехах обучающихся и преподавателей.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12 выпускников Детской школы искусств поступили в высшие и средне – профессиональные учебные заведения, связанные с искусством и культурой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2025 году в тожественной обстановке были заключены Соглашения о сотрудничестве с Сургутским музыкальным колледжем и Сургутским колледжем русской культуры имени А.С.Знаменского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Преподавателями этих учреждений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безвозмездной основе провели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80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мастер – класс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лекци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для обучающихся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преподавателей ДШИ им.А.М.Кузьмина по направлениям искусства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которых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приняли участие 117 обучающихся школы, студенты колледжей дали 3 профессиональных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концерта.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35 одаренных обучающихся школы приняли участие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Творческих школах России на конкурсной основе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Лауреатами Премии Губернатора Ханты – Мансийского автономного округа – Югры творчески одаренным обучающимся образовательных организаций культуры и искусства округа стали 5 обучающихся школы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преподаватель.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spacing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  <w:t xml:space="preserve">В 2025 год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  <w:t xml:space="preserve">у продолжилось сотрудничество МБУ ДО «ДШИ им.А.М.Кузьмина» с ЗАО «СП «МеКаМинефть» по проекту «Лаборатория будущего. Таланты», направленного на поддержку одаренных детей, обучающихся школы искусств. Благодаря проекту, 26 талантливых учеников школы прошли 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  <w:t xml:space="preserve">бучение, получили мастер-классы по разным направлениям искусства в Творческих школах в городе Клин, городе Калининград, городе Суздаль и город Сочи.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 рамках договора о сотрудничестве, преподаватели школы, на системной основе организуют инклюзивное образование в КОУ 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Мегионская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школа для обучающихся с ограниченными возможностями здоровья»,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через организацию творческих концертов и развивающих мастер-классов.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Преподаватели отделения изобразительных искусств, на базе БУ 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Мегионский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комплексный центр социального обслуживания населения», организуют сотрудничество в области инклюзивного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 через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мастер– классы для детей-инвалидов с целью улучшения эмоционального фона детей, улучшения мелкой моторики, мышления, памяти, внимания, развитие художественных навыков, распространение опыта работы с детьми-инвалидами.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14:ligatures w14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 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году на базе БУ 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Мегионская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городская больница»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продолжается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сотрудничество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гериатрическим отделением. В целях арт-терапии 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оздана программа мастер-классов для пожилых людей и инвалидов «Мастерская радости»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Открытый инклюзивный фестиваль-конкурс детского анимационного кино «Солнечные Ёжики» (проведен 17.12.2024). </w:t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 2024 году впервые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фести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валь был проведен впервые в заочном формате.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Участвовало 47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студий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городов Мегион, Нижневартовск, Тула, Санкт-Петербург, Москва, Татарск, Новосибирск, республики Татарстан, республики Башкортостан, республика Беларусь».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Количество поданных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мультфильмов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132,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по номинациям: «Что меня волнует», «МАМА, ПАПА, Я», «Мир волшебных сказок», в 2025 году были проведены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вебинары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 xml:space="preserve"> со спикерами фестиваля.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spacing w:after="0" w:afterAutospacing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afterAutospacing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Показатели по мероприятиям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pacing w:after="0" w:afterAutospacing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75" w:type="pct"/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1276"/>
        <w:gridCol w:w="1276"/>
        <w:gridCol w:w="1276"/>
        <w:gridCol w:w="1184"/>
        <w:gridCol w:w="1225"/>
      </w:tblGrid>
      <w:tr>
        <w:trPr>
          <w:trHeight w:val="300"/>
        </w:trPr>
        <w:tblPrEx/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показатели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2023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960"/>
        </w:trPr>
        <w:tblPrEx/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Выставки, фестивали, конкурсы, ед.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Количество призеров, человек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Выставки, фестивали, конкурсы, ед.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Количество призеров, человек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Выставки, фестивали, конкурсы, ед.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Количество призеров, человек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00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международные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197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273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205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453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всероссийские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197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210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региональные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63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40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76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окружные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86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395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93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269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98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286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198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535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884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564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2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tabs>
                <w:tab w:val="center" w:pos="175" w:leader="none"/>
              </w:tabs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68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widowControl w:val="off"/>
        <w:ind w:firstLine="70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ФИЗИЧЕСКАЯ КУЛЬТУРА И СПОРТ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Отрасль «Ф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изическая культура и спорт» представлена двумя учреждениями дополнительного образования детей: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муниципальным автономным учреждением дополнительного образования «Спортивная школа «Юность» (спортивный комплекс «Колизей», физкультурно-спортивный комплекс с ледовой ареной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конно-спортивный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комплекс</w:t>
      </w:r>
      <w:r>
        <w:rPr>
          <w:rFonts w:ascii="Times New Roman" w:hAnsi="Times New Roman" w:eastAsia="Calibri" w:cs="Times New Roman"/>
          <w:sz w:val="24"/>
          <w:szCs w:val="24"/>
        </w:rPr>
        <w:t xml:space="preserve"> «Мустанг»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муниципальным автономным учреждением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дополнительного образования «Спортивная школа «Вымпел» (спортивные комплексы «Олимп», «Олимп-2», «Нефтяник», «Финский»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 «Дельфин», 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портивный центр с универсальным игровым за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лом и плоскостными сооружениями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отк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рытый хоккейный корт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Главной задачей развития физической культуры и спорта является достижение национальной цели, определенной Указами Президента Российской Федерации.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Основными целями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году являлись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поэтапный рост численности занимающихся физической культурой и спортом;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улучшение материально-технической базы и расширение сети спортивных сооружений;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оздание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условий для развития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обеспечения доступности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массового спорта,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детско-юношеского спорта (включая школьный спорт);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 спортивной подготовки;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подготовка спортивного резерва и развитие видов спорта;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реализация программ дополнительного образования;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пропаганда здорового образа жизни в средствах массовой информации;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совершенствование, развитие и эффективное использование материальной базы.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сновные приоритеты и направления развития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физической культуры и спорта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определены в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муниципальной программе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Развитие физической культуры и спорта, укрепление общественного здоровья в городе Мегионе».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Ключевыми направлениями деятельности в рамках реализации программных мероприятий являются: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0" w:lineRule="atLeast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Всероссийского физкультурно-спортивного комплекса «Готов к труду и обороне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проведение муниципальных спартакиад, физкультурно-массовых мероприятий, спортивных мероприятий, первенств и чемпионатов по видам спорта;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сооружений;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создание условий для удовлетворения потребности населения города в оказании услуг в сфере физической культуры и спорта;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спорта;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приобретение спортивного оборудования и инвентаря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ind w:left="0" w:right="0" w:firstLine="708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В соответствии с приложением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муниципальной программы 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Мегионе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»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утвержден План мероприятий, направленный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на укрепление общественного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здоровья.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 плане предусмотрены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45 мероприятий,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направленных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 формирование здорового образа жизни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spacing w:after="0" w:line="0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ороде Мегионе проведен комплекс мероприятий, направленный  на развитие и популяризацию видов спорта. Так, по итогам 2025 года в рамках утвержденного Единого календарного плана спортивных и массовых мероприятий проведены 178 (2024 год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181) спортивно-массо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мероприятий, первенств и чемпионатов по видам спорта, в которых приняли участие 7 882 человека (2024 год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7 923 человека), в том числе 6 056 детей и подростков в возрасте до 18 лет (2024 год – 6 064  человека). Для обеспечения проведения соревнований по 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дам спорта спортивными школами была приобретена наградная атрибутика, обеспечены дежурства врача по спортивной медицине, фельдшера и фельдшерской бригады скорой помощи.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7"/>
        <w:widowControl w:val="off"/>
        <w:shd w:val="clear" w:color="auto" w:fill="ffffff" w:themeFill="background1"/>
        <w:ind w:firstLine="709"/>
        <w:jc w:val="right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по проведенным мероприятиям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7"/>
        <w:widowControl w:val="off"/>
        <w:shd w:val="clear" w:color="auto" w:fill="ffffff" w:themeFill="background1"/>
        <w:ind w:firstLine="709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134"/>
        <w:gridCol w:w="1134"/>
        <w:gridCol w:w="1134"/>
        <w:gridCol w:w="1275"/>
      </w:tblGrid>
      <w:tr>
        <w:trPr>
          <w:trHeight w:val="108"/>
          <w:tblHeader/>
        </w:trPr>
        <w:tblPrEx/>
        <w:tc>
          <w:tcPr>
            <w:tcW w:w="3573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73"/>
        </w:trPr>
        <w:tblPrEx/>
        <w:tc>
          <w:tcPr>
            <w:tcW w:w="3573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мероприятия,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08"/>
        </w:trPr>
        <w:tblPrEx/>
        <w:tc>
          <w:tcPr>
            <w:tcW w:w="3573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них приняли участие, человек, 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7 644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7 797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7 923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7 882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08"/>
        </w:trPr>
        <w:tblPrEx/>
        <w:tc>
          <w:tcPr>
            <w:tcW w:w="3573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участников до 18 лет,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5 951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5 996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6 064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08"/>
        </w:trPr>
        <w:tblPrEx/>
        <w:tc>
          <w:tcPr>
            <w:tcW w:w="3573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участников старше 18 лет,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1 693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1 700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Уменьшение количества спортивных мероприятий связано с ростом цен на оказание услуг фельдшера и скорой помощи.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целью осуществления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комплексной безопасности и комфортных условий в муниц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ипальных спортивных учреждениях проведены следующие 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емонтные работы: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физкультурно-спортивном комплексе с ледовой ареной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«Колизей»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установлена система водоочистки;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для установки в 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физкультурно-спортивный комплекс с ледовой ареной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спортивный центр с универсальным игровым залом и плоскостными сооружениями </w:t>
      </w:r>
      <w:r>
        <w:rPr>
          <w:rFonts w:ascii="Times New Roman" w:hAnsi="Times New Roman" w:cs="Times New Roman"/>
          <w:sz w:val="24"/>
          <w:szCs w:val="24"/>
        </w:rPr>
        <w:t xml:space="preserve">приобретены</w:t>
      </w:r>
      <w:r>
        <w:rPr>
          <w:rFonts w:ascii="Times New Roman" w:hAnsi="Times New Roman" w:cs="Times New Roman"/>
          <w:sz w:val="24"/>
          <w:szCs w:val="24"/>
        </w:rPr>
        <w:t xml:space="preserve"> будки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пропускного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 xml:space="preserve">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«Колизей» произведен ремонт системы освещения;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конноспортивном комплексе </w:t>
      </w:r>
      <w:r>
        <w:rPr>
          <w:rFonts w:ascii="Times New Roman" w:hAnsi="Times New Roman" w:cs="Times New Roman"/>
          <w:sz w:val="24"/>
          <w:szCs w:val="24"/>
        </w:rPr>
        <w:t xml:space="preserve">«Мустанг»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установлен узел учета </w:t>
      </w:r>
      <w:r>
        <w:rPr>
          <w:rFonts w:ascii="Times New Roman" w:hAnsi="Times New Roman"/>
          <w:bCs/>
          <w:sz w:val="24"/>
          <w:szCs w:val="24"/>
        </w:rPr>
        <w:t xml:space="preserve">теплоэнергии</w:t>
      </w:r>
      <w:r>
        <w:rPr>
          <w:rFonts w:ascii="Times New Roman" w:hAnsi="Times New Roman"/>
          <w:bCs/>
          <w:sz w:val="24"/>
          <w:szCs w:val="24"/>
        </w:rPr>
        <w:t xml:space="preserve"> и водоснабжения;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«Финский» и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открытом хоккейном корте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произведена </w:t>
      </w:r>
      <w: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амена освещения;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«Финский» прои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зведены работы по ремонту пола;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центре с универсальным игровым залом и плоскостными сооружениями произведены </w:t>
      </w:r>
      <w:r>
        <w:rPr>
          <w:rFonts w:ascii="Times New Roman" w:hAnsi="Times New Roman"/>
          <w:sz w:val="24"/>
          <w:szCs w:val="24"/>
        </w:rPr>
        <w:t xml:space="preserve">работы по восстановлению вентиляционного оборудования;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ind w:right="-1"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«Олимп» произведены </w:t>
      </w:r>
      <w:r>
        <w:rPr>
          <w:rFonts w:ascii="Times New Roman" w:hAnsi="Times New Roman"/>
          <w:sz w:val="24"/>
          <w:szCs w:val="24"/>
        </w:rPr>
        <w:t xml:space="preserve">работы по замене кровельного покрытия.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мегионские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спортсмены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участие в 245 (2024 год – 215) выездных соревнованиях межмуниципального, регионального, всероссийского и международного уровней, в которых приняли участие 2 255 спортсменов (2024 год – 2 139), из них 2 365 несовершеннолетних спо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ртсменов (2024 год – 1 750 ).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по выездным мероприятиям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134"/>
        <w:gridCol w:w="992"/>
        <w:gridCol w:w="992"/>
        <w:gridCol w:w="1134"/>
      </w:tblGrid>
      <w:tr>
        <w:trPr>
          <w:trHeight w:val="425"/>
        </w:trPr>
        <w:tblPrEx/>
        <w:tc>
          <w:tcPr>
            <w:tcW w:w="428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2"/>
        </w:trPr>
        <w:tblPrEx/>
        <w:tc>
          <w:tcPr>
            <w:tcW w:w="428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Выездные мероприятия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9"/>
        </w:trPr>
        <w:tblPrEx/>
        <w:tc>
          <w:tcPr>
            <w:tcW w:w="428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них приняло участие, в том числе: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2 104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2 126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2 139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2 555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9"/>
        </w:trPr>
        <w:tblPrEx/>
        <w:tc>
          <w:tcPr>
            <w:tcW w:w="428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спортсменов до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1 729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1 747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1 750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2 365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7"/>
        </w:trPr>
        <w:tblPrEx/>
        <w:tc>
          <w:tcPr>
            <w:tcW w:w="428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спортсменов старше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27"/>
        <w:widowControl w:val="off"/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 итогам участия на соревнованиях завоевана 1 121 медаль (2024 год –  794), из них: 425 – золотых, 340 – серебряных и 352 – бронзовых. Из общего числа наград завоеваны: 109 – на всероссийских соревнованиях, 713 – на соревнованиях регионального уровня, 299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– на соревнованиях межмуниципального уровня.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Динамика показателей спортивных достижений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единиц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494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136"/>
        <w:gridCol w:w="1278"/>
        <w:gridCol w:w="1278"/>
        <w:gridCol w:w="1419"/>
      </w:tblGrid>
      <w:tr>
        <w:trPr>
          <w:trHeight w:val="140"/>
          <w:tblHeader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Медали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97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Золото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73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Серебро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71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Бронза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68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66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63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61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58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Межмуниципальные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56"/>
        </w:trPr>
        <w:tblPrEx/>
        <w:tc>
          <w:tcPr>
            <w:tcW w:w="3009" w:type="dxa"/>
            <w:noWrap w:val="false"/>
            <w:textDirection w:val="lrTb"/>
            <w:vAlign w:val="center"/>
          </w:tcPr>
          <w:p>
            <w:pPr>
              <w:pStyle w:val="1042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noWrap w:val="false"/>
            <w:textDirection w:val="lrTb"/>
            <w:vAlign w:val="center"/>
          </w:tcPr>
          <w:p>
            <w:pPr>
              <w:pStyle w:val="104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учреждениях спорта выполнены мероприятия по обеспечению комплексной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Для объектов, находящихся в 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«СШ «Вымпел», приобретены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стационарный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металлодетектор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-монопанель, монитор, считыватель, турникет для контрольно-пропускного пункта.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объектов, находящихся в 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«СШ «Юность», проведены </w:t>
      </w:r>
      <w:r>
        <w:rPr>
          <w:rFonts w:ascii="Times New Roman" w:hAnsi="Times New Roman" w:cs="Times New Roman"/>
          <w:sz w:val="24"/>
          <w:szCs w:val="24"/>
        </w:rPr>
        <w:t xml:space="preserve">монтажные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установке камер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системы контроля удаленного доступа </w:t>
      </w:r>
      <w:r>
        <w:rPr>
          <w:rFonts w:ascii="Times New Roman" w:hAnsi="Times New Roman" w:cs="Times New Roman"/>
          <w:sz w:val="24"/>
          <w:szCs w:val="24"/>
        </w:rPr>
        <w:t xml:space="preserve">и домофона в КСК «Мустанг»,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автоматические откатные ворота в ФСК с ледовой ареной.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итогам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охват занимающихся в учреждениях спорта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3  146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2 668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человек, на 17,9% больше в сравнении с аналогичным периодом 2024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</w:rPr>
        <w:t xml:space="preserve">Тренировочную деятельность осуществляют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63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тренера-преподавателя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течение 2025 года подготовлены 983 спортсмена массовых разрядов (2024 год – 742), что на 241 спортсмена больше по сравнению с 2024 годом.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подготовки спортсменов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056"/>
        <w:gridCol w:w="1287"/>
        <w:gridCol w:w="1448"/>
        <w:gridCol w:w="1287"/>
        <w:gridCol w:w="1447"/>
      </w:tblGrid>
      <w:tr>
        <w:trPr>
          <w:trHeight w:val="203"/>
        </w:trPr>
        <w:tblPrEx/>
        <w:tc>
          <w:tcPr>
            <w:tcW w:w="4056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8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1448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128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144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3"/>
        </w:trPr>
        <w:tblPrEx/>
        <w:tc>
          <w:tcPr>
            <w:tcW w:w="4056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МС международного класса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8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3"/>
        </w:trPr>
        <w:tblPrEx/>
        <w:tc>
          <w:tcPr>
            <w:tcW w:w="4056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МС России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8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3"/>
        </w:trPr>
        <w:tblPrEx/>
        <w:tc>
          <w:tcPr>
            <w:tcW w:w="4056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КМС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rPr>
          <w:trHeight w:val="273"/>
        </w:trPr>
        <w:tblPrEx/>
        <w:tc>
          <w:tcPr>
            <w:tcW w:w="4056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разряд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4056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Подготовленные спортсмены массовых разрядов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887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noWrap w:val="false"/>
            <w:textDirection w:val="lrTb"/>
            <w:vAlign w:val="center"/>
          </w:tcPr>
          <w:p>
            <w:pPr>
              <w:widowControl w:val="off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0" w:lineRule="atLeast"/>
        <w:ind w:firstLine="0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spacing w:after="0" w:line="0" w:lineRule="atLeast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 итогам 2025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состав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спортивных сборных команд Ханты-Мансийского автономного округа –  Югры и Российской Федерации вошел 181 мегионец (2024 год – 161 человек), что на 20 человек больше по сравнению с 2024 годом.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Состав сборных команд по видам спорта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widowControl w:val="off"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0"/>
          <w:szCs w:val="20"/>
        </w:rPr>
        <w:t xml:space="preserve">человек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tbl>
      <w:tblPr>
        <w:tblStyle w:val="912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3189"/>
        <w:gridCol w:w="3189"/>
      </w:tblGrid>
      <w:tr>
        <w:trPr>
          <w:trHeight w:val="339"/>
          <w:tblHeader/>
        </w:trPr>
        <w:tblPrEx/>
        <w:tc>
          <w:tcPr>
            <w:tcW w:w="3261" w:type="dxa"/>
            <w:noWrap w:val="false"/>
            <w:textDirection w:val="lrTb"/>
          </w:tcPr>
          <w:p>
            <w:pPr>
              <w:widowControl w:val="off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Вид спорта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widowControl w:val="off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Состав сборных команд ХМАО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Югры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widowControl w:val="off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Состав сборных команд Российской Федерации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9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Адаптивный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1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Армрестлинг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69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Бокс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3261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Восточные единоборства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3261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Гиревой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3261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Дзюдо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Каратэ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2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Прыжки на батуте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Пауэрлифтинг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3261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Полиатлон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2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Рукопашный бой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8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7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Спортивная акробатика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8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Мотоциклетный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4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Фигурное катание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4"/>
        </w:trPr>
        <w:tblPrEx/>
        <w:tc>
          <w:tcPr>
            <w:tcW w:w="3261" w:type="dxa"/>
            <w:noWrap w:val="false"/>
            <w:textDirection w:val="lrTb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noWrap w:val="false"/>
            <w:textDirection w:val="lrTb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widowControl w:val="of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widowControl w:val="off"/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Важным направлением работы администрации города является оказание содействия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развитию физической культуры и спорта инвалидов, лиц с ограниченными возможностями здоровья, адаптивной физической культуры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адаптивного спорта.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widowControl w:val="off"/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Работа по организации физкультурно-оздоровительных и спортивных меропри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ятий с инвалидами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базе муниципального автономного учреждения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«Спортивная школа «Вымпел».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Физкультурно-оздоровитель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ная работа с инвалидами проводится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спортивном центре с универсальным игровым залом и плоскостными спортивными сооружениями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группах адаптивной физической культуры и спо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занимаются 105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 (2024 год – 102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widowControl w:val="off"/>
        <w:spacing w:after="0" w:line="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Работу с лицами с инвалидностью и с ограниченными возможностями здоровья осуществляют следующие специалисты: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тренера-преподавателя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адаптивной физической культуре и спорту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2 тренера-преподавателя,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1 тренер-преподаватель внешний совместитель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ассистента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оказанию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техничкой помощи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инвалидам и лицам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ограниченными возможностями здоровья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1 инструктор-методист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адаптивной физической культуре и спорту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widowControl w:val="off"/>
        <w:spacing w:after="0" w:line="0" w:lineRule="atLeast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рамках мероприятий по реабилитации (абилитации) проводятся занятия в спортивно-оздоровительных группах по легкой атлетике, пауэрлифтингу, плаванию, настольному теннису, бочча, бадминтону.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27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Единым календарным планом для спортсменов-инвалидов в 2025 году было проведено 1 спортивно-массовое мероприятие, 1 мероприятие в рамках тренировочного процесса.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Спортсмены отделения «Адаптивный спорт»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приняли участие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выездных соревнованиях, завоевали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медал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Style w:val="927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По итогам участия в соревнованиях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состав спортивных сборных команд Ханты-Мансийского автономного округа 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Югры вошли 10 человек, в состав сборной команды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Российской Федерации вошел 1 человек.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физкультурно-оздоровительная работа с гражданами старшего поколения проводится на базе муниципального автономного учреждения дополнительного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«Спортивная школа «Вымпел». Количество занимающихся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пожилого возраста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397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(2024 -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380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 человек,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из них: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человек бесплатно посещают группу «Здоровье», из них по программе «Югорское долголетие» занимается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человек, по программе «Суставная гимнастика» занимается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человек;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 человека посещают пауэрлифтинг,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 челов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ек - адаптивный спорт, 65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человек посещают плава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тельный бассейн в СК «Дельфин»,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219 граждан активно пользуют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ся платными услугами учреждения.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454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TimesNewRoman">
    <w:panose1 w:val="02020603050405020304"/>
  </w:font>
  <w:font w:name="SimSun">
    <w:panose1 w:val="02010600030101010101"/>
  </w:font>
  <w:font w:name="Times New Roman CYR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Roboto">
    <w:panose1 w:val="02000000000000000000"/>
  </w:font>
  <w:font w:name="Calibri Light">
    <w:panose1 w:val="020F03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  <w:rPr>
        <w:color w:val="0070c0"/>
      </w:rPr>
    </w:pPr>
    <w:r>
      <w:rPr>
        <w:color w:val="0070c0"/>
      </w:rPr>
    </w:r>
    <w:r>
      <w:rPr>
        <w:color w:val="0070c0"/>
      </w:rPr>
    </w:r>
    <w:r>
      <w:rPr>
        <w:color w:val="0070c0"/>
      </w:rPr>
    </w:r>
  </w:p>
  <w:p>
    <w:pPr>
      <w:pStyle w:val="9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970"/>
        <w:jc w:val="both"/>
      </w:pPr>
      <w:r>
        <w:rPr>
          <w:rStyle w:val="972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vertAlign w:val="baseline"/>
          <w:lang w:val="ru-RU"/>
        </w:rPr>
        <w:t xml:space="preserve">– в отношении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vertAlign w:val="baseline"/>
          <w:lang w:val="ru-RU"/>
        </w:rPr>
        <w:t xml:space="preserve">информации о численности населения, движения населения, возрастно-половом составе населения распоряжением Правительства Российской Федерации принято решение о временном приостановлении ее предоставления и распространения.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4001399"/>
      <w:docPartObj>
        <w:docPartGallery w:val="Page Numbers (Top of Page)"/>
        <w:docPartUnique w:val="true"/>
      </w:docPartObj>
      <w:rPr/>
    </w:sdtPr>
    <w:sdtContent>
      <w:p>
        <w:pPr>
          <w:pStyle w:val="915"/>
          <w:jc w:val="center"/>
          <w:rPr>
            <w:rFonts w:ascii="Times New Roman" w:hAnsi="Times New Roman" w:cs="Times New Roman"/>
            <w:color w:val="000000"/>
            <w:sz w:val="24"/>
            <w:szCs w:val="24"/>
          </w:rPr>
        </w:pPr>
        <w:r>
          <w:rPr>
            <w:rFonts w:ascii="Times New Roman" w:hAnsi="Times New Roman" w:cs="Times New Roman"/>
            <w:color w:val="00000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47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color w:val="000000"/>
            <w:sz w:val="24"/>
            <w:szCs w:val="24"/>
          </w:rPr>
        </w:r>
        <w:r>
          <w:rPr>
            <w:rFonts w:ascii="Times New Roman" w:hAnsi="Times New Roman" w:cs="Times New Roman"/>
            <w:color w:val="000000"/>
            <w:sz w:val="24"/>
            <w:szCs w:val="24"/>
          </w:rPr>
        </w:r>
      </w:p>
    </w:sdtContent>
  </w:sdt>
  <w:p>
    <w:pPr>
      <w:pStyle w:val="915"/>
      <w:rPr>
        <w:color w:val="0070c0"/>
      </w:rPr>
    </w:pPr>
    <w:r>
      <w:rPr>
        <w:color w:val="0070c0"/>
      </w:rPr>
    </w:r>
    <w:r>
      <w:rPr>
        <w:color w:val="0070c0"/>
      </w:rPr>
    </w:r>
    <w:r>
      <w:rPr>
        <w:color w:val="0070c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202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2020"/>
      <w:numFmt w:val="bullet"/>
      <w:isLgl w:val="false"/>
      <w:suff w:val="tab"/>
      <w:lvlText w:val=""/>
      <w:lvlJc w:val="left"/>
      <w:pPr>
        <w:ind w:left="1065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020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3" w:hanging="180"/>
      </w:pPr>
    </w:lvl>
  </w:abstractNum>
  <w:abstractNum w:abstractNumId="10">
    <w:multiLevelType w:val="hybridMultilevel"/>
    <w:lvl w:ilvl="0">
      <w:start w:val="2020"/>
      <w:numFmt w:val="bullet"/>
      <w:isLgl w:val="false"/>
      <w:suff w:val="tab"/>
      <w:lvlText w:val=""/>
      <w:lvlJc w:val="left"/>
      <w:pPr>
        <w:ind w:left="1065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020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08"/>
    <w:link w:val="899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08"/>
    <w:link w:val="900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08"/>
    <w:link w:val="901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08"/>
    <w:link w:val="90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08"/>
    <w:link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908"/>
    <w:link w:val="904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08"/>
    <w:link w:val="9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908"/>
    <w:link w:val="906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908"/>
    <w:link w:val="90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908"/>
    <w:link w:val="947"/>
    <w:uiPriority w:val="10"/>
    <w:rPr>
      <w:sz w:val="48"/>
      <w:szCs w:val="48"/>
    </w:rPr>
  </w:style>
  <w:style w:type="paragraph" w:styleId="750">
    <w:name w:val="Subtitle"/>
    <w:basedOn w:val="898"/>
    <w:next w:val="898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8"/>
    <w:link w:val="750"/>
    <w:uiPriority w:val="11"/>
    <w:rPr>
      <w:sz w:val="24"/>
      <w:szCs w:val="24"/>
    </w:rPr>
  </w:style>
  <w:style w:type="paragraph" w:styleId="752">
    <w:name w:val="Quote"/>
    <w:basedOn w:val="898"/>
    <w:next w:val="898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898"/>
    <w:next w:val="898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8"/>
    <w:link w:val="915"/>
    <w:uiPriority w:val="99"/>
  </w:style>
  <w:style w:type="character" w:styleId="757">
    <w:name w:val="Footer Char"/>
    <w:basedOn w:val="908"/>
    <w:link w:val="917"/>
    <w:uiPriority w:val="99"/>
  </w:style>
  <w:style w:type="paragraph" w:styleId="758">
    <w:name w:val="Caption"/>
    <w:basedOn w:val="898"/>
    <w:next w:val="898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8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5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96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7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8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9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0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1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Footnote Text Char"/>
    <w:link w:val="970"/>
    <w:uiPriority w:val="99"/>
    <w:rPr>
      <w:sz w:val="18"/>
    </w:rPr>
  </w:style>
  <w:style w:type="character" w:styleId="886">
    <w:name w:val="Endnote Text Char"/>
    <w:link w:val="973"/>
    <w:uiPriority w:val="99"/>
    <w:rPr>
      <w:sz w:val="20"/>
    </w:rPr>
  </w:style>
  <w:style w:type="paragraph" w:styleId="887">
    <w:name w:val="toc 1"/>
    <w:basedOn w:val="898"/>
    <w:next w:val="898"/>
    <w:uiPriority w:val="39"/>
    <w:unhideWhenUsed/>
    <w:pPr>
      <w:spacing w:after="57"/>
      <w:ind w:left="0" w:right="0" w:firstLine="0"/>
    </w:pPr>
  </w:style>
  <w:style w:type="paragraph" w:styleId="888">
    <w:name w:val="toc 2"/>
    <w:basedOn w:val="898"/>
    <w:next w:val="898"/>
    <w:uiPriority w:val="39"/>
    <w:unhideWhenUsed/>
    <w:pPr>
      <w:spacing w:after="57"/>
      <w:ind w:left="283" w:right="0" w:firstLine="0"/>
    </w:pPr>
  </w:style>
  <w:style w:type="paragraph" w:styleId="889">
    <w:name w:val="toc 3"/>
    <w:basedOn w:val="898"/>
    <w:next w:val="898"/>
    <w:uiPriority w:val="39"/>
    <w:unhideWhenUsed/>
    <w:pPr>
      <w:spacing w:after="57"/>
      <w:ind w:left="567" w:right="0" w:firstLine="0"/>
    </w:pPr>
  </w:style>
  <w:style w:type="paragraph" w:styleId="890">
    <w:name w:val="toc 4"/>
    <w:basedOn w:val="898"/>
    <w:next w:val="898"/>
    <w:uiPriority w:val="39"/>
    <w:unhideWhenUsed/>
    <w:pPr>
      <w:spacing w:after="57"/>
      <w:ind w:left="850" w:right="0" w:firstLine="0"/>
    </w:pPr>
  </w:style>
  <w:style w:type="paragraph" w:styleId="891">
    <w:name w:val="toc 5"/>
    <w:basedOn w:val="898"/>
    <w:next w:val="898"/>
    <w:uiPriority w:val="39"/>
    <w:unhideWhenUsed/>
    <w:pPr>
      <w:spacing w:after="57"/>
      <w:ind w:left="1134" w:right="0" w:firstLine="0"/>
    </w:pPr>
  </w:style>
  <w:style w:type="paragraph" w:styleId="892">
    <w:name w:val="toc 6"/>
    <w:basedOn w:val="898"/>
    <w:next w:val="898"/>
    <w:uiPriority w:val="39"/>
    <w:unhideWhenUsed/>
    <w:pPr>
      <w:spacing w:after="57"/>
      <w:ind w:left="1417" w:right="0" w:firstLine="0"/>
    </w:pPr>
  </w:style>
  <w:style w:type="paragraph" w:styleId="893">
    <w:name w:val="toc 7"/>
    <w:basedOn w:val="898"/>
    <w:next w:val="898"/>
    <w:uiPriority w:val="39"/>
    <w:unhideWhenUsed/>
    <w:pPr>
      <w:spacing w:after="57"/>
      <w:ind w:left="1701" w:right="0" w:firstLine="0"/>
    </w:pPr>
  </w:style>
  <w:style w:type="paragraph" w:styleId="894">
    <w:name w:val="toc 8"/>
    <w:basedOn w:val="898"/>
    <w:next w:val="898"/>
    <w:uiPriority w:val="39"/>
    <w:unhideWhenUsed/>
    <w:pPr>
      <w:spacing w:after="57"/>
      <w:ind w:left="1984" w:right="0" w:firstLine="0"/>
    </w:pPr>
  </w:style>
  <w:style w:type="paragraph" w:styleId="895">
    <w:name w:val="toc 9"/>
    <w:basedOn w:val="898"/>
    <w:next w:val="898"/>
    <w:uiPriority w:val="39"/>
    <w:unhideWhenUsed/>
    <w:pPr>
      <w:spacing w:after="57"/>
      <w:ind w:left="2268" w:right="0" w:firstLine="0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paragraph" w:styleId="899">
    <w:name w:val="Heading 1"/>
    <w:basedOn w:val="898"/>
    <w:next w:val="898"/>
    <w:link w:val="943"/>
    <w:qFormat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900">
    <w:name w:val="Heading 2"/>
    <w:basedOn w:val="898"/>
    <w:next w:val="898"/>
    <w:link w:val="978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901">
    <w:name w:val="Heading 3"/>
    <w:basedOn w:val="898"/>
    <w:next w:val="898"/>
    <w:link w:val="994"/>
    <w:qFormat/>
    <w:pPr>
      <w:keepNext/>
      <w:spacing w:before="240" w:after="60" w:line="240" w:lineRule="auto"/>
      <w:jc w:val="both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902">
    <w:name w:val="Heading 4"/>
    <w:basedOn w:val="898"/>
    <w:next w:val="898"/>
    <w:link w:val="995"/>
    <w:qFormat/>
    <w:pPr>
      <w:keepNext/>
      <w:spacing w:before="240" w:after="60" w:line="240" w:lineRule="auto"/>
      <w:jc w:val="both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3">
    <w:name w:val="Heading 5"/>
    <w:basedOn w:val="898"/>
    <w:next w:val="898"/>
    <w:link w:val="996"/>
    <w:qFormat/>
    <w:pPr>
      <w:spacing w:before="240" w:after="60" w:line="240" w:lineRule="auto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904">
    <w:name w:val="Heading 6"/>
    <w:basedOn w:val="898"/>
    <w:next w:val="898"/>
    <w:link w:val="997"/>
    <w:qFormat/>
    <w:pPr>
      <w:spacing w:before="240" w:after="60" w:line="240" w:lineRule="auto"/>
      <w:jc w:val="both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05">
    <w:name w:val="Heading 7"/>
    <w:basedOn w:val="898"/>
    <w:next w:val="898"/>
    <w:link w:val="998"/>
    <w:qFormat/>
    <w:pPr>
      <w:spacing w:before="240" w:after="6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Heading 8"/>
    <w:basedOn w:val="898"/>
    <w:next w:val="898"/>
    <w:link w:val="999"/>
    <w:qFormat/>
    <w:pPr>
      <w:spacing w:before="240" w:after="60" w:line="240" w:lineRule="auto"/>
      <w:jc w:val="both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07">
    <w:name w:val="Heading 9"/>
    <w:basedOn w:val="898"/>
    <w:next w:val="898"/>
    <w:link w:val="1000"/>
    <w:qFormat/>
    <w:pPr>
      <w:spacing w:before="240" w:after="60" w:line="240" w:lineRule="auto"/>
      <w:jc w:val="both"/>
      <w:outlineLvl w:val="8"/>
    </w:pPr>
    <w:rPr>
      <w:rFonts w:ascii="Arial" w:hAnsi="Arial" w:eastAsia="Times New Roman" w:cs="Arial"/>
      <w:lang w:eastAsia="ru-RU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table" w:styleId="911">
    <w:name w:val="Table Grid"/>
    <w:basedOn w:val="909"/>
    <w:uiPriority w:val="59"/>
    <w:pPr>
      <w:spacing w:after="0" w:line="240" w:lineRule="auto"/>
    </w:pPr>
    <w:rPr>
      <w:rFonts w:ascii="Calibri Light" w:hAnsi="Calibri Light" w:eastAsia="Calibri Light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 w:customStyle="1">
    <w:name w:val="Сетка таблицы4"/>
    <w:basedOn w:val="909"/>
    <w:uiPriority w:val="39"/>
    <w:pPr>
      <w:spacing w:after="0" w:line="240" w:lineRule="auto"/>
    </w:pPr>
    <w:rPr>
      <w:rFonts w:ascii="Calibri Light" w:hAnsi="Calibri Light" w:eastAsia="Calibri Light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alloon Text"/>
    <w:basedOn w:val="898"/>
    <w:link w:val="91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908"/>
    <w:link w:val="913"/>
    <w:uiPriority w:val="99"/>
    <w:semiHidden/>
    <w:rPr>
      <w:rFonts w:ascii="Tahoma" w:hAnsi="Tahoma" w:cs="Tahoma"/>
      <w:sz w:val="16"/>
      <w:szCs w:val="16"/>
    </w:rPr>
  </w:style>
  <w:style w:type="paragraph" w:styleId="915">
    <w:name w:val="Header"/>
    <w:basedOn w:val="898"/>
    <w:link w:val="91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6" w:customStyle="1">
    <w:name w:val="Верхний колонтитул Знак"/>
    <w:basedOn w:val="908"/>
    <w:link w:val="915"/>
    <w:uiPriority w:val="99"/>
  </w:style>
  <w:style w:type="paragraph" w:styleId="917">
    <w:name w:val="Footer"/>
    <w:basedOn w:val="898"/>
    <w:link w:val="91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8" w:customStyle="1">
    <w:name w:val="Нижний колонтитул Знак"/>
    <w:basedOn w:val="908"/>
    <w:link w:val="917"/>
    <w:uiPriority w:val="99"/>
  </w:style>
  <w:style w:type="paragraph" w:styleId="919" w:customStyle="1">
    <w:name w:val="Знак Знак Знак Знак"/>
    <w:basedOn w:val="898"/>
    <w:uiPriority w:val="99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920">
    <w:name w:val="Body Text"/>
    <w:basedOn w:val="898"/>
    <w:link w:val="92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Основной текст Знак"/>
    <w:basedOn w:val="908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Знак"/>
    <w:basedOn w:val="898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23">
    <w:name w:val="Normal (Web)"/>
    <w:basedOn w:val="898"/>
    <w:link w:val="92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Обычный (веб) Знак"/>
    <w:link w:val="92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>
    <w:name w:val="List Paragraph"/>
    <w:basedOn w:val="898"/>
    <w:link w:val="926"/>
    <w:uiPriority w:val="34"/>
    <w:qFormat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character" w:styleId="926" w:customStyle="1">
    <w:name w:val="Абзац списка Знак"/>
    <w:link w:val="925"/>
    <w:uiPriority w:val="34"/>
    <w:rPr>
      <w:rFonts w:ascii="Calibri" w:hAnsi="Calibri" w:eastAsia="Times New Roman" w:cs="Times New Roman"/>
      <w:lang w:eastAsia="ru-RU"/>
    </w:rPr>
  </w:style>
  <w:style w:type="paragraph" w:styleId="927">
    <w:name w:val="No Spacing"/>
    <w:link w:val="928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28" w:customStyle="1">
    <w:name w:val="Без интервала Знак"/>
    <w:link w:val="927"/>
    <w:uiPriority w:val="1"/>
    <w:rPr>
      <w:rFonts w:ascii="Calibri" w:hAnsi="Calibri" w:eastAsia="Calibri" w:cs="Times New Roman"/>
    </w:rPr>
  </w:style>
  <w:style w:type="paragraph" w:styleId="929" w:customStyle="1">
    <w:name w:val="ConsPlusNormal"/>
    <w:link w:val="930"/>
    <w:qFormat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930" w:customStyle="1">
    <w:name w:val="ConsPlusNormal Знак"/>
    <w:link w:val="929"/>
    <w:rPr>
      <w:rFonts w:ascii="Arial" w:hAnsi="Arial" w:eastAsia="Times New Roman" w:cs="Arial"/>
      <w:sz w:val="20"/>
      <w:szCs w:val="20"/>
      <w:lang w:eastAsia="ru-RU"/>
    </w:rPr>
  </w:style>
  <w:style w:type="character" w:styleId="931">
    <w:name w:val="Strong"/>
    <w:uiPriority w:val="22"/>
    <w:qFormat/>
    <w:rPr>
      <w:b/>
      <w:bCs/>
    </w:rPr>
  </w:style>
  <w:style w:type="paragraph" w:styleId="932" w:customStyle="1">
    <w:name w:val="Table Text"/>
    <w:uiPriority w:val="99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table" w:styleId="933" w:customStyle="1">
    <w:name w:val="Сетка таблицы1"/>
    <w:basedOn w:val="909"/>
    <w:next w:val="91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>
    <w:name w:val="Body Text Indent"/>
    <w:basedOn w:val="898"/>
    <w:link w:val="935"/>
    <w:unhideWhenUsed/>
    <w:pPr>
      <w:spacing w:after="120"/>
      <w:ind w:left="283"/>
    </w:pPr>
  </w:style>
  <w:style w:type="character" w:styleId="935" w:customStyle="1">
    <w:name w:val="Основной текст с отступом Знак"/>
    <w:basedOn w:val="908"/>
    <w:link w:val="934"/>
  </w:style>
  <w:style w:type="table" w:styleId="936" w:customStyle="1">
    <w:name w:val="Сетка таблицы2"/>
    <w:basedOn w:val="909"/>
    <w:next w:val="911"/>
    <w:uiPriority w:val="59"/>
    <w:pPr>
      <w:spacing w:after="0" w:line="240" w:lineRule="auto"/>
    </w:pPr>
    <w:rPr>
      <w:rFonts w:ascii="Calibri Light" w:hAnsi="Calibri Light" w:eastAsia="Calibri Light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ConsPlusCell"/>
    <w:link w:val="938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38" w:customStyle="1">
    <w:name w:val="ConsPlusCell Знак"/>
    <w:link w:val="93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39" w:customStyle="1">
    <w:name w:val="apple-style-span"/>
    <w:basedOn w:val="908"/>
    <w:rPr>
      <w:rFonts w:hint="default" w:ascii="Times New Roman" w:hAnsi="Times New Roman" w:cs="Times New Roman"/>
    </w:rPr>
  </w:style>
  <w:style w:type="paragraph" w:styleId="940" w:customStyle="1">
    <w:name w:val="Без интервала1"/>
    <w:pPr>
      <w:spacing w:after="0" w:line="240" w:lineRule="auto"/>
      <w:jc w:val="both"/>
    </w:pPr>
    <w:rPr>
      <w:rFonts w:ascii="Calibri" w:hAnsi="Calibri" w:eastAsia="Times New Roman" w:cs="Calibri"/>
    </w:rPr>
  </w:style>
  <w:style w:type="paragraph" w:styleId="941">
    <w:name w:val="Plain Text"/>
    <w:basedOn w:val="898"/>
    <w:link w:val="942"/>
    <w:pPr>
      <w:spacing w:after="0" w:line="221" w:lineRule="auto"/>
    </w:pPr>
    <w:rPr>
      <w:rFonts w:ascii="Courier New" w:hAnsi="Courier New" w:eastAsia="Times New Roman" w:cs="Arial"/>
      <w:sz w:val="20"/>
      <w:szCs w:val="20"/>
      <w:lang w:eastAsia="ru-RU"/>
    </w:rPr>
  </w:style>
  <w:style w:type="character" w:styleId="942" w:customStyle="1">
    <w:name w:val="Текст Знак"/>
    <w:basedOn w:val="908"/>
    <w:link w:val="941"/>
    <w:rPr>
      <w:rFonts w:ascii="Courier New" w:hAnsi="Courier New" w:eastAsia="Times New Roman" w:cs="Arial"/>
      <w:sz w:val="20"/>
      <w:szCs w:val="20"/>
      <w:lang w:eastAsia="ru-RU"/>
    </w:rPr>
  </w:style>
  <w:style w:type="character" w:styleId="943" w:customStyle="1">
    <w:name w:val="Заголовок 1 Знак"/>
    <w:basedOn w:val="908"/>
    <w:link w:val="8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44" w:customStyle="1">
    <w:name w:val="Текст примечания Знак"/>
    <w:basedOn w:val="908"/>
    <w:link w:val="945"/>
    <w:uiPriority w:val="99"/>
    <w:semiHidden/>
    <w:rPr>
      <w:sz w:val="20"/>
      <w:szCs w:val="20"/>
    </w:rPr>
  </w:style>
  <w:style w:type="paragraph" w:styleId="945">
    <w:name w:val="annotation text"/>
    <w:basedOn w:val="898"/>
    <w:link w:val="94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46" w:customStyle="1">
    <w:name w:val="Заголовок Знак"/>
    <w:basedOn w:val="908"/>
    <w:link w:val="947"/>
    <w:rPr>
      <w:rFonts w:ascii="Times New Roman" w:hAnsi="Times New Roman" w:eastAsia="Times New Roman" w:cs="Times New Roman"/>
      <w:sz w:val="24"/>
      <w:szCs w:val="20"/>
    </w:rPr>
  </w:style>
  <w:style w:type="paragraph" w:styleId="947">
    <w:name w:val="Title"/>
    <w:basedOn w:val="898"/>
    <w:next w:val="898"/>
    <w:link w:val="946"/>
    <w:qFormat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Times New Roman" w:hAnsi="Times New Roman" w:eastAsia="Times New Roman" w:cs="Times New Roman"/>
      <w:sz w:val="24"/>
      <w:szCs w:val="20"/>
    </w:rPr>
  </w:style>
  <w:style w:type="character" w:styleId="948" w:customStyle="1">
    <w:name w:val="Основной текст с отступом 2 Знак"/>
    <w:basedOn w:val="908"/>
    <w:link w:val="949"/>
  </w:style>
  <w:style w:type="paragraph" w:styleId="949">
    <w:name w:val="Body Text Indent 2"/>
    <w:basedOn w:val="898"/>
    <w:link w:val="948"/>
    <w:unhideWhenUsed/>
    <w:pPr>
      <w:spacing w:after="120" w:line="480" w:lineRule="auto"/>
      <w:ind w:left="283"/>
    </w:pPr>
  </w:style>
  <w:style w:type="character" w:styleId="950" w:customStyle="1">
    <w:name w:val="Основной текст с отступом 3 Знак"/>
    <w:basedOn w:val="908"/>
    <w:link w:val="9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>
    <w:name w:val="Body Text Indent 3"/>
    <w:basedOn w:val="898"/>
    <w:link w:val="950"/>
    <w:unhideWhenUsed/>
    <w:pPr>
      <w:spacing w:after="120" w:line="256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52" w:customStyle="1">
    <w:name w:val="Текст примечания Знак1"/>
    <w:basedOn w:val="908"/>
    <w:uiPriority w:val="99"/>
    <w:semiHidden/>
    <w:rPr>
      <w:sz w:val="20"/>
      <w:szCs w:val="20"/>
    </w:rPr>
  </w:style>
  <w:style w:type="character" w:styleId="953" w:customStyle="1">
    <w:name w:val="Тема примечания Знак"/>
    <w:basedOn w:val="944"/>
    <w:link w:val="954"/>
    <w:uiPriority w:val="99"/>
    <w:semiHidden/>
    <w:rPr>
      <w:b/>
      <w:bCs/>
      <w:sz w:val="20"/>
      <w:szCs w:val="20"/>
    </w:rPr>
  </w:style>
  <w:style w:type="paragraph" w:styleId="954">
    <w:name w:val="annotation subject"/>
    <w:basedOn w:val="945"/>
    <w:next w:val="945"/>
    <w:link w:val="953"/>
    <w:uiPriority w:val="99"/>
    <w:semiHidden/>
    <w:unhideWhenUsed/>
    <w:rPr>
      <w:b/>
      <w:bCs/>
    </w:rPr>
  </w:style>
  <w:style w:type="character" w:styleId="955" w:customStyle="1">
    <w:name w:val="Основной текст (2)_"/>
    <w:link w:val="956"/>
    <w:rPr>
      <w:shd w:val="clear" w:color="auto" w:fill="ffffff"/>
    </w:rPr>
  </w:style>
  <w:style w:type="paragraph" w:styleId="956" w:customStyle="1">
    <w:name w:val="Основной текст (2)"/>
    <w:basedOn w:val="898"/>
    <w:link w:val="955"/>
    <w:qFormat/>
    <w:pPr>
      <w:shd w:val="clear" w:color="auto" w:fill="ffffff"/>
      <w:spacing w:after="240" w:line="274" w:lineRule="exact"/>
      <w:ind w:firstLine="480"/>
    </w:pPr>
  </w:style>
  <w:style w:type="character" w:styleId="957" w:customStyle="1">
    <w:name w:val="Основной текст с отступом 2 Знак1"/>
    <w:basedOn w:val="908"/>
    <w:semiHidden/>
  </w:style>
  <w:style w:type="character" w:styleId="958" w:customStyle="1">
    <w:name w:val="Основной текст с отступом 3 Знак1"/>
    <w:basedOn w:val="908"/>
    <w:rPr>
      <w:sz w:val="16"/>
      <w:szCs w:val="16"/>
    </w:rPr>
  </w:style>
  <w:style w:type="character" w:styleId="959" w:customStyle="1">
    <w:name w:val="Название Знак1"/>
    <w:basedOn w:val="908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0" w:customStyle="1">
    <w:name w:val="Тема примечания Знак1"/>
    <w:basedOn w:val="952"/>
    <w:uiPriority w:val="99"/>
    <w:semiHidden/>
    <w:rPr>
      <w:b/>
      <w:bCs/>
      <w:sz w:val="20"/>
      <w:szCs w:val="20"/>
    </w:rPr>
  </w:style>
  <w:style w:type="paragraph" w:styleId="961" w:customStyle="1">
    <w:name w:val="msonormal_mailru_css_attribute_postfix"/>
    <w:basedOn w:val="898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ConsPlusNonformat"/>
    <w:link w:val="1021"/>
    <w:uiPriority w:val="99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3" w:customStyle="1">
    <w:name w:val="Table Paragraph"/>
    <w:basedOn w:val="898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character" w:styleId="964" w:customStyle="1">
    <w:name w:val="apple-converted-space"/>
    <w:basedOn w:val="908"/>
    <w:rPr>
      <w:rFonts w:cs="Times New Roman"/>
    </w:rPr>
  </w:style>
  <w:style w:type="paragraph" w:styleId="965" w:customStyle="1">
    <w:name w:val="paragraph"/>
    <w:basedOn w:val="8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normaltextrun"/>
    <w:basedOn w:val="908"/>
  </w:style>
  <w:style w:type="character" w:styleId="967" w:customStyle="1">
    <w:name w:val="eop"/>
    <w:basedOn w:val="908"/>
  </w:style>
  <w:style w:type="character" w:styleId="968" w:customStyle="1">
    <w:name w:val="spellingerror"/>
    <w:basedOn w:val="908"/>
  </w:style>
  <w:style w:type="character" w:styleId="969" w:customStyle="1">
    <w:name w:val="contextualspellingandgrammarerror"/>
    <w:basedOn w:val="908"/>
  </w:style>
  <w:style w:type="paragraph" w:styleId="970">
    <w:name w:val="footnote text"/>
    <w:basedOn w:val="898"/>
    <w:link w:val="97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1" w:customStyle="1">
    <w:name w:val="Текст сноски Знак"/>
    <w:basedOn w:val="908"/>
    <w:link w:val="970"/>
    <w:uiPriority w:val="99"/>
    <w:semiHidden/>
    <w:rPr>
      <w:sz w:val="20"/>
      <w:szCs w:val="20"/>
    </w:rPr>
  </w:style>
  <w:style w:type="character" w:styleId="972">
    <w:name w:val="footnote reference"/>
    <w:basedOn w:val="908"/>
    <w:uiPriority w:val="99"/>
    <w:semiHidden/>
    <w:unhideWhenUsed/>
    <w:rPr>
      <w:vertAlign w:val="superscript"/>
    </w:rPr>
  </w:style>
  <w:style w:type="paragraph" w:styleId="973">
    <w:name w:val="endnote text"/>
    <w:basedOn w:val="898"/>
    <w:link w:val="97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4" w:customStyle="1">
    <w:name w:val="Текст концевой сноски Знак"/>
    <w:basedOn w:val="908"/>
    <w:link w:val="973"/>
    <w:uiPriority w:val="99"/>
    <w:semiHidden/>
    <w:rPr>
      <w:sz w:val="20"/>
      <w:szCs w:val="20"/>
    </w:rPr>
  </w:style>
  <w:style w:type="character" w:styleId="975">
    <w:name w:val="endnote reference"/>
    <w:basedOn w:val="908"/>
    <w:uiPriority w:val="99"/>
    <w:semiHidden/>
    <w:unhideWhenUsed/>
    <w:rPr>
      <w:vertAlign w:val="superscript"/>
    </w:rPr>
  </w:style>
  <w:style w:type="paragraph" w:styleId="976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977" w:customStyle="1">
    <w:name w:val="Сетка таблицы3"/>
    <w:basedOn w:val="909"/>
    <w:next w:val="911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8" w:customStyle="1">
    <w:name w:val="Заголовок 2 Знак"/>
    <w:basedOn w:val="908"/>
    <w:link w:val="900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979">
    <w:name w:val="annotation reference"/>
    <w:basedOn w:val="908"/>
    <w:uiPriority w:val="99"/>
    <w:semiHidden/>
    <w:unhideWhenUsed/>
    <w:rPr>
      <w:sz w:val="16"/>
      <w:szCs w:val="16"/>
    </w:rPr>
  </w:style>
  <w:style w:type="paragraph" w:styleId="98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81" w:customStyle="1">
    <w:name w:val="msonormal_mr_css_attr"/>
    <w:basedOn w:val="8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Основной текст6"/>
    <w:basedOn w:val="898"/>
    <w:pPr>
      <w:widowControl w:val="off"/>
      <w:shd w:val="clear" w:color="auto" w:fill="ffffff"/>
      <w:spacing w:after="0" w:line="274" w:lineRule="exact"/>
      <w:ind w:hanging="360"/>
      <w:jc w:val="both"/>
    </w:pPr>
    <w:rPr>
      <w:rFonts w:ascii="Times New Roman" w:hAnsi="Times New Roman" w:eastAsia="Times New Roman"/>
    </w:rPr>
  </w:style>
  <w:style w:type="character" w:styleId="983" w:customStyle="1">
    <w:name w:val="Основной текст + Полужирный;Курсив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hd w:val="clear" w:color="auto" w:fill="ffffff"/>
      <w:lang w:val="ru-RU"/>
    </w:rPr>
  </w:style>
  <w:style w:type="paragraph" w:styleId="984" w:customStyle="1">
    <w:name w:val="cxspfirst_mr_css_attr"/>
    <w:basedOn w:val="898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85" w:customStyle="1">
    <w:name w:val="Сетка таблицы5"/>
    <w:basedOn w:val="9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6" w:customStyle="1">
    <w:name w:val="Прижатый влево"/>
    <w:basedOn w:val="898"/>
    <w:next w:val="898"/>
    <w:uiPriority w:val="99"/>
    <w:pPr>
      <w:widowControl w:val="off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87">
    <w:name w:val="List Bullet 2"/>
    <w:basedOn w:val="898"/>
    <w:unhideWhenUsed/>
    <w:pPr>
      <w:widowControl w:val="off"/>
      <w:spacing w:after="0" w:line="240" w:lineRule="auto"/>
      <w:ind w:firstLine="709"/>
      <w:jc w:val="both"/>
    </w:pPr>
    <w:rPr>
      <w:rFonts w:ascii="Times New Roman" w:hAnsi="Times New Roman" w:eastAsia="Times New Roman" w:cs="Courier New"/>
      <w:b/>
      <w:sz w:val="24"/>
      <w:szCs w:val="24"/>
      <w:lang w:eastAsia="ru-RU"/>
    </w:rPr>
  </w:style>
  <w:style w:type="table" w:styleId="988" w:customStyle="1">
    <w:name w:val="Сетка таблицы6"/>
    <w:basedOn w:val="909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9" w:customStyle="1">
    <w:name w:val="Сетка таблицы29"/>
    <w:basedOn w:val="909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0" w:customStyle="1">
    <w:name w:val="Основной текст_"/>
    <w:basedOn w:val="908"/>
    <w:link w:val="991"/>
    <w:semiHidden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91" w:customStyle="1">
    <w:name w:val="Основной текст5"/>
    <w:basedOn w:val="898"/>
    <w:link w:val="990"/>
    <w:semiHidden/>
    <w:qFormat/>
    <w:pPr>
      <w:widowControl w:val="off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table" w:styleId="992" w:customStyle="1">
    <w:name w:val="Сетка таблицы21"/>
    <w:basedOn w:val="90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3" w:customStyle="1">
    <w:name w:val="Сетка таблицы7"/>
    <w:basedOn w:val="909"/>
    <w:next w:val="91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4" w:customStyle="1">
    <w:name w:val="Заголовок 3 Знак"/>
    <w:basedOn w:val="908"/>
    <w:link w:val="901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95" w:customStyle="1">
    <w:name w:val="Заголовок 4 Знак"/>
    <w:basedOn w:val="908"/>
    <w:link w:val="90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96" w:customStyle="1">
    <w:name w:val="Заголовок 5 Знак"/>
    <w:basedOn w:val="908"/>
    <w:link w:val="903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997" w:customStyle="1">
    <w:name w:val="Заголовок 6 Знак"/>
    <w:basedOn w:val="908"/>
    <w:link w:val="904"/>
    <w:rPr>
      <w:rFonts w:ascii="Times New Roman" w:hAnsi="Times New Roman" w:eastAsia="Times New Roman" w:cs="Times New Roman"/>
      <w:b/>
      <w:bCs/>
      <w:lang w:eastAsia="ru-RU"/>
    </w:rPr>
  </w:style>
  <w:style w:type="character" w:styleId="998" w:customStyle="1">
    <w:name w:val="Заголовок 7 Знак"/>
    <w:basedOn w:val="908"/>
    <w:link w:val="90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9" w:customStyle="1">
    <w:name w:val="Заголовок 8 Знак"/>
    <w:basedOn w:val="908"/>
    <w:link w:val="906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000" w:customStyle="1">
    <w:name w:val="Заголовок 9 Знак"/>
    <w:basedOn w:val="908"/>
    <w:link w:val="907"/>
    <w:rPr>
      <w:rFonts w:ascii="Arial" w:hAnsi="Arial" w:eastAsia="Times New Roman" w:cs="Arial"/>
      <w:lang w:eastAsia="ru-RU"/>
    </w:rPr>
  </w:style>
  <w:style w:type="numbering" w:styleId="1001" w:customStyle="1">
    <w:name w:val="Нет списка1"/>
    <w:next w:val="910"/>
    <w:uiPriority w:val="99"/>
    <w:semiHidden/>
    <w:unhideWhenUsed/>
  </w:style>
  <w:style w:type="paragraph" w:styleId="1002" w:customStyle="1">
    <w:name w:val="Обычный1"/>
    <w:pPr>
      <w:spacing w:before="100" w:after="10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03">
    <w:name w:val="Emphasis"/>
    <w:basedOn w:val="908"/>
    <w:qFormat/>
    <w:rPr>
      <w:i/>
      <w:iCs/>
    </w:rPr>
  </w:style>
  <w:style w:type="paragraph" w:styleId="1004" w:customStyle="1">
    <w:name w:val="Знак Знак Знак Знак Знак Знак Знак"/>
    <w:basedOn w:val="898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table" w:styleId="1005" w:customStyle="1">
    <w:name w:val="Сетка таблицы8"/>
    <w:basedOn w:val="909"/>
    <w:next w:val="91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6" w:customStyle="1">
    <w:name w:val="Char Знак Знак Char Знак Знак Знак Знак Знак Знак Знак Знак Знак Знак Знак Знак Знак Знак Знак Знак"/>
    <w:basedOn w:val="898"/>
    <w:pPr>
      <w:spacing w:after="0" w:line="240" w:lineRule="auto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1007">
    <w:name w:val="Body Text 2"/>
    <w:basedOn w:val="898"/>
    <w:link w:val="1008"/>
    <w:pPr>
      <w:spacing w:after="120" w:line="48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8" w:customStyle="1">
    <w:name w:val="Основной текст 2 Знак"/>
    <w:basedOn w:val="908"/>
    <w:link w:val="1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898"/>
    <w:pPr>
      <w:spacing w:after="160" w:line="240" w:lineRule="exact"/>
      <w:jc w:val="both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10" w:customStyle="1">
    <w:name w:val="Body Text Indent Char"/>
    <w:basedOn w:val="908"/>
    <w:rPr>
      <w:sz w:val="24"/>
      <w:szCs w:val="24"/>
      <w:lang w:val="ru-RU" w:eastAsia="ru-RU" w:bidi="ar-SA"/>
    </w:rPr>
  </w:style>
  <w:style w:type="paragraph" w:styleId="1011">
    <w:name w:val="HTML Preformatted"/>
    <w:basedOn w:val="898"/>
    <w:link w:val="101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12" w:customStyle="1">
    <w:name w:val="Стандартный HTML Знак"/>
    <w:basedOn w:val="908"/>
    <w:link w:val="1011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13" w:customStyle="1">
    <w:name w:val="fontstyle11"/>
    <w:basedOn w:val="908"/>
  </w:style>
  <w:style w:type="character" w:styleId="1014" w:customStyle="1">
    <w:name w:val="fontstyle12"/>
    <w:basedOn w:val="908"/>
  </w:style>
  <w:style w:type="character" w:styleId="1015" w:customStyle="1">
    <w:name w:val="Знак Знак6"/>
    <w:basedOn w:val="908"/>
    <w:rPr>
      <w:sz w:val="24"/>
      <w:szCs w:val="24"/>
      <w:lang w:val="ru-RU" w:eastAsia="ru-RU" w:bidi="ar-SA"/>
    </w:rPr>
  </w:style>
  <w:style w:type="paragraph" w:styleId="1016" w:customStyle="1">
    <w:name w:val="Основной текст с отступом 21"/>
    <w:basedOn w:val="898"/>
    <w:pPr>
      <w:spacing w:after="0" w:line="240" w:lineRule="auto"/>
      <w:ind w:firstLine="36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17" w:customStyle="1">
    <w:name w:val="p1"/>
    <w:basedOn w:val="898"/>
    <w:uiPriority w:val="99"/>
    <w:pPr>
      <w:spacing w:before="75" w:after="75" w:line="240" w:lineRule="auto"/>
      <w:ind w:firstLine="300"/>
      <w:jc w:val="both"/>
    </w:pPr>
    <w:rPr>
      <w:rFonts w:ascii="Arial" w:hAnsi="Arial" w:eastAsia="Arial Unicode MS" w:cs="Arial"/>
      <w:sz w:val="20"/>
      <w:szCs w:val="20"/>
      <w:lang w:eastAsia="ru-RU"/>
    </w:rPr>
  </w:style>
  <w:style w:type="character" w:styleId="1018" w:customStyle="1">
    <w:name w:val="Основной текст 3 Знак"/>
    <w:basedOn w:val="908"/>
    <w:link w:val="1019"/>
    <w:rPr>
      <w:sz w:val="16"/>
      <w:szCs w:val="16"/>
    </w:rPr>
  </w:style>
  <w:style w:type="paragraph" w:styleId="1019">
    <w:name w:val="Body Text 3"/>
    <w:basedOn w:val="898"/>
    <w:link w:val="1018"/>
    <w:unhideWhenUsed/>
    <w:pPr>
      <w:spacing w:after="120" w:line="240" w:lineRule="auto"/>
      <w:jc w:val="both"/>
    </w:pPr>
    <w:rPr>
      <w:sz w:val="16"/>
      <w:szCs w:val="16"/>
    </w:rPr>
  </w:style>
  <w:style w:type="character" w:styleId="1020" w:customStyle="1">
    <w:name w:val="Основной текст 3 Знак1"/>
    <w:basedOn w:val="908"/>
    <w:uiPriority w:val="99"/>
    <w:semiHidden/>
    <w:rPr>
      <w:sz w:val="16"/>
      <w:szCs w:val="16"/>
    </w:rPr>
  </w:style>
  <w:style w:type="character" w:styleId="1021" w:customStyle="1">
    <w:name w:val="ConsPlusNonformat Знак"/>
    <w:basedOn w:val="908"/>
    <w:link w:val="96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2" w:customStyle="1">
    <w:name w:val="z1"/>
    <w:basedOn w:val="898"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p2"/>
    <w:basedOn w:val="898"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4">
    <w:name w:val="Hyperlink"/>
    <w:basedOn w:val="908"/>
    <w:unhideWhenUsed/>
    <w:rPr>
      <w:color w:val="0000ff"/>
      <w:u w:val="single"/>
    </w:rPr>
  </w:style>
  <w:style w:type="paragraph" w:styleId="1025" w:customStyle="1">
    <w:name w:val="ConsTitle"/>
    <w:pPr>
      <w:widowControl w:val="off"/>
      <w:spacing w:after="0" w:line="240" w:lineRule="auto"/>
      <w:jc w:val="both"/>
    </w:pPr>
    <w:rPr>
      <w:rFonts w:ascii="Arial" w:hAnsi="Arial" w:eastAsia="Times New Roman" w:cs="Times New Roman"/>
      <w:b/>
      <w:sz w:val="16"/>
      <w:szCs w:val="20"/>
      <w:lang w:eastAsia="ru-RU"/>
    </w:rPr>
  </w:style>
  <w:style w:type="paragraph" w:styleId="1026" w:customStyle="1">
    <w:name w:val="стиль1"/>
    <w:basedOn w:val="8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7">
    <w:name w:val="page number"/>
    <w:basedOn w:val="908"/>
  </w:style>
  <w:style w:type="table" w:styleId="1028" w:customStyle="1">
    <w:name w:val="Сетка таблицы11"/>
    <w:basedOn w:val="909"/>
    <w:next w:val="91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9" w:customStyle="1">
    <w:name w:val="Сетка таблицы12"/>
    <w:basedOn w:val="909"/>
    <w:next w:val="91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0" w:customStyle="1">
    <w:name w:val="found"/>
    <w:basedOn w:val="908"/>
  </w:style>
  <w:style w:type="table" w:styleId="1031" w:customStyle="1">
    <w:name w:val="Сетка таблицы13"/>
    <w:basedOn w:val="909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2" w:customStyle="1">
    <w:name w:val="Standard"/>
    <w:pPr>
      <w:spacing w:after="160" w:line="240" w:lineRule="auto"/>
    </w:pPr>
    <w:rPr>
      <w:rFonts w:ascii="Calibri" w:hAnsi="Calibri" w:eastAsia="SimSun" w:cs="Calibri"/>
    </w:rPr>
  </w:style>
  <w:style w:type="table" w:styleId="1033" w:customStyle="1">
    <w:name w:val="Сетка таблицы22"/>
    <w:basedOn w:val="909"/>
    <w:next w:val="91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4" w:customStyle="1">
    <w:name w:val="Сетка таблицы131"/>
    <w:basedOn w:val="909"/>
    <w:next w:val="91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5" w:customStyle="1">
    <w:name w:val="Абзац"/>
    <w:basedOn w:val="898"/>
    <w:link w:val="1036"/>
    <w:qFormat/>
    <w:pPr>
      <w:spacing w:before="120" w:after="60" w:line="240" w:lineRule="auto"/>
      <w:ind w:firstLine="567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036" w:customStyle="1">
    <w:name w:val="Абзац Знак"/>
    <w:link w:val="1035"/>
    <w:rPr>
      <w:rFonts w:ascii="Times New Roman" w:hAnsi="Times New Roman" w:eastAsia="Calibri" w:cs="Times New Roman"/>
      <w:sz w:val="24"/>
      <w:szCs w:val="24"/>
      <w:lang w:eastAsia="ru-RU"/>
    </w:rPr>
  </w:style>
  <w:style w:type="table" w:styleId="1037" w:customStyle="1">
    <w:name w:val="Сетка таблицы41"/>
    <w:basedOn w:val="909"/>
    <w:uiPriority w:val="39"/>
    <w:pPr>
      <w:spacing w:after="0" w:line="240" w:lineRule="auto"/>
    </w:pPr>
    <w:rPr>
      <w:rFonts w:ascii="Calibri Light" w:hAnsi="Calibri Light" w:eastAsia="Calibri Light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8" w:customStyle="1">
    <w:name w:val="Сетка таблицы61"/>
    <w:basedOn w:val="909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9" w:customStyle="1">
    <w:name w:val="Сетка таблицы291"/>
    <w:basedOn w:val="909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0" w:customStyle="1">
    <w:name w:val="Сетка таблицы51"/>
    <w:basedOn w:val="909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1" w:customStyle="1">
    <w:name w:val="Сетка таблицы52"/>
    <w:basedOn w:val="909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2" w:customStyle="1">
    <w:name w:val="Без интервала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43" w:customStyle="1">
    <w:name w:val="льлтбь"/>
    <w:basedOn w:val="831"/>
    <w:link w:val="840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D2E2-F175-4815-8277-BF555C5A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социально-экономического развития городского округа город Мегион за 2017 год</dc:title>
  <dc:subject/>
  <dc:creator>Суяримбетова Галия Нуримановна</dc:creator>
  <cp:keywords/>
  <dc:description/>
  <cp:lastModifiedBy>SyafukovaEM</cp:lastModifiedBy>
  <cp:revision>204</cp:revision>
  <dcterms:created xsi:type="dcterms:W3CDTF">2023-04-14T09:23:00Z</dcterms:created>
  <dcterms:modified xsi:type="dcterms:W3CDTF">2026-03-26T05:12:56Z</dcterms:modified>
</cp:coreProperties>
</file>