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4F3939" w:rsidRDefault="00357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жилищно-коммунального комплекса и повышение энергетической эффективности</w:t>
      </w:r>
    </w:p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положения</w:t>
      </w: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F3939">
        <w:tc>
          <w:tcPr>
            <w:tcW w:w="3681" w:type="dxa"/>
          </w:tcPr>
          <w:p w:rsidR="004F3939" w:rsidRDefault="00357BC5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5947" w:type="dxa"/>
          </w:tcPr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курирующий сферу жилищно-коммунального хозяйства и градостроительства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47" w:type="dxa"/>
          </w:tcPr>
          <w:p w:rsidR="004F3939" w:rsidRDefault="00357BC5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комплекса (далее – УЖКК)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947" w:type="dxa"/>
          </w:tcPr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947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1.Создание условий для комфортного проживания граждан;</w:t>
            </w:r>
          </w:p>
          <w:p w:rsidR="004F3939" w:rsidRDefault="00357B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2.Развитие жилищно-коммунального комплекса и повышение энергетической эффективности;</w:t>
            </w:r>
          </w:p>
          <w:p w:rsidR="004F3939" w:rsidRDefault="0035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3.Повышение качества и надежности предоставления жилищно-коммунальных услуг населению.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государственной программы</w:t>
            </w:r>
          </w:p>
        </w:tc>
        <w:tc>
          <w:tcPr>
            <w:tcW w:w="5947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947" w:type="dxa"/>
          </w:tcPr>
          <w:p w:rsidR="004F3939" w:rsidRDefault="00357B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2 636 587,8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4F3939">
        <w:tc>
          <w:tcPr>
            <w:tcW w:w="3681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947" w:type="dxa"/>
          </w:tcPr>
          <w:p w:rsidR="004F3939" w:rsidRDefault="00357B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1.Государственная программа Ханты-Мансийского автономного округа – Югры «Строительство».</w:t>
            </w:r>
          </w:p>
          <w:p w:rsidR="004F3939" w:rsidRDefault="00357BC5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2.Государственная программа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Ханты-Мансийского автономного округа – Югры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здравоохранение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F3939" w:rsidRDefault="00357B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«Обеспечение эпизоотического и ветеринарно-санитарного благополучия».</w:t>
            </w:r>
          </w:p>
        </w:tc>
      </w:tr>
    </w:tbl>
    <w:p w:rsidR="004F3939" w:rsidRDefault="004F3939">
      <w:pPr>
        <w:rPr>
          <w:rFonts w:ascii="Times New Roman" w:hAnsi="Times New Roman" w:cs="Times New Roman"/>
          <w:sz w:val="24"/>
          <w:szCs w:val="24"/>
        </w:rPr>
        <w:sectPr w:rsidR="004F3939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4F3939" w:rsidRDefault="00357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2.Показатели муниципальной программы</w:t>
      </w:r>
    </w:p>
    <w:tbl>
      <w:tblPr>
        <w:tblStyle w:val="af6"/>
        <w:tblW w:w="15021" w:type="dxa"/>
        <w:tblLayout w:type="fixed"/>
        <w:tblLook w:val="04A0" w:firstRow="1" w:lastRow="0" w:firstColumn="1" w:lastColumn="0" w:noHBand="0" w:noVBand="1"/>
      </w:tblPr>
      <w:tblGrid>
        <w:gridCol w:w="512"/>
        <w:gridCol w:w="1610"/>
        <w:gridCol w:w="753"/>
        <w:gridCol w:w="933"/>
        <w:gridCol w:w="983"/>
        <w:gridCol w:w="736"/>
        <w:gridCol w:w="850"/>
        <w:gridCol w:w="850"/>
        <w:gridCol w:w="850"/>
        <w:gridCol w:w="850"/>
        <w:gridCol w:w="734"/>
        <w:gridCol w:w="827"/>
        <w:gridCol w:w="2976"/>
        <w:gridCol w:w="1557"/>
      </w:tblGrid>
      <w:tr w:rsidR="004F3939">
        <w:tc>
          <w:tcPr>
            <w:tcW w:w="51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1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5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93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ОКЕЙ)</w:t>
            </w:r>
          </w:p>
        </w:tc>
        <w:tc>
          <w:tcPr>
            <w:tcW w:w="1719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961" w:type="dxa"/>
            <w:gridSpan w:val="6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4F3939">
        <w:tc>
          <w:tcPr>
            <w:tcW w:w="512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976" w:type="dxa"/>
          </w:tcPr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F3939">
        <w:tc>
          <w:tcPr>
            <w:tcW w:w="15021" w:type="dxa"/>
            <w:gridSpan w:val="14"/>
          </w:tcPr>
          <w:p w:rsidR="004F3939" w:rsidRDefault="00357B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Цель 1 Создание условий для комфортного проживания граждан 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Ежегодное количество отловленных безнадзорных и бродячих животных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Федеральный закон от 30.03.1999 №52-ФЗ «О санитарно-эпидемиологическом благополучии населения»; Закон Ханты-Мансийского автономного округа –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Югры от 27.09.2015 №98-оз «О внесении изменений в Закон Ханты-Мансийского автономного округа – Югры «О содержании и защите домашних животных на территории Ханты-Мансийского автономного округа – Югры»; </w:t>
            </w:r>
            <w:hyperlink r:id="rId11" w:anchor="/document/73196630/entry/0" w:tooltip="https://internet.garant.ru/#/document/73196630/entry/0" w:history="1">
              <w:r>
                <w:rPr>
                  <w:rStyle w:val="aff"/>
                  <w:rFonts w:ascii="Times New Roman" w:eastAsia="Times New Roman" w:hAnsi="Times New Roman" w:cs="Times New Roman"/>
                  <w:color w:val="000000" w:themeColor="text1"/>
                  <w:highlight w:val="white"/>
                  <w:u w:val="none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 Ханты-Мансийского автономного округа 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 Югры от 10.12.2019 №89-оз «О наделении органов местного самоуправления муниципальных образований Ханты-Мансийского автономного округа 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 Югры отдельным государственным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lastRenderedPageBreak/>
              <w:t>полномочием Ханты-Мансийского автономного     округа 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 Югры по организации мероприятий при осуществлении деятельности по обращению с животными без владельцев»; 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Закон Ханты-Мансийского автономного округа – Югры от 11.06.2010 №102-оз «Об административных правонарушениях»; Постановление Правительства Ханты-Мансийского автономного округа – Югры от 10.11.2023 №551-п «О государственной программе Ханты-Мансийского автономного округа – Югры «</w:t>
            </w:r>
            <w:r>
              <w:rPr>
                <w:rFonts w:ascii="Times New Roman" w:hAnsi="Times New Roman" w:cs="Times New Roman"/>
                <w:color w:val="000000"/>
              </w:rPr>
              <w:t>Обеспечение эпизоотического и ветеринарно-санитарного благополучия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Площадь, на которой проведены мероприятия по дератизации и дезинсекции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493,94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Постановление Правительства Ханты-Мансийского автономного округа – Югры от 10.11.2023 №558-п «О государственной программе 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Современное здравоохранение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Ежегодное количество снесенного непригодного для проживания жилья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</w:pPr>
            <w: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</w:pPr>
            <w: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«Управление капитального строительства» (далее – 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Площадь обслуживаемых магистральных и луговых газонов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тыс.м²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детских игровых площадок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Объем потребления 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электроэнергии на уличное освещение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т.кВт</w:t>
            </w:r>
            <w:proofErr w:type="spellEnd"/>
            <w:r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2 238,3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2238,3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Протяженность обслуживаемых сетей уличного освещения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rPr>
          <w:trHeight w:val="283"/>
        </w:trPr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кладбищ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Федеральный закон от 12.01.1996 №8-ФЗ «О погребении и похоронном деле»; 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Общая площадь территории вновь построенного кладбища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6 938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4712,8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Федеральный закон от 12.01.1996 №8-ФЗ «О погребении и похоронном деле».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Проведенные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противопаводковые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мероприятия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</w:t>
            </w:r>
            <w:proofErr w:type="spellEnd"/>
            <w:r>
              <w:rPr>
                <w:rFonts w:ascii="Times New Roman" w:hAnsi="Times New Roman" w:cs="Times New Roman"/>
              </w:rPr>
              <w:t>./час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объектов, подготовленных к новогодним мероприятиям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площадей и скверов, на которых выполняются работы по содержанию и ремонту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Решение Думы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27.11.2020 №31 «О правилах благоустройства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установленных приборов учета энергоресурсов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Федеральный закон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муниципальных квартир в которых проведен капитальный ремонт или реконструкция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Жилищный кодекс Российской Федерации.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4F3939">
        <w:tc>
          <w:tcPr>
            <w:tcW w:w="15021" w:type="dxa"/>
            <w:gridSpan w:val="14"/>
          </w:tcPr>
          <w:p w:rsidR="004F3939" w:rsidRDefault="00357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Цель 2 Развитие жилищно-коммунального комплекса и повышение энергетической эффективности</w:t>
            </w:r>
          </w:p>
        </w:tc>
      </w:tr>
      <w:tr w:rsidR="004F3939">
        <w:trPr>
          <w:trHeight w:val="3097"/>
        </w:trPr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0" w:type="dxa"/>
          </w:tcPr>
          <w:p w:rsidR="004F3939" w:rsidRDefault="00357BC5">
            <w:pPr>
              <w:spacing w:line="209" w:lineRule="auto"/>
              <w:jc w:val="both"/>
            </w:pPr>
            <w:r>
              <w:rPr>
                <w:rFonts w:ascii="Times New Roman" w:hAnsi="Times New Roman" w:cs="Times New Roman"/>
              </w:rPr>
              <w:t>доля замены ветхих инженерных сетей теплоснабжения, водоснабжения, водоотведения, в том числе с применением композитных материалов в текущем году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</w:pPr>
            <w:r>
              <w:rPr>
                <w:rFonts w:ascii="Times New Roman" w:hAnsi="Times New Roman" w:cs="Times New Roman"/>
              </w:rPr>
              <w:t>ГП 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976" w:type="dxa"/>
          </w:tcPr>
          <w:p w:rsidR="004F3939" w:rsidRDefault="00357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 Правительства Ханты-Мансийского автономного округа – Югры от 20.01.2023 №27-п «О региональной программе Ханты-Мансийского автономного округа – Югры «Модернизация систем коммунальной инфраструктуры на 2023-2027гг.»;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«Строительство»; постановление администрации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28.08.2024 №1738 «О порядке предоставления субсидий в целях возмещения на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для подготовки к осенне-зимнему периоду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» (с изменениями); постановление администрации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28.08.2024 №17</w:t>
            </w:r>
            <w:r>
              <w:rPr>
                <w:rFonts w:ascii="Times New Roman CYR" w:eastAsia="Times New Roman" w:hAnsi="Times New Roman CYR" w:cs="Times New Roman CYR"/>
                <w:highlight w:val="white"/>
                <w:lang w:eastAsia="ru-RU"/>
              </w:rPr>
              <w:t>40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О порядке предоставления субсидии в целях возмещения затрат по реализации мероприятий региональной программы модернизации систем коммунальной инфраструктуры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 «УКС», УЖКК</w:t>
            </w:r>
          </w:p>
          <w:p w:rsidR="004F3939" w:rsidRDefault="004F3939">
            <w:pPr>
              <w:jc w:val="both"/>
            </w:pPr>
          </w:p>
        </w:tc>
      </w:tr>
      <w:tr w:rsidR="004F3939">
        <w:trPr>
          <w:trHeight w:val="1193"/>
        </w:trPr>
        <w:tc>
          <w:tcPr>
            <w:tcW w:w="51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 w:val="restart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Протяженность замененных ветхих сетей теплоснабжения, водоснабжения и водоотведения</w:t>
            </w:r>
          </w:p>
          <w:p w:rsidR="004F3939" w:rsidRDefault="004F3939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75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4F3939" w:rsidRDefault="00357B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 Правительства Ханты-Мансийского автономного округа –  Югры от 20.01.2023 №27-п «О региональной программе Ханты-Мансийского автономного округа – Югры «Модернизация систем коммунальной инфраструктуры на 2023-2027гг.»;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Постановление Правительства Ханты-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Мансийского автономного округа – Югры от 10.11.2023 №561-п «О государственной программе Ханты-Мансийского автономного округа – Югры «Строительство»; постановление администрации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28.08.2024 №1738 «О порядке предоставления субсидий в целях возмещения на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для подготовки к осенне-зимнему периоду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» (с изменениями); постановление администрации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28.08.2024 </w:t>
            </w:r>
            <w:r>
              <w:rPr>
                <w:rFonts w:ascii="Times New Roman CYR" w:eastAsia="Times New Roman" w:hAnsi="Times New Roman CYR" w:cs="Times New Roman CYR"/>
                <w:highlight w:val="white"/>
                <w:lang w:eastAsia="ru-RU"/>
              </w:rPr>
              <w:t>№1740 «О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порядке предоставления субсидии в целях возмещения затрат по реализации мероприятий региональной программы модернизации систем коммунальной инфраструктуры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».</w:t>
            </w:r>
          </w:p>
        </w:tc>
        <w:tc>
          <w:tcPr>
            <w:tcW w:w="155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 «УКС», УЖКК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939">
        <w:trPr>
          <w:trHeight w:val="2117"/>
        </w:trPr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пожарных гидрантов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от 05.07.2024 №1787 «О порядке предоставления субсидий на возмещение затрат по проверке работоспособности и ремонту и/или замене пожарных гидрантов, являющихся неотъемлемой частью водопроводной сети,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 (с изменениями).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rPr>
          <w:trHeight w:val="2796"/>
        </w:trPr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построенных сетей газоснабжения для газификации объектов социального назначения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Ежегодное обеспечение сжиженным газом населения в границах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т/год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>3,1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Постановление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– Югры «Строительство».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УЖКК</w:t>
            </w:r>
          </w:p>
        </w:tc>
      </w:tr>
      <w:tr w:rsidR="004F3939">
        <w:tc>
          <w:tcPr>
            <w:tcW w:w="15021" w:type="dxa"/>
            <w:gridSpan w:val="1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Цель 3 Повышение качества и надежности предоставления жилищно-коммунальных услуг населению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многоквартир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Закон Ханты-Мансийского автономного округа – Югры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Югры»;                 Закон Ханты-Мансийского автономного округа – Югры от 06.07.2005 №57-оз «О регулировании отдельных жилищных отношений           в Ханты-Мансийском автономном округе – Югре»; постановление Правительства Ханты-Мансийского автономного округа – Югры от 25.12.2013 №568-п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Погашение задолженности за потребленные топливно-энергетические ресурсы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«Строительство»;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28.08.2024 №1739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 порядке предоставления субсидии из бюджета города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связанных с погашением задолженности за потребленные топливно-энергетические ресурсы</w:t>
            </w:r>
            <w:r>
              <w:rPr>
                <w:rFonts w:ascii="Times New Roman" w:hAnsi="Times New Roman" w:cs="Times New Roman"/>
              </w:rPr>
              <w:t>» (с изменениями).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УЖКК</w:t>
            </w:r>
          </w:p>
        </w:tc>
      </w:tr>
      <w:tr w:rsidR="004F3939">
        <w:tc>
          <w:tcPr>
            <w:tcW w:w="51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Количество восстановленных многоквартирных домов после чрезвычайных ситуаций</w:t>
            </w:r>
          </w:p>
        </w:tc>
        <w:tc>
          <w:tcPr>
            <w:tcW w:w="75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93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Жилищный кодекс Российской Федерации, Закон Ханты-Мансийского автономного округа –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Югры».</w:t>
            </w:r>
          </w:p>
        </w:tc>
        <w:tc>
          <w:tcPr>
            <w:tcW w:w="155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УЖКК</w:t>
            </w:r>
          </w:p>
        </w:tc>
      </w:tr>
    </w:tbl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3.План достижения показателей муниципальной программы в 2025 году</w:t>
      </w:r>
    </w:p>
    <w:p w:rsidR="004F3939" w:rsidRDefault="004F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65"/>
        <w:gridCol w:w="2089"/>
        <w:gridCol w:w="1238"/>
        <w:gridCol w:w="1202"/>
        <w:gridCol w:w="2293"/>
        <w:gridCol w:w="2333"/>
        <w:gridCol w:w="2305"/>
        <w:gridCol w:w="1564"/>
        <w:gridCol w:w="871"/>
      </w:tblGrid>
      <w:tr w:rsidR="004F3939">
        <w:tc>
          <w:tcPr>
            <w:tcW w:w="68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1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12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 ОКЕЙ)</w:t>
            </w:r>
          </w:p>
        </w:tc>
        <w:tc>
          <w:tcPr>
            <w:tcW w:w="9004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876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4F3939">
        <w:tc>
          <w:tcPr>
            <w:tcW w:w="682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876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939">
        <w:trPr>
          <w:trHeight w:val="420"/>
        </w:trPr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F3939">
        <w:tc>
          <w:tcPr>
            <w:tcW w:w="682" w:type="dxa"/>
          </w:tcPr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78" w:type="dxa"/>
            <w:gridSpan w:val="8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Цель 1 Создание условий для комфортного проживания граждан в городе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Мегионе</w:t>
            </w:r>
            <w:proofErr w:type="spellEnd"/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Ежегодное количество отловленных безнадзорных и бродячих животных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  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Площадь, на которой проведены мероприятия по дератизации и дезинсекции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Ежегодное количество снесенного непригодного для проживания жилья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Площадь обслуживаемых магистральных и луговых газонов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тыс.м²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9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детских игровых площадок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Объем потребления 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электроэнергии на уличное освещение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т.кВт</w:t>
            </w:r>
            <w:proofErr w:type="spellEnd"/>
            <w:r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918,3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2238,3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Протяженность обслуживаемых сетей уличного освещения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кладбищ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Общая площадь территории вновь построенного кладбища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1778,7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2934,1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4712,8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Проведенные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противопаводковые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мероприятия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</w:t>
            </w:r>
            <w:proofErr w:type="spellEnd"/>
            <w:r>
              <w:rPr>
                <w:rFonts w:ascii="Times New Roman" w:hAnsi="Times New Roman" w:cs="Times New Roman"/>
              </w:rPr>
              <w:t>./час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объектов, подготовленных к новогодним мероприятиям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площадей и скверов, на которых выполняются работы по содержанию и ремонту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установленных приборов учета энергоресурсов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квартир в которых проведен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капитальный ремонт или реконструкция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F3939">
        <w:tc>
          <w:tcPr>
            <w:tcW w:w="14560" w:type="dxa"/>
            <w:gridSpan w:val="9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Цель 2 Развитие жилищно-коммунального комплекса и повышение энергетической эффективности</w:t>
            </w:r>
          </w:p>
        </w:tc>
      </w:tr>
      <w:tr w:rsidR="004F3939">
        <w:trPr>
          <w:trHeight w:val="1634"/>
        </w:trPr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Доля замены ветхих инженерных сетей теплоснабжения, водоснабжения, водоотведения, в том числе с применением композитных материалов в текущем году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               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4F3939">
        <w:trPr>
          <w:trHeight w:val="1645"/>
        </w:trPr>
        <w:tc>
          <w:tcPr>
            <w:tcW w:w="68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9" w:type="dxa"/>
            <w:vMerge w:val="restart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Протяженность замененных ветхих сетей теплоснабжения, водоснабжения и водоотведения</w:t>
            </w:r>
          </w:p>
        </w:tc>
        <w:tc>
          <w:tcPr>
            <w:tcW w:w="9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438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876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7,38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пожарных гидрантов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построенных сетей газоснабжения для газификации объектов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социального назначения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Ежегодное обеспечение сжиженным газом населения в границах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т/год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4F3939">
        <w:tc>
          <w:tcPr>
            <w:tcW w:w="14560" w:type="dxa"/>
            <w:gridSpan w:val="9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Цель 3 Повышение качества и надежности предоставления жилищно-коммунальных услуг населению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Погашение задолженности за потребленные топливно-энергетические ресурсы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ГП         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F3939">
        <w:tc>
          <w:tcPr>
            <w:tcW w:w="68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19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Количество восстановленных многоквартирных домов после чрезвычайных ситуаций</w:t>
            </w:r>
          </w:p>
        </w:tc>
        <w:tc>
          <w:tcPr>
            <w:tcW w:w="9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20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38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3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F3939" w:rsidRDefault="004F3939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spacing w:after="0" w:line="240" w:lineRule="auto"/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4F3939" w:rsidRDefault="004F39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4.Структура муниципальной программы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51"/>
        <w:gridCol w:w="5215"/>
        <w:gridCol w:w="4061"/>
        <w:gridCol w:w="7"/>
        <w:gridCol w:w="3426"/>
      </w:tblGrid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стабильной благополучной эпизоотической обстановки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защита населения от болезней, общих для человека и животных»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15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санитарного состояния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  <w:p w:rsidR="004F3939" w:rsidRDefault="004F393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939" w:rsidRDefault="004F393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939" w:rsidRDefault="004F393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939" w:rsidRDefault="004F3939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Обеспечение защиты населения от болезней, общих для человека и животных, предупреждение и ликвидация болезней животных и их лечение. Реализация мероприятий по проведению дезинсекции и дератизации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1.«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Ежегодное количество отловленных безнадзорных и бродячих животных», шт. (определяется согласно фактической стоимости отлова, транспортировки, учета, содержания одного безнадзорного и бродячего животного).</w:t>
            </w:r>
          </w:p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2.«Площадь, на которой проведены мероприятия по дератизации и дезинсекции», га (указывается площадь обработанной территории)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единого порядка содержания объектов внешнего благоустройства»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rPr>
          <w:trHeight w:val="60"/>
        </w:trPr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15" w:type="dxa"/>
          </w:tcPr>
          <w:p w:rsidR="004F3939" w:rsidRDefault="00357BC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единого порядка содержания объектов внешнего благоустройства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сетей уличного освещения; содержание кладбища; уход за газонами, закупка, посадка и уход за цветниками; покос травы; противопожарное обустройство лесов вокруг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уборка мусора </w:t>
            </w:r>
            <w:proofErr w:type="spellStart"/>
            <w:r>
              <w:rPr>
                <w:rFonts w:ascii="Times New Roman" w:hAnsi="Times New Roman" w:cs="Times New Roman"/>
              </w:rPr>
              <w:t>пгт.Высокий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; строительство, ремонт площадок, установка нового игрового оборудования на детских площадках; ремонт и содержание площадей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скверов; </w:t>
            </w:r>
            <w:proofErr w:type="spellStart"/>
            <w:r>
              <w:rPr>
                <w:rFonts w:ascii="Times New Roman" w:hAnsi="Times New Roman" w:cs="Times New Roman"/>
              </w:rPr>
              <w:t>противопаводковые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мероприятия; снос гаражей, сараев, ветхих строений, домов; реализация полномочий в области строительства и жилищных отношений; подготовка объектов к новогодним мероприятиям; потребление электроэнергии на уличное освещение; обустройство площадки для выгула собак; дог боксы; услуги по погребению умерших (копка могил); приобретение и установка флажков на опорах освещения улично-дорожной сети города; приобретение товаров в рамках подготовки к празднованию 80-летия Победы в ВОВ.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3.«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>Ежегодное количество снесенного непригодного для проживания жилья», шт. (показатель определяется согласно составленным дефектным ведомостям и локальным сметным расчетам в рамках предусмотренного объема финансирования на данные цели).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Показатель 4.«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Площадь обслуживаемых магистральных и луговых газонов»,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тыс.м</w:t>
            </w:r>
            <w:proofErr w:type="spellEnd"/>
            <w:r>
              <w:rPr>
                <w:rFonts w:ascii="Times New Roman CYR" w:eastAsia="Times New Roman" w:hAnsi="Times New Roman CYR" w:cs="Times New Roman CYR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625" cy="142875"/>
                      <wp:effectExtent l="0" t="0" r="9525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2574507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.75pt;height:11.25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(указывается общая площадь магистральных и луговых газонов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, на которой выполняются работы).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5.«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обслуживаемых детских игровых площадок», шт. (указывается количество детских игровых площадок, состоящих в реестре муниципальной собственности).</w:t>
            </w:r>
          </w:p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6.«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Объем потребления 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электроэнергии на уличное освещение»,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т.кВт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>/ч (указывается объем потребляемой электрической энергии на уличное освещение, согласно показаниям приборов учета электрической энергии).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7.«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Протяженность обслуживаемых сетей уличного освещения», км (указывается общая протяженность сетей уличного освещения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8.«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Количество обслуживаемых кладбищ», шт. (указывается общее количество кладбищ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, на которых выполняются работы).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10.«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Проведенные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противопаводковые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мероприятия»,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маш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./час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(указывается объем талых вод, откаченных мотопомпой и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илососной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машиной, согласно дефектной ведомости на оказание услуг по выполнению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противопаводковых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мероприятий в соответствии с заключаемым ежегодно муниципальным контрактом).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11.«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>Количество объектов, подготовленных к новогодним мероприятиям», шт. (указывается количество построенных объектов в рамках подготовки к новогодним мероприятиям в соответствии с заключаемым ежегодно муниципальным контрактом).</w:t>
            </w:r>
          </w:p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12.«Количество площадей и скверов, на которых выполняются работы по содержанию и ремонту», шт.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(указывается количество площадей и скверов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, на которых выполняются работы в рамках предусмотренного объема финансирования на данные цели)</w:t>
            </w:r>
          </w:p>
        </w:tc>
      </w:tr>
      <w:tr w:rsidR="004F3939">
        <w:trPr>
          <w:trHeight w:val="60"/>
        </w:trPr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 кладбища»</w:t>
            </w:r>
          </w:p>
        </w:tc>
      </w:tr>
      <w:tr w:rsidR="004F3939">
        <w:trPr>
          <w:trHeight w:val="60"/>
        </w:trPr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«УКС»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rPr>
          <w:trHeight w:val="60"/>
        </w:trPr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единого порядка содержания объектов внешнего благоустройства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Строительство объекта: «Городское кладбище (2-я очередь)»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9.«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Общая площадь территории вновь построенного кладбища», м</w:t>
            </w:r>
            <w:r>
              <w:rPr>
                <w:rFonts w:ascii="Times New Roman CYR" w:eastAsia="Times New Roman" w:hAnsi="Times New Roman CYR" w:cs="Times New Roman CYR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625" cy="142875"/>
                      <wp:effectExtent l="0" t="0" r="9525" b="0"/>
                      <wp:docPr id="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8451918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.75pt;height:11.25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(указывается площадь территории вновь построенного кладбища, согласно разработанной проектной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документации/по факту выполненных работ)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«Реконструкция, расширение, модернизация, строительство и капитальный ремонт объектов коммунального комплекса»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«УКС», 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систем коммунальной инфраструктуры на основе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экологически чистых технологий, строительство объектов коммунального комплекса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Субсидия на реализацию полномочий в сфере жилищно-коммунального комплекса (капитальный ремонт (с заменой) газопроводов, систем теплоснабжения, водоснабжения и водоотведения с целью подготовки к осенне-зимнему периоду (приложение к муниципальной программе); обслуживание и ремонт пожарных гидрантов; разработка ТЭБ; разработка программы комплексного развития; актуализация схем теплоснабжения, водоснабжения и водоотведения; разработка документации по противопожарному водопроводу.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highlight w:val="white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Показатель 15. «Д</w:t>
            </w:r>
            <w:r>
              <w:rPr>
                <w:rFonts w:ascii="Times New Roman" w:hAnsi="Times New Roman" w:cs="Times New Roman"/>
              </w:rPr>
              <w:t>оля замены ветхих инженерных сетей теплоснабжения, водоснабжения, водоотведения, в том числе с применением композитных материалов в текущем году от общей протяженности ветхих инженерных сетей теплоснабжения, водоснабжения, водоотв</w:t>
            </w:r>
            <w:r>
              <w:rPr>
                <w:rFonts w:ascii="Times New Roman" w:hAnsi="Times New Roman" w:cs="Times New Roman"/>
                <w:highlight w:val="white"/>
              </w:rPr>
              <w:t>едения</w:t>
            </w:r>
            <w:r>
              <w:rPr>
                <w:rFonts w:ascii="Times New Roman CYR" w:eastAsia="Times New Roman" w:hAnsi="Times New Roman CYR" w:cs="Times New Roman CYR"/>
                <w:highlight w:val="white"/>
                <w:lang w:eastAsia="ru-RU"/>
              </w:rPr>
              <w:t>» (указывается процент отремонтированных инженерных сетей от общей протяженности тепловых сетей).</w:t>
            </w:r>
          </w:p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16.«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Протяженность замененных ветхих сетей теплоснабжения, водоснабжения и водоотведения», км (указывается протяженность отремонтированных инженерных сетей в рамках подготовки к осенне-зимнему периоду).                               Показатель </w:t>
            </w:r>
            <w:proofErr w:type="gram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17.«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Количество обслуживаемых пожарных гидрантов», шт. (указывается общее количество пожарных гидрантов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).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Показатель 18.«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Протяженность построенных сетей газоснабжения для газификации объектов социального назначения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», м (указывается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протяженность построенных сетей газоснабжения для газификации объектов социального назначения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«Модернизация коммунальной инфраструктуры»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2025-2027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систем коммунальной инфраструктуры на основе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экологически чистых технологий, строительство объектов коммунального комплекса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Субсидия на возмещение затрат по реализации мероприятий региональной программы модернизации систем коммунальной инфраструктуры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;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Показатель 15. «Д</w:t>
            </w:r>
            <w:r>
              <w:rPr>
                <w:rFonts w:ascii="Times New Roman" w:hAnsi="Times New Roman" w:cs="Times New Roman"/>
              </w:rPr>
              <w:t>оля замены ветхих инженерных сетей теплоснабжения, водоснабжения, водоотведения, в том числе с применением композитных материалов в текущем году от общей протяженности ветхих инженерных сетей теплоснабжения, водоснабжения, водоотведения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».    </w:t>
            </w:r>
          </w:p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Показатель 16.«Протяженность замененных ветхих сетей теплоснабжения, водоснабжения и водоотведения», км (указывается протяженность отремонтированных инженерных сетей в рамках подготовки к осенне-зимнему периоду)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Субсидии организациям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Предоставление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ценам.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Показатель 19.«Ежегодное обеспечение сжиженным газом населения в границах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», т/год (определяется исходя из фактического объема реализованного населению сжиженного газа, согласно предоставленным документам на получение субсидии)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Предоставление субсидии из бюджета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тепло-, водоснабжения и водоотведения и оказывающих коммунальные услуги населению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, связанных с погашением задолженности за потребленные топливно-энергетические ресурсы»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Субсидии организациям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Предоставление субсидии в целях 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финансового обеспечения </w:t>
            </w:r>
            <w:r>
              <w:rPr>
                <w:rFonts w:ascii="Times New Roman" w:hAnsi="Times New Roman" w:cs="Times New Roman"/>
              </w:rPr>
              <w:t>затрат, связанных с погашением задолженности за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потребленные топливно-энергетические ресурсы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Показатель </w:t>
            </w:r>
            <w:proofErr w:type="gram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21.«</w:t>
            </w:r>
            <w:proofErr w:type="gramEnd"/>
            <w:r>
              <w:rPr>
                <w:rFonts w:ascii="Times New Roman CYR" w:eastAsia="Times New Roman" w:hAnsi="Times New Roman CYR" w:cs="Times New Roman CYR"/>
                <w:lang w:eastAsia="ru-RU"/>
              </w:rPr>
              <w:t>Погашение задолженности за потребленные топливно-энергетические ресурсы», % (размер финансового обеспечения затрат, связанных с погашением задолженности за потребленные топливно-энергетические ресурсы, определяется по формуле:</w:t>
            </w:r>
          </w:p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суб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. = С э (г)., где</w:t>
            </w:r>
          </w:p>
          <w:p w:rsidR="004F3939" w:rsidRDefault="00357BC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Р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суб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. - размер финансового обеспечения затрат, связанных с погашением задолженности за потребленные топливно-энергетические ресурсы, руб.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 э (г). - размер задолженности за потребленную электрическую энергию (газ) по договору поставки электрической энергии (газа) (на основании счет-фактур, акта сверки взаимных расчётов с гарантирующим поставщиком электрической энергии (газа), руб. 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«Возмещение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Субсидии организациям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4068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Возмещение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организациям, осуществляющим регулируемый вид деятельности в сфере тепло-, водоснабжения и водоотведения, </w:t>
            </w:r>
            <w:r>
              <w:rPr>
                <w:rFonts w:ascii="Times New Roman" w:hAnsi="Times New Roman" w:cs="Times New Roman"/>
              </w:rPr>
              <w:lastRenderedPageBreak/>
              <w:t>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426" w:type="dxa"/>
          </w:tcPr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Энергосбережение в бюджетной сфере»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«УКС»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Энергосбережение в бюджетной сфере, энергосбережение в жилищной сфере</w:t>
            </w: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Оснащение индивидуальными и общедомовыми приборами учета энергоресурсов жилого фонда (установка и замена вышедших из строя)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13.«Количество установленных приборов учета энергоресурсов», шт. (определяется согласно фактической стоимости приобретения, установки приборов учета по видам ресурсов в соответствии с заключенными муниципальными контрактами в рамках предусмотренного объема финансирования на данные цели)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Капитальный ремонт, реконструкция и ремонт муниципального жилого фонда»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«УКС»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Выполнение капитального ремонта с внедрением современных строительных материалов</w:t>
            </w: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Капитальный ремонт, реконструкция и ремонт муниципального жилищного фонда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14.«Количество муниципальных квартир в которых проведен капитальный ремонт или реконструкция», кв. (указывается количество муниципальных квартир, в которых проведены данные работы)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709" w:type="dxa"/>
            <w:gridSpan w:val="4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Муниципальная поддержка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Мегиона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</w:p>
        </w:tc>
      </w:tr>
      <w:tr w:rsidR="004F3939">
        <w:tc>
          <w:tcPr>
            <w:tcW w:w="7066" w:type="dxa"/>
            <w:gridSpan w:val="2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УЖКК</w:t>
            </w:r>
          </w:p>
        </w:tc>
        <w:tc>
          <w:tcPr>
            <w:tcW w:w="7494" w:type="dxa"/>
            <w:gridSpan w:val="3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Срок реализации: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4F3939">
        <w:tc>
          <w:tcPr>
            <w:tcW w:w="1851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15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Выполнение капитального ремонта с внедрением современных строительных материалов, повышение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эффективности управления и содержания общего имущества многоквартирных домов</w:t>
            </w:r>
          </w:p>
        </w:tc>
        <w:tc>
          <w:tcPr>
            <w:tcW w:w="4061" w:type="dxa"/>
          </w:tcPr>
          <w:p w:rsidR="004F3939" w:rsidRDefault="00357BC5">
            <w:pPr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Муниципальная поддержка капитального ремонта общего имущества в многоквартирных домах,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расположенных на территории муниципального образования автономного округа, осуществляемого  в соответствии с программой капитального ремонта общего имущества в многоквартирных домах, расположенных на территории автономного округа, утвержденной постановлением Правительства Ханты-Мансийского автономного округа – Югры от 25.12.2013 №568-п</w:t>
            </w:r>
          </w:p>
        </w:tc>
        <w:tc>
          <w:tcPr>
            <w:tcW w:w="3433" w:type="dxa"/>
            <w:gridSpan w:val="2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Показатель 20.«Доля многоквартирных домов, в которых проведен ремонт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краткосрочным планом реализации региональной программы капитального ремонта общего имущества в многоквартирных домах», % (расчет осуществляется по формуле: Д(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.)=К(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.)/К(общ.)*100, где Д(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 – 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домах; К(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.) – количество многоквартирных домов. На которых проведены работы по капитальному ремонту в плановом году; К(общ.) – количество многоквартирных домов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запланированных к выполнению работ по капитальному ремонту в соответствии с краткосрочным планом в плановом году).</w:t>
            </w:r>
          </w:p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Показатель 22.«Количество восстановленных многоквартирных домов после чрезвычайных ситуаций»</w:t>
            </w:r>
          </w:p>
        </w:tc>
      </w:tr>
    </w:tbl>
    <w:p w:rsidR="004F3939" w:rsidRDefault="00357BC5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</w:p>
    <w:p w:rsidR="004F3939" w:rsidRDefault="004F3939">
      <w:pPr>
        <w:jc w:val="both"/>
        <w:rPr>
          <w:rFonts w:ascii="Times New Roman" w:hAnsi="Times New Roman" w:cs="Times New Roman"/>
        </w:rPr>
      </w:pPr>
    </w:p>
    <w:p w:rsidR="004F3939" w:rsidRDefault="004F3939">
      <w:pPr>
        <w:jc w:val="both"/>
        <w:rPr>
          <w:rFonts w:ascii="Times New Roman" w:hAnsi="Times New Roman" w:cs="Times New Roman"/>
        </w:rPr>
      </w:pPr>
    </w:p>
    <w:p w:rsidR="004F3939" w:rsidRDefault="004F3939">
      <w:pPr>
        <w:jc w:val="center"/>
        <w:rPr>
          <w:rFonts w:ascii="Times New Roman" w:hAnsi="Times New Roman" w:cs="Times New Roman"/>
        </w:rPr>
      </w:pPr>
    </w:p>
    <w:p w:rsidR="004F3939" w:rsidRDefault="004F3939">
      <w:pPr>
        <w:jc w:val="center"/>
        <w:rPr>
          <w:rFonts w:ascii="Times New Roman" w:hAnsi="Times New Roman" w:cs="Times New Roman"/>
        </w:rPr>
      </w:pPr>
    </w:p>
    <w:p w:rsidR="004F3939" w:rsidRDefault="004F3939">
      <w:pPr>
        <w:jc w:val="center"/>
        <w:rPr>
          <w:rFonts w:ascii="Times New Roman" w:hAnsi="Times New Roman" w:cs="Times New Roman"/>
        </w:rPr>
      </w:pPr>
    </w:p>
    <w:p w:rsidR="004F3939" w:rsidRDefault="004F39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939" w:rsidRDefault="00357B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5.Финансовое обеспечение муниципальной программы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22"/>
        <w:gridCol w:w="1417"/>
        <w:gridCol w:w="1417"/>
        <w:gridCol w:w="1276"/>
        <w:gridCol w:w="1417"/>
        <w:gridCol w:w="1559"/>
        <w:gridCol w:w="1559"/>
      </w:tblGrid>
      <w:tr w:rsidR="004F3939">
        <w:trPr>
          <w:gridAfter w:val="7"/>
          <w:wAfter w:w="10067" w:type="dxa"/>
          <w:trHeight w:val="253"/>
        </w:trPr>
        <w:tc>
          <w:tcPr>
            <w:tcW w:w="3964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</w:tr>
      <w:tr w:rsidR="004F3939">
        <w:tc>
          <w:tcPr>
            <w:tcW w:w="3964" w:type="dxa"/>
            <w:vMerge/>
          </w:tcPr>
          <w:p w:rsidR="004F3939" w:rsidRDefault="004F39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жилищно-коммунального комплекса и повышение энергетической эффективности в городе </w:t>
            </w:r>
            <w:proofErr w:type="spellStart"/>
            <w:r>
              <w:rPr>
                <w:rFonts w:ascii="Times New Roman" w:hAnsi="Times New Roman" w:cs="Times New Roman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569 277,0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415 116,7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413 117,0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413 025,7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413 025,7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413 025,7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2 636 587,8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7 553,0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8 119,5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54 729,3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385 641,7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259 606,9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255 705,7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255 703,0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255 703,0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255 703,0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1 668 063,3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176 082,3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147 390,3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147 647,1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147 558,5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147 558,5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147 558,5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913 795,2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67 580,4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49 302,9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49 301,1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49 301,1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49 301,1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49301,1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314 087,7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7 553,0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8 119,5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54 729,3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49 890,2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33 787,9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32 141,7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32 141,7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32 141,7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32 141,7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212 244,9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10 137,2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7 395,5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7 395,2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7 395,2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7 395,2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7 395,2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47 113,5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стабильной благополучной эпизоотической обстановки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Мегионе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защита населения от болезней, общих для человека и животных»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5 392,6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1 678,6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1 678,6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1 615,9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13 657,5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4 332,6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1 618,6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1 618,6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1 615,9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1 615,9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1 615,9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12 417,5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240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единого порядка содержания объектов внешнего благоустройства»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82 305.6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68 949,3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431 185.3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82 305.6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68 949,3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69 982,6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431 185.3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 кладбища»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20 283,8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146 370,8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20 283,8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25 217,4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146 370,8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«Реконструкция, расширение, модернизация, строительство и капитальный ремонт объектов коммунального комплекса»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245 094,0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223 980,0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217 888,6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217 888,6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217 888,6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217 888,6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1 340 628,4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193 349,1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188 598,8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183 421,1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183 421,1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183 421,1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183 421,1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1 115 632,3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51 744,9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35 381,2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34 467,5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34 467,5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34 467,5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34 467,5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224 996,1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4 513,3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4 643,9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28 278,4</w:t>
            </w:r>
          </w:p>
        </w:tc>
      </w:tr>
      <w:tr w:rsidR="004F3939">
        <w:trPr>
          <w:trHeight w:val="437"/>
        </w:trPr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 автономного округа 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4 513,3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4 643,9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4 780,3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28 278,4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939">
        <w:trPr>
          <w:trHeight w:val="671"/>
        </w:trPr>
        <w:tc>
          <w:tcPr>
            <w:tcW w:w="3964" w:type="dxa"/>
            <w:vMerge w:val="restart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«Предоставление субсидии из бюджета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связанных с погашением задолженности за потребленные топливно-энергетические ресурсы»</w:t>
            </w:r>
          </w:p>
        </w:tc>
        <w:tc>
          <w:tcPr>
            <w:tcW w:w="142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105 154,9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105 154,9</w:t>
            </w:r>
          </w:p>
        </w:tc>
      </w:tr>
      <w:tr w:rsidR="004F3939">
        <w:trPr>
          <w:trHeight w:val="662"/>
        </w:trPr>
        <w:tc>
          <w:tcPr>
            <w:tcW w:w="3964" w:type="dxa"/>
            <w:vMerge w:val="restart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22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105 154,9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105 154,9</w:t>
            </w: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  <w:p w:rsidR="004F3939" w:rsidRDefault="004F3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3939">
        <w:trPr>
          <w:trHeight w:val="3543"/>
        </w:trPr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«Возмещение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35 502,1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38 697,2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42 180,0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42 180,0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42 180,0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42 180,0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242 919,3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28 401,6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30 957,7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33 744,0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33 744,0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33 744,0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33 744,0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194 335,3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7 100,5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7 739,5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8 436,0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8 436,0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8 436,0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8 436,0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48 584,0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Энергосбережение в бюджетной сфере»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1 038,5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1 038,5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Капитальный ремонт, реконструкция и ремонт муниципального жилого фонда»</w:t>
            </w:r>
            <w:r>
              <w:rPr>
                <w:rFonts w:ascii="Times New Roman CYR" w:eastAsia="Times New Roman" w:hAnsi="Times New Roman CYR" w:cs="Times New Roman CYR"/>
                <w:bCs/>
                <w:color w:val="26282F"/>
                <w:lang w:eastAsia="ru-RU"/>
              </w:rPr>
              <w:t xml:space="preserve"> (всего), в том числе: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2 467,0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13 267,0</w:t>
            </w:r>
          </w:p>
        </w:tc>
      </w:tr>
      <w:tr w:rsidR="004F3939">
        <w:tc>
          <w:tcPr>
            <w:tcW w:w="3964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22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2 467,0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276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1 830,0</w:t>
            </w:r>
          </w:p>
        </w:tc>
        <w:tc>
          <w:tcPr>
            <w:tcW w:w="1417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1 890,0</w:t>
            </w:r>
          </w:p>
        </w:tc>
        <w:tc>
          <w:tcPr>
            <w:tcW w:w="1559" w:type="dxa"/>
          </w:tcPr>
          <w:p w:rsidR="004F3939" w:rsidRDefault="0035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13 267,0</w:t>
            </w:r>
          </w:p>
        </w:tc>
      </w:tr>
    </w:tbl>
    <w:p w:rsidR="004F3939" w:rsidRDefault="00357BC5">
      <w:pPr>
        <w:ind w:left="13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4F3939" w:rsidRDefault="004F39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39" w:rsidRDefault="004F39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39" w:rsidRDefault="004F39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39" w:rsidRDefault="004F39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39" w:rsidRDefault="004F39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F3939">
      <w:headerReference w:type="default" r:id="rId20"/>
      <w:pgSz w:w="16838" w:h="11906" w:orient="landscape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C5" w:rsidRDefault="00357BC5">
      <w:pPr>
        <w:spacing w:after="0" w:line="240" w:lineRule="auto"/>
      </w:pPr>
      <w:r>
        <w:separator/>
      </w:r>
    </w:p>
  </w:endnote>
  <w:endnote w:type="continuationSeparator" w:id="0">
    <w:p w:rsidR="00357BC5" w:rsidRDefault="003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39" w:rsidRDefault="004F3939">
    <w:pPr>
      <w:pStyle w:val="af9"/>
      <w:jc w:val="center"/>
    </w:pPr>
  </w:p>
  <w:p w:rsidR="004F3939" w:rsidRDefault="004F393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C5" w:rsidRDefault="00357BC5">
      <w:pPr>
        <w:spacing w:after="0" w:line="240" w:lineRule="auto"/>
      </w:pPr>
      <w:r>
        <w:separator/>
      </w:r>
    </w:p>
  </w:footnote>
  <w:footnote w:type="continuationSeparator" w:id="0">
    <w:p w:rsidR="00357BC5" w:rsidRDefault="0035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39" w:rsidRDefault="004F3939">
    <w:pPr>
      <w:pStyle w:val="af7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702235"/>
      <w:docPartObj>
        <w:docPartGallery w:val="Page Numbers (Top of Page)"/>
        <w:docPartUnique/>
      </w:docPartObj>
    </w:sdtPr>
    <w:sdtEndPr/>
    <w:sdtContent>
      <w:p w:rsidR="004F3939" w:rsidRDefault="004F3939">
        <w:pPr>
          <w:pStyle w:val="af7"/>
          <w:jc w:val="center"/>
        </w:pPr>
      </w:p>
      <w:p w:rsidR="004F3939" w:rsidRDefault="004F3939">
        <w:pPr>
          <w:pStyle w:val="af7"/>
          <w:jc w:val="center"/>
        </w:pPr>
      </w:p>
      <w:p w:rsidR="004F3939" w:rsidRDefault="00437A4E">
        <w:pPr>
          <w:pStyle w:val="af7"/>
          <w:jc w:val="center"/>
        </w:pPr>
      </w:p>
    </w:sdtContent>
  </w:sdt>
  <w:p w:rsidR="004F3939" w:rsidRDefault="004F3939">
    <w:pPr>
      <w:pStyle w:val="a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617073"/>
      <w:docPartObj>
        <w:docPartGallery w:val="Page Numbers (Top of Page)"/>
        <w:docPartUnique/>
      </w:docPartObj>
    </w:sdtPr>
    <w:sdtEndPr/>
    <w:sdtContent>
      <w:p w:rsidR="004F3939" w:rsidRDefault="004F3939">
        <w:pPr>
          <w:pStyle w:val="af7"/>
          <w:jc w:val="center"/>
        </w:pPr>
      </w:p>
      <w:p w:rsidR="004F3939" w:rsidRDefault="004F3939">
        <w:pPr>
          <w:pStyle w:val="af7"/>
          <w:jc w:val="center"/>
        </w:pPr>
      </w:p>
      <w:p w:rsidR="004F3939" w:rsidRDefault="004F3939">
        <w:pPr>
          <w:pStyle w:val="af7"/>
          <w:jc w:val="center"/>
        </w:pPr>
      </w:p>
      <w:p w:rsidR="004F3939" w:rsidRDefault="00357BC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A4E">
          <w:rPr>
            <w:noProof/>
          </w:rPr>
          <w:t>24</w:t>
        </w:r>
        <w:r>
          <w:fldChar w:fldCharType="end"/>
        </w:r>
      </w:p>
    </w:sdtContent>
  </w:sdt>
  <w:p w:rsidR="004F3939" w:rsidRDefault="004F3939">
    <w:pPr>
      <w:pStyle w:val="af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000"/>
    <w:multiLevelType w:val="hybridMultilevel"/>
    <w:tmpl w:val="6158C576"/>
    <w:lvl w:ilvl="0" w:tplc="C228F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22573A">
      <w:start w:val="1"/>
      <w:numFmt w:val="decimal"/>
      <w:lvlText w:val=""/>
      <w:lvlJc w:val="left"/>
      <w:rPr>
        <w:rFonts w:cs="Times New Roman"/>
      </w:rPr>
    </w:lvl>
    <w:lvl w:ilvl="2" w:tplc="B6DC9288">
      <w:start w:val="1"/>
      <w:numFmt w:val="decimal"/>
      <w:lvlText w:val=""/>
      <w:lvlJc w:val="left"/>
      <w:rPr>
        <w:rFonts w:cs="Times New Roman"/>
      </w:rPr>
    </w:lvl>
    <w:lvl w:ilvl="3" w:tplc="D4766DFA">
      <w:start w:val="1"/>
      <w:numFmt w:val="decimal"/>
      <w:lvlText w:val=""/>
      <w:lvlJc w:val="left"/>
      <w:rPr>
        <w:rFonts w:cs="Times New Roman"/>
      </w:rPr>
    </w:lvl>
    <w:lvl w:ilvl="4" w:tplc="A06482F2">
      <w:start w:val="1"/>
      <w:numFmt w:val="decimal"/>
      <w:lvlText w:val=""/>
      <w:lvlJc w:val="left"/>
      <w:rPr>
        <w:rFonts w:cs="Times New Roman"/>
      </w:rPr>
    </w:lvl>
    <w:lvl w:ilvl="5" w:tplc="ED36EE84">
      <w:start w:val="1"/>
      <w:numFmt w:val="decimal"/>
      <w:lvlText w:val=""/>
      <w:lvlJc w:val="left"/>
      <w:rPr>
        <w:rFonts w:cs="Times New Roman"/>
      </w:rPr>
    </w:lvl>
    <w:lvl w:ilvl="6" w:tplc="EAAC63CE">
      <w:start w:val="1"/>
      <w:numFmt w:val="decimal"/>
      <w:lvlText w:val=""/>
      <w:lvlJc w:val="left"/>
      <w:rPr>
        <w:rFonts w:cs="Times New Roman"/>
      </w:rPr>
    </w:lvl>
    <w:lvl w:ilvl="7" w:tplc="5C6E5BFA">
      <w:start w:val="1"/>
      <w:numFmt w:val="decimal"/>
      <w:lvlText w:val=""/>
      <w:lvlJc w:val="left"/>
      <w:rPr>
        <w:rFonts w:cs="Times New Roman"/>
      </w:rPr>
    </w:lvl>
    <w:lvl w:ilvl="8" w:tplc="F88A8B06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5425AD"/>
    <w:multiLevelType w:val="hybridMultilevel"/>
    <w:tmpl w:val="2B941328"/>
    <w:lvl w:ilvl="0" w:tplc="3B163A5C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368AC6F8">
      <w:start w:val="1"/>
      <w:numFmt w:val="decimal"/>
      <w:lvlText w:val=""/>
      <w:lvlJc w:val="left"/>
      <w:rPr>
        <w:rFonts w:cs="Times New Roman"/>
      </w:rPr>
    </w:lvl>
    <w:lvl w:ilvl="2" w:tplc="BB925A30">
      <w:start w:val="1"/>
      <w:numFmt w:val="decimal"/>
      <w:lvlText w:val=""/>
      <w:lvlJc w:val="left"/>
      <w:rPr>
        <w:rFonts w:cs="Times New Roman"/>
      </w:rPr>
    </w:lvl>
    <w:lvl w:ilvl="3" w:tplc="4C6091EC">
      <w:start w:val="1"/>
      <w:numFmt w:val="decimal"/>
      <w:lvlText w:val=""/>
      <w:lvlJc w:val="left"/>
      <w:rPr>
        <w:rFonts w:cs="Times New Roman"/>
      </w:rPr>
    </w:lvl>
    <w:lvl w:ilvl="4" w:tplc="94DEA2F4">
      <w:start w:val="1"/>
      <w:numFmt w:val="decimal"/>
      <w:lvlText w:val=""/>
      <w:lvlJc w:val="left"/>
      <w:rPr>
        <w:rFonts w:cs="Times New Roman"/>
      </w:rPr>
    </w:lvl>
    <w:lvl w:ilvl="5" w:tplc="E7EE5CF8">
      <w:start w:val="1"/>
      <w:numFmt w:val="decimal"/>
      <w:lvlText w:val=""/>
      <w:lvlJc w:val="left"/>
      <w:rPr>
        <w:rFonts w:cs="Times New Roman"/>
      </w:rPr>
    </w:lvl>
    <w:lvl w:ilvl="6" w:tplc="28104FC6">
      <w:start w:val="1"/>
      <w:numFmt w:val="decimal"/>
      <w:lvlText w:val=""/>
      <w:lvlJc w:val="left"/>
      <w:rPr>
        <w:rFonts w:cs="Times New Roman"/>
      </w:rPr>
    </w:lvl>
    <w:lvl w:ilvl="7" w:tplc="B380E3A2">
      <w:start w:val="1"/>
      <w:numFmt w:val="decimal"/>
      <w:lvlText w:val=""/>
      <w:lvlJc w:val="left"/>
      <w:rPr>
        <w:rFonts w:cs="Times New Roman"/>
      </w:rPr>
    </w:lvl>
    <w:lvl w:ilvl="8" w:tplc="430A478E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6E24B6"/>
    <w:multiLevelType w:val="hybridMultilevel"/>
    <w:tmpl w:val="09A8F2BE"/>
    <w:lvl w:ilvl="0" w:tplc="0F966BEA">
      <w:start w:val="1"/>
      <w:numFmt w:val="decimal"/>
      <w:suff w:val="space"/>
      <w:lvlText w:val="Глава %1"/>
      <w:lvlJc w:val="left"/>
    </w:lvl>
    <w:lvl w:ilvl="1" w:tplc="53AC7412">
      <w:start w:val="1"/>
      <w:numFmt w:val="none"/>
      <w:suff w:val="nothing"/>
      <w:lvlText w:val=""/>
      <w:lvlJc w:val="left"/>
    </w:lvl>
    <w:lvl w:ilvl="2" w:tplc="79C60D0C">
      <w:start w:val="1"/>
      <w:numFmt w:val="none"/>
      <w:suff w:val="nothing"/>
      <w:lvlText w:val=""/>
      <w:lvlJc w:val="left"/>
    </w:lvl>
    <w:lvl w:ilvl="3" w:tplc="D5DCDAC4">
      <w:start w:val="1"/>
      <w:numFmt w:val="none"/>
      <w:suff w:val="nothing"/>
      <w:lvlText w:val=""/>
      <w:lvlJc w:val="left"/>
    </w:lvl>
    <w:lvl w:ilvl="4" w:tplc="0C06B516">
      <w:start w:val="1"/>
      <w:numFmt w:val="none"/>
      <w:suff w:val="nothing"/>
      <w:lvlText w:val=""/>
      <w:lvlJc w:val="left"/>
    </w:lvl>
    <w:lvl w:ilvl="5" w:tplc="9A94C6E2">
      <w:start w:val="1"/>
      <w:numFmt w:val="none"/>
      <w:suff w:val="nothing"/>
      <w:lvlText w:val=""/>
      <w:lvlJc w:val="left"/>
    </w:lvl>
    <w:lvl w:ilvl="6" w:tplc="621678BC">
      <w:start w:val="1"/>
      <w:numFmt w:val="none"/>
      <w:suff w:val="nothing"/>
      <w:lvlText w:val=""/>
      <w:lvlJc w:val="left"/>
    </w:lvl>
    <w:lvl w:ilvl="7" w:tplc="4822B0E2">
      <w:start w:val="1"/>
      <w:numFmt w:val="none"/>
      <w:suff w:val="nothing"/>
      <w:lvlText w:val=""/>
      <w:lvlJc w:val="left"/>
    </w:lvl>
    <w:lvl w:ilvl="8" w:tplc="527492D8">
      <w:start w:val="1"/>
      <w:numFmt w:val="none"/>
      <w:suff w:val="nothing"/>
      <w:lvlText w:val=""/>
      <w:lvlJc w:val="left"/>
    </w:lvl>
  </w:abstractNum>
  <w:abstractNum w:abstractNumId="3" w15:restartNumberingAfterBreak="0">
    <w:nsid w:val="1C59456D"/>
    <w:multiLevelType w:val="hybridMultilevel"/>
    <w:tmpl w:val="4ABCA0AA"/>
    <w:lvl w:ilvl="0" w:tplc="45B246C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2A0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2E97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3A3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4C1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2CF2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842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EC5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6003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240FA4"/>
    <w:multiLevelType w:val="hybridMultilevel"/>
    <w:tmpl w:val="64EC2984"/>
    <w:lvl w:ilvl="0" w:tplc="F22051D8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4DF4F260">
      <w:start w:val="1"/>
      <w:numFmt w:val="decimal"/>
      <w:lvlText w:val=""/>
      <w:lvlJc w:val="left"/>
      <w:rPr>
        <w:rFonts w:cs="Times New Roman"/>
      </w:rPr>
    </w:lvl>
    <w:lvl w:ilvl="2" w:tplc="DC8A5A1E">
      <w:start w:val="1"/>
      <w:numFmt w:val="decimal"/>
      <w:lvlText w:val=""/>
      <w:lvlJc w:val="left"/>
      <w:rPr>
        <w:rFonts w:cs="Times New Roman"/>
      </w:rPr>
    </w:lvl>
    <w:lvl w:ilvl="3" w:tplc="C32294A0">
      <w:start w:val="1"/>
      <w:numFmt w:val="decimal"/>
      <w:lvlText w:val=""/>
      <w:lvlJc w:val="left"/>
      <w:rPr>
        <w:rFonts w:cs="Times New Roman"/>
      </w:rPr>
    </w:lvl>
    <w:lvl w:ilvl="4" w:tplc="3D0A39C2">
      <w:start w:val="1"/>
      <w:numFmt w:val="decimal"/>
      <w:lvlText w:val=""/>
      <w:lvlJc w:val="left"/>
      <w:rPr>
        <w:rFonts w:cs="Times New Roman"/>
      </w:rPr>
    </w:lvl>
    <w:lvl w:ilvl="5" w:tplc="26EA60CA">
      <w:start w:val="1"/>
      <w:numFmt w:val="decimal"/>
      <w:lvlText w:val=""/>
      <w:lvlJc w:val="left"/>
      <w:rPr>
        <w:rFonts w:cs="Times New Roman"/>
      </w:rPr>
    </w:lvl>
    <w:lvl w:ilvl="6" w:tplc="8ED0607E">
      <w:start w:val="1"/>
      <w:numFmt w:val="decimal"/>
      <w:lvlText w:val=""/>
      <w:lvlJc w:val="left"/>
      <w:rPr>
        <w:rFonts w:cs="Times New Roman"/>
      </w:rPr>
    </w:lvl>
    <w:lvl w:ilvl="7" w:tplc="551EBB36">
      <w:start w:val="1"/>
      <w:numFmt w:val="decimal"/>
      <w:lvlText w:val=""/>
      <w:lvlJc w:val="left"/>
      <w:rPr>
        <w:rFonts w:cs="Times New Roman"/>
      </w:rPr>
    </w:lvl>
    <w:lvl w:ilvl="8" w:tplc="B172F448">
      <w:start w:val="1"/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F713D81"/>
    <w:multiLevelType w:val="hybridMultilevel"/>
    <w:tmpl w:val="7CCC3792"/>
    <w:lvl w:ilvl="0" w:tplc="5378B394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EB048CA6">
      <w:start w:val="1"/>
      <w:numFmt w:val="decimal"/>
      <w:lvlText w:val=""/>
      <w:lvlJc w:val="left"/>
      <w:rPr>
        <w:rFonts w:cs="Times New Roman"/>
      </w:rPr>
    </w:lvl>
    <w:lvl w:ilvl="2" w:tplc="21F87C4E">
      <w:start w:val="1"/>
      <w:numFmt w:val="decimal"/>
      <w:lvlText w:val=""/>
      <w:lvlJc w:val="left"/>
      <w:rPr>
        <w:rFonts w:cs="Times New Roman"/>
      </w:rPr>
    </w:lvl>
    <w:lvl w:ilvl="3" w:tplc="566E55B6">
      <w:start w:val="1"/>
      <w:numFmt w:val="decimal"/>
      <w:lvlText w:val=""/>
      <w:lvlJc w:val="left"/>
      <w:rPr>
        <w:rFonts w:cs="Times New Roman"/>
      </w:rPr>
    </w:lvl>
    <w:lvl w:ilvl="4" w:tplc="C1E034E8">
      <w:start w:val="1"/>
      <w:numFmt w:val="decimal"/>
      <w:lvlText w:val=""/>
      <w:lvlJc w:val="left"/>
      <w:rPr>
        <w:rFonts w:cs="Times New Roman"/>
      </w:rPr>
    </w:lvl>
    <w:lvl w:ilvl="5" w:tplc="1E0C09C0">
      <w:start w:val="1"/>
      <w:numFmt w:val="decimal"/>
      <w:lvlText w:val=""/>
      <w:lvlJc w:val="left"/>
      <w:rPr>
        <w:rFonts w:cs="Times New Roman"/>
      </w:rPr>
    </w:lvl>
    <w:lvl w:ilvl="6" w:tplc="525AC028">
      <w:start w:val="1"/>
      <w:numFmt w:val="decimal"/>
      <w:lvlText w:val=""/>
      <w:lvlJc w:val="left"/>
      <w:rPr>
        <w:rFonts w:cs="Times New Roman"/>
      </w:rPr>
    </w:lvl>
    <w:lvl w:ilvl="7" w:tplc="4A66AFEE">
      <w:start w:val="1"/>
      <w:numFmt w:val="decimal"/>
      <w:lvlText w:val=""/>
      <w:lvlJc w:val="left"/>
      <w:rPr>
        <w:rFonts w:cs="Times New Roman"/>
      </w:rPr>
    </w:lvl>
    <w:lvl w:ilvl="8" w:tplc="B5DA181E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83E4635"/>
    <w:multiLevelType w:val="hybridMultilevel"/>
    <w:tmpl w:val="685283B4"/>
    <w:lvl w:ilvl="0" w:tplc="33DCFC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9EEE6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C0A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2AFD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DEFB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AE1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9C16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3C22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D435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172C3"/>
    <w:multiLevelType w:val="hybridMultilevel"/>
    <w:tmpl w:val="08BEA616"/>
    <w:lvl w:ilvl="0" w:tplc="27C89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0060C58">
      <w:start w:val="1"/>
      <w:numFmt w:val="lowerLetter"/>
      <w:lvlText w:val="%2."/>
      <w:lvlJc w:val="left"/>
      <w:pPr>
        <w:ind w:left="1440" w:hanging="360"/>
      </w:pPr>
    </w:lvl>
    <w:lvl w:ilvl="2" w:tplc="C8B2C722">
      <w:start w:val="1"/>
      <w:numFmt w:val="lowerRoman"/>
      <w:lvlText w:val="%3."/>
      <w:lvlJc w:val="right"/>
      <w:pPr>
        <w:ind w:left="2160" w:hanging="180"/>
      </w:pPr>
    </w:lvl>
    <w:lvl w:ilvl="3" w:tplc="F84055B2">
      <w:start w:val="1"/>
      <w:numFmt w:val="decimal"/>
      <w:lvlText w:val="%4."/>
      <w:lvlJc w:val="left"/>
      <w:pPr>
        <w:ind w:left="2880" w:hanging="360"/>
      </w:pPr>
    </w:lvl>
    <w:lvl w:ilvl="4" w:tplc="2264999C">
      <w:start w:val="1"/>
      <w:numFmt w:val="lowerLetter"/>
      <w:lvlText w:val="%5."/>
      <w:lvlJc w:val="left"/>
      <w:pPr>
        <w:ind w:left="3600" w:hanging="360"/>
      </w:pPr>
    </w:lvl>
    <w:lvl w:ilvl="5" w:tplc="7D2C6926">
      <w:start w:val="1"/>
      <w:numFmt w:val="lowerRoman"/>
      <w:lvlText w:val="%6."/>
      <w:lvlJc w:val="right"/>
      <w:pPr>
        <w:ind w:left="4320" w:hanging="180"/>
      </w:pPr>
    </w:lvl>
    <w:lvl w:ilvl="6" w:tplc="60A2A404">
      <w:start w:val="1"/>
      <w:numFmt w:val="decimal"/>
      <w:lvlText w:val="%7."/>
      <w:lvlJc w:val="left"/>
      <w:pPr>
        <w:ind w:left="5040" w:hanging="360"/>
      </w:pPr>
    </w:lvl>
    <w:lvl w:ilvl="7" w:tplc="B1FCABEA">
      <w:start w:val="1"/>
      <w:numFmt w:val="lowerLetter"/>
      <w:lvlText w:val="%8."/>
      <w:lvlJc w:val="left"/>
      <w:pPr>
        <w:ind w:left="5760" w:hanging="360"/>
      </w:pPr>
    </w:lvl>
    <w:lvl w:ilvl="8" w:tplc="CB3402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14DD"/>
    <w:multiLevelType w:val="hybridMultilevel"/>
    <w:tmpl w:val="1200F60E"/>
    <w:lvl w:ilvl="0" w:tplc="1C96F9FC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 w:tplc="EA288E16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 w:tplc="8C0408AC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 w:tplc="1A42AA2A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 w:tplc="BDF60330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 w:tplc="C9869054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 w:tplc="5A96864A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 w:tplc="283E5708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 w:tplc="6672846E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9" w15:restartNumberingAfterBreak="0">
    <w:nsid w:val="4F216BEE"/>
    <w:multiLevelType w:val="hybridMultilevel"/>
    <w:tmpl w:val="CE52C592"/>
    <w:lvl w:ilvl="0" w:tplc="14FA2F2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1A5E1224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69E239A">
      <w:start w:val="1"/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21926678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91920F80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19B47846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929C09A2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107A77A2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1E20096A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0" w15:restartNumberingAfterBreak="0">
    <w:nsid w:val="66B03C8F"/>
    <w:multiLevelType w:val="hybridMultilevel"/>
    <w:tmpl w:val="06E02050"/>
    <w:lvl w:ilvl="0" w:tplc="0DFE4E8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00B6B6B4">
      <w:start w:val="1"/>
      <w:numFmt w:val="decimal"/>
      <w:lvlText w:val=""/>
      <w:lvlJc w:val="left"/>
      <w:rPr>
        <w:rFonts w:cs="Times New Roman"/>
      </w:rPr>
    </w:lvl>
    <w:lvl w:ilvl="2" w:tplc="CB02840E">
      <w:start w:val="1"/>
      <w:numFmt w:val="decimal"/>
      <w:lvlText w:val=""/>
      <w:lvlJc w:val="left"/>
      <w:rPr>
        <w:rFonts w:cs="Times New Roman"/>
      </w:rPr>
    </w:lvl>
    <w:lvl w:ilvl="3" w:tplc="A9DE12D2">
      <w:start w:val="1"/>
      <w:numFmt w:val="decimal"/>
      <w:lvlText w:val=""/>
      <w:lvlJc w:val="left"/>
      <w:rPr>
        <w:rFonts w:cs="Times New Roman"/>
      </w:rPr>
    </w:lvl>
    <w:lvl w:ilvl="4" w:tplc="5B7E4304">
      <w:start w:val="1"/>
      <w:numFmt w:val="decimal"/>
      <w:lvlText w:val=""/>
      <w:lvlJc w:val="left"/>
      <w:rPr>
        <w:rFonts w:cs="Times New Roman"/>
      </w:rPr>
    </w:lvl>
    <w:lvl w:ilvl="5" w:tplc="5344C344">
      <w:start w:val="1"/>
      <w:numFmt w:val="decimal"/>
      <w:lvlText w:val=""/>
      <w:lvlJc w:val="left"/>
      <w:rPr>
        <w:rFonts w:cs="Times New Roman"/>
      </w:rPr>
    </w:lvl>
    <w:lvl w:ilvl="6" w:tplc="7A547618">
      <w:start w:val="1"/>
      <w:numFmt w:val="decimal"/>
      <w:lvlText w:val=""/>
      <w:lvlJc w:val="left"/>
      <w:rPr>
        <w:rFonts w:cs="Times New Roman"/>
      </w:rPr>
    </w:lvl>
    <w:lvl w:ilvl="7" w:tplc="1518B698">
      <w:start w:val="1"/>
      <w:numFmt w:val="decimal"/>
      <w:lvlText w:val=""/>
      <w:lvlJc w:val="left"/>
      <w:rPr>
        <w:rFonts w:cs="Times New Roman"/>
      </w:rPr>
    </w:lvl>
    <w:lvl w:ilvl="8" w:tplc="613A5404">
      <w:start w:val="1"/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D896AC0"/>
    <w:multiLevelType w:val="hybridMultilevel"/>
    <w:tmpl w:val="1D56EB56"/>
    <w:lvl w:ilvl="0" w:tplc="DB90BBBA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6568CA82">
      <w:start w:val="1"/>
      <w:numFmt w:val="decimal"/>
      <w:lvlText w:val=""/>
      <w:lvlJc w:val="left"/>
      <w:rPr>
        <w:rFonts w:cs="Times New Roman"/>
      </w:rPr>
    </w:lvl>
    <w:lvl w:ilvl="2" w:tplc="8D80EA50">
      <w:start w:val="1"/>
      <w:numFmt w:val="decimal"/>
      <w:lvlText w:val=""/>
      <w:lvlJc w:val="left"/>
      <w:rPr>
        <w:rFonts w:cs="Times New Roman"/>
      </w:rPr>
    </w:lvl>
    <w:lvl w:ilvl="3" w:tplc="A9F46A14">
      <w:start w:val="1"/>
      <w:numFmt w:val="decimal"/>
      <w:lvlText w:val=""/>
      <w:lvlJc w:val="left"/>
      <w:rPr>
        <w:rFonts w:cs="Times New Roman"/>
      </w:rPr>
    </w:lvl>
    <w:lvl w:ilvl="4" w:tplc="F5428E72">
      <w:start w:val="1"/>
      <w:numFmt w:val="decimal"/>
      <w:lvlText w:val=""/>
      <w:lvlJc w:val="left"/>
      <w:rPr>
        <w:rFonts w:cs="Times New Roman"/>
      </w:rPr>
    </w:lvl>
    <w:lvl w:ilvl="5" w:tplc="45D6726E">
      <w:start w:val="1"/>
      <w:numFmt w:val="decimal"/>
      <w:lvlText w:val=""/>
      <w:lvlJc w:val="left"/>
      <w:rPr>
        <w:rFonts w:cs="Times New Roman"/>
      </w:rPr>
    </w:lvl>
    <w:lvl w:ilvl="6" w:tplc="5802A18A">
      <w:start w:val="1"/>
      <w:numFmt w:val="decimal"/>
      <w:lvlText w:val=""/>
      <w:lvlJc w:val="left"/>
      <w:rPr>
        <w:rFonts w:cs="Times New Roman"/>
      </w:rPr>
    </w:lvl>
    <w:lvl w:ilvl="7" w:tplc="BBC02F80">
      <w:start w:val="1"/>
      <w:numFmt w:val="decimal"/>
      <w:lvlText w:val=""/>
      <w:lvlJc w:val="left"/>
      <w:rPr>
        <w:rFonts w:cs="Times New Roman"/>
      </w:rPr>
    </w:lvl>
    <w:lvl w:ilvl="8" w:tplc="991C4354">
      <w:start w:val="1"/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1562FAD"/>
    <w:multiLevelType w:val="hybridMultilevel"/>
    <w:tmpl w:val="88BAA9F2"/>
    <w:lvl w:ilvl="0" w:tplc="4C7472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384A3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502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9C62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840F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1A04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E411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187A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4A2E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885174"/>
    <w:multiLevelType w:val="hybridMultilevel"/>
    <w:tmpl w:val="1DF47944"/>
    <w:lvl w:ilvl="0" w:tplc="80B075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6B205BE">
      <w:start w:val="1"/>
      <w:numFmt w:val="lowerLetter"/>
      <w:lvlText w:val="%2."/>
      <w:lvlJc w:val="left"/>
      <w:pPr>
        <w:ind w:left="1788" w:hanging="360"/>
      </w:pPr>
    </w:lvl>
    <w:lvl w:ilvl="2" w:tplc="95F4169C">
      <w:start w:val="1"/>
      <w:numFmt w:val="lowerRoman"/>
      <w:lvlText w:val="%3."/>
      <w:lvlJc w:val="right"/>
      <w:pPr>
        <w:ind w:left="2508" w:hanging="180"/>
      </w:pPr>
    </w:lvl>
    <w:lvl w:ilvl="3" w:tplc="D818ABE0">
      <w:start w:val="1"/>
      <w:numFmt w:val="decimal"/>
      <w:lvlText w:val="%4."/>
      <w:lvlJc w:val="left"/>
      <w:pPr>
        <w:ind w:left="3228" w:hanging="360"/>
      </w:pPr>
    </w:lvl>
    <w:lvl w:ilvl="4" w:tplc="5E60DEEC">
      <w:start w:val="1"/>
      <w:numFmt w:val="lowerLetter"/>
      <w:lvlText w:val="%5."/>
      <w:lvlJc w:val="left"/>
      <w:pPr>
        <w:ind w:left="3948" w:hanging="360"/>
      </w:pPr>
    </w:lvl>
    <w:lvl w:ilvl="5" w:tplc="C3761F78">
      <w:start w:val="1"/>
      <w:numFmt w:val="lowerRoman"/>
      <w:lvlText w:val="%6."/>
      <w:lvlJc w:val="right"/>
      <w:pPr>
        <w:ind w:left="4668" w:hanging="180"/>
      </w:pPr>
    </w:lvl>
    <w:lvl w:ilvl="6" w:tplc="AD90F482">
      <w:start w:val="1"/>
      <w:numFmt w:val="decimal"/>
      <w:lvlText w:val="%7."/>
      <w:lvlJc w:val="left"/>
      <w:pPr>
        <w:ind w:left="5388" w:hanging="360"/>
      </w:pPr>
    </w:lvl>
    <w:lvl w:ilvl="7" w:tplc="E698EC40">
      <w:start w:val="1"/>
      <w:numFmt w:val="lowerLetter"/>
      <w:lvlText w:val="%8."/>
      <w:lvlJc w:val="left"/>
      <w:pPr>
        <w:ind w:left="6108" w:hanging="360"/>
      </w:pPr>
    </w:lvl>
    <w:lvl w:ilvl="8" w:tplc="07F6DEFC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AD4749"/>
    <w:multiLevelType w:val="hybridMultilevel"/>
    <w:tmpl w:val="FD9A9A04"/>
    <w:lvl w:ilvl="0" w:tplc="36384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8614B0">
      <w:start w:val="1"/>
      <w:numFmt w:val="lowerLetter"/>
      <w:lvlText w:val="%2."/>
      <w:lvlJc w:val="left"/>
      <w:pPr>
        <w:ind w:left="1440" w:hanging="360"/>
      </w:pPr>
    </w:lvl>
    <w:lvl w:ilvl="2" w:tplc="F1D667D8">
      <w:start w:val="1"/>
      <w:numFmt w:val="lowerRoman"/>
      <w:lvlText w:val="%3."/>
      <w:lvlJc w:val="right"/>
      <w:pPr>
        <w:ind w:left="2160" w:hanging="180"/>
      </w:pPr>
    </w:lvl>
    <w:lvl w:ilvl="3" w:tplc="201E890A">
      <w:start w:val="1"/>
      <w:numFmt w:val="decimal"/>
      <w:lvlText w:val="%4."/>
      <w:lvlJc w:val="left"/>
      <w:pPr>
        <w:ind w:left="2880" w:hanging="360"/>
      </w:pPr>
    </w:lvl>
    <w:lvl w:ilvl="4" w:tplc="C34610E0">
      <w:start w:val="1"/>
      <w:numFmt w:val="lowerLetter"/>
      <w:lvlText w:val="%5."/>
      <w:lvlJc w:val="left"/>
      <w:pPr>
        <w:ind w:left="3600" w:hanging="360"/>
      </w:pPr>
    </w:lvl>
    <w:lvl w:ilvl="5" w:tplc="BBDA197E">
      <w:start w:val="1"/>
      <w:numFmt w:val="lowerRoman"/>
      <w:lvlText w:val="%6."/>
      <w:lvlJc w:val="right"/>
      <w:pPr>
        <w:ind w:left="4320" w:hanging="180"/>
      </w:pPr>
    </w:lvl>
    <w:lvl w:ilvl="6" w:tplc="3EAEF4AE">
      <w:start w:val="1"/>
      <w:numFmt w:val="decimal"/>
      <w:lvlText w:val="%7."/>
      <w:lvlJc w:val="left"/>
      <w:pPr>
        <w:ind w:left="5040" w:hanging="360"/>
      </w:pPr>
    </w:lvl>
    <w:lvl w:ilvl="7" w:tplc="5EC4E1A8">
      <w:start w:val="1"/>
      <w:numFmt w:val="lowerLetter"/>
      <w:lvlText w:val="%8."/>
      <w:lvlJc w:val="left"/>
      <w:pPr>
        <w:ind w:left="5760" w:hanging="360"/>
      </w:pPr>
    </w:lvl>
    <w:lvl w:ilvl="8" w:tplc="ADC608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7"/>
  </w:num>
  <w:num w:numId="12">
    <w:abstractNumId w:val="14"/>
  </w:num>
  <w:num w:numId="13">
    <w:abstractNumId w:val="9"/>
  </w:num>
  <w:num w:numId="14">
    <w:abstractNumId w:val="9"/>
    <w:lvlOverride w:ilvl="1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39"/>
    <w:rsid w:val="00357BC5"/>
    <w:rsid w:val="00437A4E"/>
    <w:rsid w:val="004F3939"/>
    <w:rsid w:val="00EA511B"/>
    <w:rsid w:val="00F35A72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D135"/>
  <w15:docId w15:val="{5F33B7D0-FD54-43AD-B8BD-DB8F2BE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0"/>
    <w:next w:val="a0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p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p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p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paragraph" w:styleId="af4">
    <w:name w:val="Balloon Text"/>
    <w:basedOn w:val="a0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0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0"/>
    <w:link w:val="af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c">
    <w:name w:val="Основной текст с отступом Знак"/>
    <w:basedOn w:val="a1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link w:val="afe"/>
    <w:uiPriority w:val="1"/>
    <w:qFormat/>
    <w:pPr>
      <w:spacing w:after="0" w:line="240" w:lineRule="auto"/>
    </w:pPr>
  </w:style>
  <w:style w:type="character" w:styleId="aff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f0">
    <w:name w:val="Цветовое выделение"/>
    <w:uiPriority w:val="99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Pr>
      <w:rFonts w:cs="Times New Roman"/>
      <w:b w:val="0"/>
      <w:color w:val="106BBE"/>
    </w:rPr>
  </w:style>
  <w:style w:type="paragraph" w:customStyle="1" w:styleId="aff2">
    <w:name w:val="Нормальный (таблица)"/>
    <w:basedOn w:val="a0"/>
    <w:next w:val="a0"/>
    <w:uiPriority w:val="99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szCs w:val="20"/>
      <w:lang w:eastAsia="ru-RU"/>
    </w:rPr>
  </w:style>
  <w:style w:type="paragraph" w:customStyle="1" w:styleId="aff4">
    <w:name w:val="Текст информации об изменениях"/>
    <w:basedOn w:val="a0"/>
    <w:next w:val="a0"/>
    <w:uiPriority w:val="99"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5">
    <w:name w:val="Информация об изменениях"/>
    <w:basedOn w:val="aff4"/>
    <w:next w:val="a0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0"/>
    <w:next w:val="a0"/>
    <w:uiPriority w:val="99"/>
    <w:pPr>
      <w:widowControl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мментарий"/>
    <w:basedOn w:val="aff6"/>
    <w:next w:val="a0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0"/>
    <w:uiPriority w:val="99"/>
    <w:rPr>
      <w:i/>
      <w:iCs/>
    </w:rPr>
  </w:style>
  <w:style w:type="paragraph" w:customStyle="1" w:styleId="aff9">
    <w:name w:val="Подзаголовок для информации об изменениях"/>
    <w:basedOn w:val="aff4"/>
    <w:next w:val="a0"/>
    <w:uiPriority w:val="99"/>
    <w:rPr>
      <w:b/>
      <w:bCs/>
    </w:rPr>
  </w:style>
  <w:style w:type="character" w:customStyle="1" w:styleId="affa">
    <w:name w:val="Цветовое выделение для Текст"/>
    <w:uiPriority w:val="99"/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rPr>
      <w:rFonts w:ascii="Times New Roman" w:hAnsi="Times New Roman"/>
      <w:shd w:val="clear" w:color="auto" w:fill="FFFFFF"/>
    </w:rPr>
  </w:style>
  <w:style w:type="character" w:customStyle="1" w:styleId="2Exact">
    <w:name w:val="Основной текст (2) Exact"/>
    <w:rPr>
      <w:rFonts w:ascii="Times New Roman" w:hAnsi="Times New Roman"/>
      <w:u w:val="none"/>
    </w:rPr>
  </w:style>
  <w:style w:type="character" w:customStyle="1" w:styleId="43">
    <w:name w:val="Основной текст (4)_"/>
    <w:rPr>
      <w:rFonts w:ascii="Times New Roman" w:hAnsi="Times New Roman"/>
      <w:i/>
      <w:sz w:val="11"/>
      <w:u w:val="none"/>
    </w:rPr>
  </w:style>
  <w:style w:type="character" w:customStyle="1" w:styleId="44">
    <w:name w:val="Основной текст (4) + Не курсив"/>
    <w:rPr>
      <w:rFonts w:ascii="Times New Roman" w:hAnsi="Times New Roman"/>
      <w:i/>
      <w:color w:val="9AC6EF"/>
      <w:spacing w:val="0"/>
      <w:position w:val="0"/>
      <w:sz w:val="11"/>
      <w:u w:val="none"/>
      <w:lang w:val="ru-RU" w:eastAsia="ru-RU"/>
    </w:rPr>
  </w:style>
  <w:style w:type="character" w:customStyle="1" w:styleId="45">
    <w:name w:val="Основной текст (4)"/>
    <w:rPr>
      <w:rFonts w:ascii="Times New Roman" w:hAnsi="Times New Roman"/>
      <w:i/>
      <w:color w:val="9AC6EF"/>
      <w:spacing w:val="0"/>
      <w:position w:val="0"/>
      <w:sz w:val="11"/>
      <w:u w:val="none"/>
      <w:lang w:val="ru-RU" w:eastAsia="ru-RU"/>
    </w:rPr>
  </w:style>
  <w:style w:type="character" w:customStyle="1" w:styleId="53">
    <w:name w:val="Основной текст (5)_"/>
    <w:rPr>
      <w:rFonts w:ascii="Times New Roman" w:hAnsi="Times New Roman"/>
      <w:sz w:val="20"/>
      <w:u w:val="none"/>
    </w:rPr>
  </w:style>
  <w:style w:type="character" w:customStyle="1" w:styleId="54">
    <w:name w:val="Основной текст (5)"/>
    <w:rPr>
      <w:rFonts w:ascii="Times New Roman" w:hAnsi="Times New Roman"/>
      <w:color w:val="9AC6EF"/>
      <w:spacing w:val="0"/>
      <w:position w:val="0"/>
      <w:sz w:val="20"/>
      <w:u w:val="none"/>
      <w:lang w:val="ru-RU" w:eastAsia="ru-RU"/>
    </w:rPr>
  </w:style>
  <w:style w:type="character" w:customStyle="1" w:styleId="55">
    <w:name w:val="Основной текст (5) + Курсив"/>
    <w:rPr>
      <w:rFonts w:ascii="Times New Roman" w:hAnsi="Times New Roman"/>
      <w:i/>
      <w:color w:val="9AC6EF"/>
      <w:spacing w:val="0"/>
      <w:position w:val="0"/>
      <w:sz w:val="20"/>
      <w:u w:val="none"/>
      <w:lang w:val="ru-RU" w:eastAsia="ru-RU"/>
    </w:rPr>
  </w:style>
  <w:style w:type="paragraph" w:customStyle="1" w:styleId="26">
    <w:name w:val="Основной текст (2)"/>
    <w:basedOn w:val="a0"/>
    <w:link w:val="25"/>
    <w:pPr>
      <w:widowControl w:val="0"/>
      <w:shd w:val="clear" w:color="auto" w:fill="FFFFFF"/>
      <w:spacing w:after="400" w:line="278" w:lineRule="exact"/>
    </w:pPr>
    <w:rPr>
      <w:rFonts w:ascii="Times New Roman" w:hAnsi="Times New Roman"/>
    </w:rPr>
  </w:style>
  <w:style w:type="paragraph" w:customStyle="1" w:styleId="affb">
    <w:name w:val="Таблицы (моноширинный)"/>
    <w:basedOn w:val="a0"/>
    <w:next w:val="a0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fc">
    <w:name w:val="FollowedHyperlink"/>
    <w:basedOn w:val="a1"/>
    <w:uiPriority w:val="99"/>
    <w:semiHidden/>
    <w:unhideWhenUsed/>
    <w:rPr>
      <w:rFonts w:cs="Times New Roman"/>
      <w:color w:val="800080" w:themeColor="followedHyperlink"/>
      <w:u w:val="single"/>
    </w:rPr>
  </w:style>
  <w:style w:type="table" w:customStyle="1" w:styleId="13">
    <w:name w:val="Сетка таблицы1"/>
    <w:basedOn w:val="a2"/>
    <w:next w:val="af6"/>
    <w:uiPriority w:val="5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List Paragraph"/>
    <w:basedOn w:val="a0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4">
    <w:name w:val="Нет списка1"/>
    <w:next w:val="a3"/>
    <w:uiPriority w:val="99"/>
    <w:semiHidden/>
    <w:unhideWhenUsed/>
  </w:style>
  <w:style w:type="paragraph" w:styleId="affe">
    <w:name w:val="Normal (Web)"/>
    <w:uiPriority w:val="1"/>
    <w:semiHidden/>
    <w:unhideWhenUsed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">
    <w:name w:val="Текст примечания Знак"/>
    <w:basedOn w:val="a1"/>
    <w:link w:val="af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text"/>
    <w:basedOn w:val="a0"/>
    <w:link w:val="afff"/>
    <w:uiPriority w:val="99"/>
    <w:semiHidden/>
    <w:unhideWhenUsed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Pr>
      <w:sz w:val="20"/>
      <w:szCs w:val="20"/>
    </w:rPr>
  </w:style>
  <w:style w:type="character" w:customStyle="1" w:styleId="afff1">
    <w:name w:val="Тема примечания Знак"/>
    <w:basedOn w:val="afff"/>
    <w:link w:val="af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uiPriority w:val="1"/>
  </w:style>
  <w:style w:type="character" w:customStyle="1" w:styleId="afff3">
    <w:name w:val="Абзац Знак"/>
    <w:link w:val="afff4"/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Абзац"/>
    <w:basedOn w:val="a0"/>
    <w:link w:val="afff3"/>
    <w:qFormat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font5">
    <w:name w:val="font5"/>
    <w:basedOn w:val="a0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ff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f6">
    <w:name w:val="page number"/>
    <w:uiPriority w:val="99"/>
    <w:semiHidden/>
    <w:unhideWhenUsed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basedOn w:val="a1"/>
    <w:uiPriority w:val="99"/>
    <w:semiHidden/>
  </w:style>
  <w:style w:type="character" w:customStyle="1" w:styleId="17">
    <w:name w:val="Нижний колонтитул Знак1"/>
    <w:basedOn w:val="a1"/>
    <w:uiPriority w:val="99"/>
    <w:semiHidden/>
  </w:style>
  <w:style w:type="character" w:customStyle="1" w:styleId="apple-converted-space">
    <w:name w:val="apple-converted-space"/>
    <w:basedOn w:val="a1"/>
  </w:style>
  <w:style w:type="character" w:customStyle="1" w:styleId="18">
    <w:name w:val="Текст выноски Знак1"/>
    <w:basedOn w:val="a1"/>
    <w:uiPriority w:val="99"/>
    <w:semiHidden/>
    <w:rPr>
      <w:rFonts w:ascii="Segoe UI" w:hAnsi="Segoe UI" w:cs="Segoe UI"/>
      <w:sz w:val="18"/>
      <w:szCs w:val="18"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Pr>
      <w:b/>
      <w:bCs/>
    </w:rPr>
  </w:style>
  <w:style w:type="character" w:customStyle="1" w:styleId="19">
    <w:name w:val="Тема примечания Знак1"/>
    <w:basedOn w:val="15"/>
    <w:uiPriority w:val="99"/>
    <w:semiHidden/>
    <w:rPr>
      <w:b/>
      <w:bCs/>
      <w:sz w:val="20"/>
      <w:szCs w:val="20"/>
    </w:rPr>
  </w:style>
  <w:style w:type="table" w:customStyle="1" w:styleId="110">
    <w:name w:val="Сетка таблицы11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uiPriority w:val="99"/>
    <w:semiHidden/>
    <w:unhideWhenUsed/>
    <w:pPr>
      <w:numPr>
        <w:numId w:val="17"/>
      </w:numPr>
      <w:spacing w:after="160" w:line="256" w:lineRule="auto"/>
      <w:contextualSpacing/>
    </w:pPr>
    <w:rPr>
      <w:rFonts w:ascii="Calibri" w:eastAsia="Calibri" w:hAnsi="Calibri" w:cs="Times New Roman"/>
    </w:rPr>
  </w:style>
  <w:style w:type="table" w:customStyle="1" w:styleId="27">
    <w:name w:val="Сетка таблицы2"/>
    <w:basedOn w:val="a2"/>
    <w:next w:val="af6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f6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7">
    <w:name w:val="Emphasis"/>
    <w:basedOn w:val="a1"/>
    <w:uiPriority w:val="20"/>
    <w:qFormat/>
    <w:rPr>
      <w:i/>
      <w:iCs/>
    </w:rPr>
  </w:style>
  <w:style w:type="character" w:styleId="afff8">
    <w:name w:val="lin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media1.sv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C568-E36E-4F64-9D2C-5DE3827D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Войцехович Таисия Станиславовна</dc:creator>
  <cp:keywords/>
  <dc:description/>
  <cp:lastModifiedBy>Войцехович Таисия Станиславовна</cp:lastModifiedBy>
  <cp:revision>5</cp:revision>
  <dcterms:created xsi:type="dcterms:W3CDTF">2025-11-07T09:01:00Z</dcterms:created>
  <dcterms:modified xsi:type="dcterms:W3CDTF">2025-11-14T06:26:00Z</dcterms:modified>
</cp:coreProperties>
</file>